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版本号：华弘宸金招字【2026】第032号20260819001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渭南市华州区2个老旧小区改造项目施工图设计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华弘宸金招字【2026】第032号</w:t>
      </w:r>
      <w:r>
        <w:br/>
      </w:r>
      <w:r>
        <w:br/>
      </w:r>
      <w:r>
        <w:br/>
      </w:r>
    </w:p>
    <w:p>
      <w:pPr>
        <w:pStyle w:val="null3"/>
        <w:jc w:val="center"/>
        <w:outlineLvl w:val="2"/>
      </w:pPr>
      <w:r>
        <w:rPr>
          <w:rFonts w:ascii="仿宋_GB2312" w:hAnsi="仿宋_GB2312" w:cs="仿宋_GB2312" w:eastAsia="仿宋_GB2312"/>
          <w:sz w:val="28"/>
          <w:b/>
        </w:rPr>
        <w:t>渭南市华州区住房和城乡建设局</w:t>
      </w:r>
    </w:p>
    <w:p>
      <w:pPr>
        <w:pStyle w:val="null3"/>
        <w:jc w:val="center"/>
        <w:outlineLvl w:val="2"/>
      </w:pPr>
      <w:r>
        <w:rPr>
          <w:rFonts w:ascii="仿宋_GB2312" w:hAnsi="仿宋_GB2312" w:cs="仿宋_GB2312" w:eastAsia="仿宋_GB2312"/>
          <w:sz w:val="28"/>
          <w:b/>
        </w:rPr>
        <w:t>陕西华弘宸金企业管理咨询有限公司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陕西华弘宸金企业管理咨询有限公司</w:t>
      </w:r>
      <w:r>
        <w:rPr>
          <w:rFonts w:ascii="仿宋_GB2312" w:hAnsi="仿宋_GB2312" w:cs="仿宋_GB2312" w:eastAsia="仿宋_GB2312"/>
        </w:rPr>
        <w:t>（以下简称“代理机构”）受</w:t>
      </w:r>
      <w:r>
        <w:rPr>
          <w:rFonts w:ascii="仿宋_GB2312" w:hAnsi="仿宋_GB2312" w:cs="仿宋_GB2312" w:eastAsia="仿宋_GB2312"/>
        </w:rPr>
        <w:t>渭南市华州区住房和城乡建设局</w:t>
      </w:r>
      <w:r>
        <w:rPr>
          <w:rFonts w:ascii="仿宋_GB2312" w:hAnsi="仿宋_GB2312" w:cs="仿宋_GB2312" w:eastAsia="仿宋_GB2312"/>
        </w:rPr>
        <w:t>委托，拟对</w:t>
      </w:r>
      <w:r>
        <w:rPr>
          <w:rFonts w:ascii="仿宋_GB2312" w:hAnsi="仿宋_GB2312" w:cs="仿宋_GB2312" w:eastAsia="仿宋_GB2312"/>
        </w:rPr>
        <w:t>渭南市华州区2个老旧小区改造项目施工图设计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华弘宸金招字【2026】第032号</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渭南市华州区2个老旧小区改造项目施工图设计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渭南市华州区2026年老旧小区改造配套基础设施建设项目施工图设计：完成渭南市华州区2026年老旧小区改造配套基础设施建设项目施工图设计，达到施工要求。 渭南市华州区(2001-2002)老旧小区改造项目施工图设计：完成渭南市华州区(2001-2002)老旧小区改造项目施工图设计，达到施工要求。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采购包1（渭南市华州区2026年老旧小区改造配套基础设施建设项目施工图设计）：属于专门面向中小企业采购。</w:t>
      </w:r>
    </w:p>
    <w:p>
      <w:pPr>
        <w:pStyle w:val="null3"/>
      </w:pPr>
      <w:r>
        <w:rPr>
          <w:rFonts w:ascii="仿宋_GB2312" w:hAnsi="仿宋_GB2312" w:cs="仿宋_GB2312" w:eastAsia="仿宋_GB2312"/>
        </w:rPr>
        <w:t>采购包2（渭南市华州区(2001-2002)老旧小区改造项目施工图设计）：属于专门面向中小企业采购。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1、营业执照：在中华人民共和国境内注册，依法取得并有效存续的营业执照\事业单位法人证书\民办非企业单位登记证书\非企业专业服务机构执业许可证等。</w:t>
      </w:r>
    </w:p>
    <w:p>
      <w:pPr>
        <w:pStyle w:val="null3"/>
      </w:pPr>
      <w:r>
        <w:rPr>
          <w:rFonts w:ascii="仿宋_GB2312" w:hAnsi="仿宋_GB2312" w:cs="仿宋_GB2312" w:eastAsia="仿宋_GB2312"/>
        </w:rPr>
        <w:t>2、社会保障资金缴纳证明：提交响应文件截止时间前一年内至少一个月的社会保障资金缴存单据或社保机构开具的社会保险参保缴费情况证明，单据或证明上应有社保机构或代收机构的公章或业务专用章。（依法不需要缴纳社会保障资金的供应商应提供相应文件证明）。</w:t>
      </w:r>
    </w:p>
    <w:p>
      <w:pPr>
        <w:pStyle w:val="null3"/>
      </w:pPr>
      <w:r>
        <w:rPr>
          <w:rFonts w:ascii="仿宋_GB2312" w:hAnsi="仿宋_GB2312" w:cs="仿宋_GB2312" w:eastAsia="仿宋_GB2312"/>
        </w:rPr>
        <w:t>3、税收缴纳证明：提交响应文件截止时间前一年内至少一个月的纳税证明或完税证明（任意税种），纳税证明或完税证明上应有代收机构或税务机关的公章或业务专用章。（依法免税的供应商应提供相应文件证明）。</w:t>
      </w:r>
    </w:p>
    <w:p>
      <w:pPr>
        <w:pStyle w:val="null3"/>
      </w:pPr>
      <w:r>
        <w:rPr>
          <w:rFonts w:ascii="仿宋_GB2312" w:hAnsi="仿宋_GB2312" w:cs="仿宋_GB2312" w:eastAsia="仿宋_GB2312"/>
        </w:rPr>
        <w:t>4、财务状况证明：提供2025年度经审计的财务会计报告（包括审计报告、资产负债表、利润表、现金流量表、所有者权益变动表及其附注，成立时间至提交投标文件截止时间不足一年的可提供成立后任意时段的资产负债表），或其开标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5、投标声明书：供应商应出具参加本次政府采购活动前3年内在经营活动中没有重大违法违纪书面声明；</w:t>
      </w:r>
    </w:p>
    <w:p>
      <w:pPr>
        <w:pStyle w:val="null3"/>
      </w:pPr>
      <w:r>
        <w:rPr>
          <w:rFonts w:ascii="仿宋_GB2312" w:hAnsi="仿宋_GB2312" w:cs="仿宋_GB2312" w:eastAsia="仿宋_GB2312"/>
        </w:rPr>
        <w:t>6、履约能力：具备履行合同所必需的设备和专业技术能力的承诺；</w:t>
      </w:r>
    </w:p>
    <w:p>
      <w:pPr>
        <w:pStyle w:val="null3"/>
      </w:pPr>
      <w:r>
        <w:rPr>
          <w:rFonts w:ascii="仿宋_GB2312" w:hAnsi="仿宋_GB2312" w:cs="仿宋_GB2312" w:eastAsia="仿宋_GB2312"/>
        </w:rPr>
        <w:t>7、供应商授权合法的人员参加投标全过程：法定代表人授权委托书（附法定代表人身份证复印件）及被授权委托人身份证（法定代表人参加磋商只须提供法定代表人身份证）。</w:t>
      </w:r>
    </w:p>
    <w:p>
      <w:pPr>
        <w:pStyle w:val="null3"/>
      </w:pPr>
      <w:r>
        <w:rPr>
          <w:rFonts w:ascii="仿宋_GB2312" w:hAnsi="仿宋_GB2312" w:cs="仿宋_GB2312" w:eastAsia="仿宋_GB2312"/>
        </w:rPr>
        <w:t>8、信用查询：供应商不得列入“中国执行信息公开网”网站被列为失信被执行人、“信用中国”网站重大税收违法失信主体及“中国政府采购网”（http://www.ccgp.gov.cn/）政府采购严重违法失信行为记录名单</w:t>
      </w:r>
    </w:p>
    <w:p>
      <w:pPr>
        <w:pStyle w:val="null3"/>
      </w:pPr>
      <w:r>
        <w:rPr>
          <w:rFonts w:ascii="仿宋_GB2312" w:hAnsi="仿宋_GB2312" w:cs="仿宋_GB2312" w:eastAsia="仿宋_GB2312"/>
        </w:rPr>
        <w:t>9、供应商资质：供应商须具备工程设计综合资质甲级或建筑工程专业乙级及以上设计资质。</w:t>
      </w:r>
    </w:p>
    <w:p>
      <w:pPr>
        <w:pStyle w:val="null3"/>
      </w:pPr>
      <w:r>
        <w:rPr>
          <w:rFonts w:ascii="仿宋_GB2312" w:hAnsi="仿宋_GB2312" w:cs="仿宋_GB2312" w:eastAsia="仿宋_GB2312"/>
        </w:rPr>
        <w:t>10、项目负责人：供应商拟派设计项目负责人须具备一级注册建筑师职业资格证书且在本单位注册。</w:t>
      </w:r>
    </w:p>
    <w:p>
      <w:pPr>
        <w:pStyle w:val="null3"/>
      </w:pPr>
      <w:r>
        <w:rPr>
          <w:rFonts w:ascii="仿宋_GB2312" w:hAnsi="仿宋_GB2312" w:cs="仿宋_GB2312" w:eastAsia="仿宋_GB2312"/>
        </w:rPr>
        <w:t>11、声明函：本项目不接受联合体投标；单位负责人为同一人或者存在控股、管理关系的不同单位，不得参加同一项目的投标。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1、营业执照：在中华人民共和国境内注册，依法取得并有效存续的营业执照\事业单位法人证书\民办非企业单位登记证书\非企业专业服务机构执业许可证等。</w:t>
      </w:r>
    </w:p>
    <w:p>
      <w:pPr>
        <w:pStyle w:val="null3"/>
      </w:pPr>
      <w:r>
        <w:rPr>
          <w:rFonts w:ascii="仿宋_GB2312" w:hAnsi="仿宋_GB2312" w:cs="仿宋_GB2312" w:eastAsia="仿宋_GB2312"/>
        </w:rPr>
        <w:t>2、社会保障资金缴纳证明：提交响应文件截止时间前一年内至少一个月的社会保障资金缴存单据或社保机构开具的社会保险参保缴费情况证明，单据或证明上应有社保机构或代收机构的公章或业务专用章。（依法不需要缴纳社会保障资金的供应商应提供相应文件证明）。</w:t>
      </w:r>
    </w:p>
    <w:p>
      <w:pPr>
        <w:pStyle w:val="null3"/>
      </w:pPr>
      <w:r>
        <w:rPr>
          <w:rFonts w:ascii="仿宋_GB2312" w:hAnsi="仿宋_GB2312" w:cs="仿宋_GB2312" w:eastAsia="仿宋_GB2312"/>
        </w:rPr>
        <w:t>3、税收缴纳证明：提交响应文件截止时间前一年内至少一个月的纳税证明或完税证明（任意税种），纳税证明或完税证明上应有代收机构或税务机关的公章或业务专用章。（依法免税的供应商应提供相应文件证明）。</w:t>
      </w:r>
    </w:p>
    <w:p>
      <w:pPr>
        <w:pStyle w:val="null3"/>
      </w:pPr>
      <w:r>
        <w:rPr>
          <w:rFonts w:ascii="仿宋_GB2312" w:hAnsi="仿宋_GB2312" w:cs="仿宋_GB2312" w:eastAsia="仿宋_GB2312"/>
        </w:rPr>
        <w:t>4、财务状况证明：提供2025年度经审计的财务会计报告（包括审计报告、资产负债表、利润表、现金流量表、所有者权益变动表及其附注，成立时间至提交投标文件截止时间不足一年的可提供成立后任意时段的资产负债表），或其开标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5、投标声明书：供应商应出具参加本次政府采购活动前3年内在经营活动中没有重大违法违纪书面声明；</w:t>
      </w:r>
    </w:p>
    <w:p>
      <w:pPr>
        <w:pStyle w:val="null3"/>
      </w:pPr>
      <w:r>
        <w:rPr>
          <w:rFonts w:ascii="仿宋_GB2312" w:hAnsi="仿宋_GB2312" w:cs="仿宋_GB2312" w:eastAsia="仿宋_GB2312"/>
        </w:rPr>
        <w:t>6、履约能力：具备履行合同所必需的设备和专业技术能力的承诺；</w:t>
      </w:r>
    </w:p>
    <w:p>
      <w:pPr>
        <w:pStyle w:val="null3"/>
      </w:pPr>
      <w:r>
        <w:rPr>
          <w:rFonts w:ascii="仿宋_GB2312" w:hAnsi="仿宋_GB2312" w:cs="仿宋_GB2312" w:eastAsia="仿宋_GB2312"/>
        </w:rPr>
        <w:t>7、供应商授权合法的人员参加投标全过程：法定代表人授权委托书（附法定代表人身份证复印件）及被授权委托人身份证（法定代表人参加磋商只须提供法定代表人身份证）。</w:t>
      </w:r>
    </w:p>
    <w:p>
      <w:pPr>
        <w:pStyle w:val="null3"/>
      </w:pPr>
      <w:r>
        <w:rPr>
          <w:rFonts w:ascii="仿宋_GB2312" w:hAnsi="仿宋_GB2312" w:cs="仿宋_GB2312" w:eastAsia="仿宋_GB2312"/>
        </w:rPr>
        <w:t>8、信用查询：供应商不得列入“中国执行信息公开网”网站被列为失信被执行人、“信用中国”网站重大税收违法失信主体及“中国政府采购网”（http://www.ccgp.gov.cn/）政府采购严重违法失信行为记录名单</w:t>
      </w:r>
    </w:p>
    <w:p>
      <w:pPr>
        <w:pStyle w:val="null3"/>
      </w:pPr>
      <w:r>
        <w:rPr>
          <w:rFonts w:ascii="仿宋_GB2312" w:hAnsi="仿宋_GB2312" w:cs="仿宋_GB2312" w:eastAsia="仿宋_GB2312"/>
        </w:rPr>
        <w:t>9、供应商资质：供应商须具备工程设计综合资质甲级或建筑工程专业乙级及以上设计资质。</w:t>
      </w:r>
    </w:p>
    <w:p>
      <w:pPr>
        <w:pStyle w:val="null3"/>
      </w:pPr>
      <w:r>
        <w:rPr>
          <w:rFonts w:ascii="仿宋_GB2312" w:hAnsi="仿宋_GB2312" w:cs="仿宋_GB2312" w:eastAsia="仿宋_GB2312"/>
        </w:rPr>
        <w:t>10、项目负责人：供应商拟派设计项目负责人须具备一级注册建筑师职业资格证书且在本单位注册。</w:t>
      </w:r>
    </w:p>
    <w:p>
      <w:pPr>
        <w:pStyle w:val="null3"/>
      </w:pPr>
      <w:r>
        <w:rPr>
          <w:rFonts w:ascii="仿宋_GB2312" w:hAnsi="仿宋_GB2312" w:cs="仿宋_GB2312" w:eastAsia="仿宋_GB2312"/>
        </w:rPr>
        <w:t>11、声明函：本项目不接受联合体投标；单位负责人为同一人或者存在控股、管理关系的不同单位，不得参加同一项目的投标。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渭南市华州区住房和城乡建设局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渭南市华州区子仪路东段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714199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渭南市华州区住房和城乡建设局经办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0913-4711722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陕西华弘宸金企业管理咨询有限公司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西安市未央区未央路与凤城六路十字向西200 米盛蕾科创园C 座二楼220 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15332415798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华州区政府采购管理股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渭南市华州区政府采购管理股</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0913-4716693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采购包1：680,000.00元</w:t>
            </w:r>
          </w:p>
          <w:p>
            <w:pPr>
              <w:pStyle w:val="null3"/>
            </w:pPr>
            <w:r>
              <w:rPr>
                <w:rFonts w:ascii="仿宋_GB2312" w:hAnsi="仿宋_GB2312" w:cs="仿宋_GB2312" w:eastAsia="仿宋_GB2312"/>
              </w:rPr>
              <w:t>采购包2：340,000.00元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代理服务费收费标准：成交供应商在领取《成交通知书》之前，向采购代理机构一次付清招标代理服务费。 采购代理服务费参照原《招标代理服务收费管理暂行办法》(计价格〔2002〕1980号)规定标准计算代理报酬。</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渭南市华州区住房和城乡建设局</w:t>
      </w:r>
      <w:r>
        <w:rPr>
          <w:rFonts w:ascii="仿宋_GB2312" w:hAnsi="仿宋_GB2312" w:cs="仿宋_GB2312" w:eastAsia="仿宋_GB2312"/>
        </w:rPr>
        <w:t>和</w:t>
      </w:r>
      <w:r>
        <w:rPr>
          <w:rFonts w:ascii="仿宋_GB2312" w:hAnsi="仿宋_GB2312" w:cs="仿宋_GB2312" w:eastAsia="仿宋_GB2312"/>
        </w:rPr>
        <w:t>陕西华弘宸金企业管理咨询有限公司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渭南市华州区住房和城乡建设局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陕西华弘宸金企业管理咨询有限公司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渭南市华州区住房和城乡建设局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陕西华弘宸金企业管理咨询有限公司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陕西华弘宸金企业管理咨询有限公司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陕西华弘宸金企业管理咨询有限公司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陕西华弘宸金企业管理咨询有限公司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联系人：王静</w:t>
      </w:r>
    </w:p>
    <w:p>
      <w:pPr>
        <w:pStyle w:val="null3"/>
      </w:pPr>
      <w:r>
        <w:rPr>
          <w:rFonts w:ascii="仿宋_GB2312" w:hAnsi="仿宋_GB2312" w:cs="仿宋_GB2312" w:eastAsia="仿宋_GB2312"/>
        </w:rPr>
        <w:t>联系电话：15332415798</w:t>
      </w:r>
    </w:p>
    <w:p>
      <w:pPr>
        <w:pStyle w:val="null3"/>
      </w:pPr>
      <w:r>
        <w:rPr>
          <w:rFonts w:ascii="仿宋_GB2312" w:hAnsi="仿宋_GB2312" w:cs="仿宋_GB2312" w:eastAsia="仿宋_GB2312"/>
        </w:rPr>
        <w:t>地址：西安市未央区未央路与凤城六路十字向西200 米盛蕾科创园C 座二楼220 室</w:t>
      </w:r>
    </w:p>
    <w:p>
      <w:pPr>
        <w:pStyle w:val="null3"/>
      </w:pPr>
      <w:r>
        <w:rPr>
          <w:rFonts w:ascii="仿宋_GB2312" w:hAnsi="仿宋_GB2312" w:cs="仿宋_GB2312" w:eastAsia="仿宋_GB2312"/>
        </w:rPr>
        <w:t>邮编：710021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渭南市华州区2026年老旧小区改造配套基础设施建设项目施工图设计：完成渭南市华州区2026年老旧小区改造配套基础设施建设项目施工图设计，达到施工要求。 渭南市华州区(2001-2002)老旧小区改造项目施工图设计：完成渭南市华州区(2001-2002)老旧小区改造项目施工图设计，达到施工要求。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680,000.00</w:t>
      </w:r>
    </w:p>
    <w:p>
      <w:pPr>
        <w:pStyle w:val="null3"/>
      </w:pPr>
      <w:r>
        <w:rPr>
          <w:rFonts w:ascii="仿宋_GB2312" w:hAnsi="仿宋_GB2312" w:cs="仿宋_GB2312" w:eastAsia="仿宋_GB2312"/>
        </w:rPr>
        <w:t>采购包最高限价（元）: 680,000.00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渭南市华州区2026年老旧小区改造配套基础设施建设项目施工图设计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680,000.00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340,000.00</w:t>
      </w:r>
    </w:p>
    <w:p>
      <w:pPr>
        <w:pStyle w:val="null3"/>
      </w:pPr>
      <w:r>
        <w:rPr>
          <w:rFonts w:ascii="仿宋_GB2312" w:hAnsi="仿宋_GB2312" w:cs="仿宋_GB2312" w:eastAsia="仿宋_GB2312"/>
        </w:rPr>
        <w:t>采购包最高限价（元）: 340,000.00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渭南市华州区（2001-2002）老旧小区改造项目施工图设计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340,000.00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标的名称：渭南市华州区2026年老旧小区改造配套基础设施建设项目施工图设计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rPr>
              <w:t>1、</w:t>
            </w:r>
            <w:r>
              <w:rPr>
                <w:rFonts w:ascii="仿宋_GB2312" w:hAnsi="仿宋_GB2312" w:cs="仿宋_GB2312" w:eastAsia="仿宋_GB2312"/>
                <w:b/>
              </w:rPr>
              <w:t>项目概况</w:t>
            </w:r>
          </w:p>
          <w:p>
            <w:pPr>
              <w:pStyle w:val="null3"/>
              <w:ind w:firstLine="400"/>
            </w:pPr>
            <w:r>
              <w:rPr>
                <w:rFonts w:ascii="仿宋_GB2312" w:hAnsi="仿宋_GB2312" w:cs="仿宋_GB2312" w:eastAsia="仿宋_GB2312"/>
              </w:rPr>
              <w:t>建设规模及建设内容</w:t>
            </w:r>
            <w:r>
              <w:rPr>
                <w:rFonts w:ascii="仿宋_GB2312" w:hAnsi="仿宋_GB2312" w:cs="仿宋_GB2312" w:eastAsia="仿宋_GB2312"/>
              </w:rPr>
              <w:t>:涉及电力社区、西关社区、大街社区3个社区14个老旧小区(涉及756套、总建筑面积72050平方米)相配套基础设施，主要包括:1、在小区内建设改造道路工程28020平方米、景观恢复2项、给水管线3885米、污水管线5660米、雨水管线5660米、化粪池16座、阀门井、检查井234座、电力管网5225米、弱线管沟5225米;2、屋面防水15385平方米、外墙改造63969平方米、楼道粉刷12738平方米楼梯扶手7100米;3、在小区内建设改造路灯101盏、监控及安防工程14套、消防设施14套、环卫设施14套、自行车棚12座、新能源汽车充电桩13座、围墙改造4项。</w:t>
            </w:r>
          </w:p>
          <w:p>
            <w:pPr>
              <w:pStyle w:val="null3"/>
            </w:pPr>
            <w:r>
              <w:rPr>
                <w:rFonts w:ascii="仿宋_GB2312" w:hAnsi="仿宋_GB2312" w:cs="仿宋_GB2312" w:eastAsia="仿宋_GB2312"/>
                <w:b/>
              </w:rPr>
              <w:t>2、设计原则</w:t>
            </w:r>
            <w:r>
              <w:rPr>
                <w:rFonts w:ascii="仿宋_GB2312" w:hAnsi="仿宋_GB2312" w:cs="仿宋_GB2312" w:eastAsia="仿宋_GB2312"/>
              </w:rPr>
              <w:t>：通过精准、完整、可直接指导施工的图纸与说明，明确工程做法、尺寸、材料及构造细节，确保项目安全、经济、高效落地建成。</w:t>
            </w:r>
          </w:p>
          <w:p>
            <w:pPr>
              <w:pStyle w:val="null3"/>
            </w:pPr>
            <w:r>
              <w:rPr>
                <w:rFonts w:ascii="仿宋_GB2312" w:hAnsi="仿宋_GB2312" w:cs="仿宋_GB2312" w:eastAsia="仿宋_GB2312"/>
                <w:b/>
              </w:rPr>
              <w:t>3、设计依据</w:t>
            </w:r>
          </w:p>
          <w:p>
            <w:pPr>
              <w:pStyle w:val="null3"/>
              <w:ind w:firstLine="400"/>
            </w:pPr>
            <w:r>
              <w:rPr>
                <w:rFonts w:ascii="仿宋_GB2312" w:hAnsi="仿宋_GB2312" w:cs="仿宋_GB2312" w:eastAsia="仿宋_GB2312"/>
              </w:rPr>
              <w:t>本项目立项批复文件、现场勘察实测资料；</w:t>
            </w:r>
            <w:r>
              <w:rPr>
                <w:rFonts w:ascii="仿宋_GB2312" w:hAnsi="仿宋_GB2312" w:cs="仿宋_GB2312" w:eastAsia="仿宋_GB2312"/>
              </w:rPr>
              <w:t>供应商在设计工作中必须使用中华人民共和国《工程建设标准强制性条文》和下述标准、规范（不限于）：</w:t>
            </w:r>
          </w:p>
          <w:p>
            <w:pPr>
              <w:pStyle w:val="null3"/>
              <w:ind w:firstLine="400"/>
            </w:pPr>
            <w:r>
              <w:rPr>
                <w:rFonts w:ascii="仿宋_GB2312" w:hAnsi="仿宋_GB2312" w:cs="仿宋_GB2312" w:eastAsia="仿宋_GB2312"/>
              </w:rPr>
              <w:t>GB 50352-2019《民用建筑设计统一标准》</w:t>
            </w:r>
          </w:p>
          <w:p>
            <w:pPr>
              <w:pStyle w:val="null3"/>
              <w:ind w:firstLine="400"/>
            </w:pPr>
            <w:r>
              <w:rPr>
                <w:rFonts w:ascii="仿宋_GB2312" w:hAnsi="仿宋_GB2312" w:cs="仿宋_GB2312" w:eastAsia="仿宋_GB2312"/>
              </w:rPr>
              <w:t>2013年版《工程建设标准强制性条文(房屋建筑部分)》GB 50325-2020《民用建筑工程室内环境污染控制标准》</w:t>
            </w:r>
          </w:p>
          <w:p>
            <w:pPr>
              <w:pStyle w:val="null3"/>
              <w:ind w:firstLine="400"/>
            </w:pPr>
            <w:r>
              <w:rPr>
                <w:rFonts w:ascii="仿宋_GB2312" w:hAnsi="仿宋_GB2312" w:cs="仿宋_GB2312" w:eastAsia="仿宋_GB2312"/>
              </w:rPr>
              <w:t>GB50013-2018《室外给水设计标准》</w:t>
            </w:r>
          </w:p>
          <w:p>
            <w:pPr>
              <w:pStyle w:val="null3"/>
              <w:ind w:firstLine="400"/>
            </w:pPr>
            <w:r>
              <w:rPr>
                <w:rFonts w:ascii="仿宋_GB2312" w:hAnsi="仿宋_GB2312" w:cs="仿宋_GB2312" w:eastAsia="仿宋_GB2312"/>
              </w:rPr>
              <w:t>GB50014-2021《室外排水设计标准》</w:t>
            </w:r>
          </w:p>
          <w:p>
            <w:pPr>
              <w:pStyle w:val="null3"/>
              <w:ind w:firstLine="400"/>
            </w:pPr>
            <w:r>
              <w:rPr>
                <w:rFonts w:ascii="仿宋_GB2312" w:hAnsi="仿宋_GB2312" w:cs="仿宋_GB2312" w:eastAsia="仿宋_GB2312"/>
              </w:rPr>
              <w:t>GB50180-2018《城市居住区规划设计标准》</w:t>
            </w:r>
          </w:p>
          <w:p>
            <w:pPr>
              <w:pStyle w:val="null3"/>
              <w:ind w:firstLine="400"/>
            </w:pPr>
            <w:r>
              <w:rPr>
                <w:rFonts w:ascii="仿宋_GB2312" w:hAnsi="仿宋_GB2312" w:cs="仿宋_GB2312" w:eastAsia="仿宋_GB2312"/>
              </w:rPr>
              <w:t>设计文件深度应符合《建筑工程设计文件编制深度规定》，满足施工图审查、工程招标及现场施工要求。</w:t>
            </w:r>
          </w:p>
          <w:p>
            <w:pPr>
              <w:pStyle w:val="null3"/>
            </w:pPr>
            <w:r>
              <w:rPr>
                <w:rFonts w:ascii="仿宋_GB2312" w:hAnsi="仿宋_GB2312" w:cs="仿宋_GB2312" w:eastAsia="仿宋_GB2312"/>
                <w:b/>
              </w:rPr>
              <w:t>4</w:t>
            </w:r>
            <w:r>
              <w:rPr>
                <w:rFonts w:ascii="仿宋_GB2312" w:hAnsi="仿宋_GB2312" w:cs="仿宋_GB2312" w:eastAsia="仿宋_GB2312"/>
                <w:b/>
              </w:rPr>
              <w:t>、设计</w:t>
            </w:r>
            <w:r>
              <w:rPr>
                <w:rFonts w:ascii="仿宋_GB2312" w:hAnsi="仿宋_GB2312" w:cs="仿宋_GB2312" w:eastAsia="仿宋_GB2312"/>
                <w:b/>
              </w:rPr>
              <w:t>成果</w:t>
            </w:r>
            <w:r>
              <w:rPr>
                <w:rFonts w:ascii="仿宋_GB2312" w:hAnsi="仿宋_GB2312" w:cs="仿宋_GB2312" w:eastAsia="仿宋_GB2312"/>
              </w:rPr>
              <w:t>：</w:t>
            </w:r>
          </w:p>
          <w:p>
            <w:pPr>
              <w:pStyle w:val="null3"/>
              <w:ind w:firstLine="400"/>
            </w:pPr>
            <w:r>
              <w:rPr>
                <w:rFonts w:ascii="仿宋_GB2312" w:hAnsi="仿宋_GB2312" w:cs="仿宋_GB2312" w:eastAsia="仿宋_GB2312"/>
              </w:rPr>
              <w:t>（</w:t>
            </w:r>
            <w:r>
              <w:rPr>
                <w:rFonts w:ascii="仿宋_GB2312" w:hAnsi="仿宋_GB2312" w:cs="仿宋_GB2312" w:eastAsia="仿宋_GB2312"/>
              </w:rPr>
              <w:t>1）施工图份数：八套；</w:t>
            </w:r>
          </w:p>
          <w:p>
            <w:pPr>
              <w:pStyle w:val="null3"/>
              <w:ind w:firstLine="400"/>
            </w:pPr>
            <w:r>
              <w:rPr>
                <w:rFonts w:ascii="仿宋_GB2312" w:hAnsi="仿宋_GB2312" w:cs="仿宋_GB2312" w:eastAsia="仿宋_GB2312"/>
              </w:rPr>
              <w:t>（</w:t>
            </w:r>
            <w:r>
              <w:rPr>
                <w:rFonts w:ascii="仿宋_GB2312" w:hAnsi="仿宋_GB2312" w:cs="仿宋_GB2312" w:eastAsia="仿宋_GB2312"/>
              </w:rPr>
              <w:t>2）施工图纸等电子版。</w:t>
            </w:r>
          </w:p>
          <w:p>
            <w:pPr>
              <w:pStyle w:val="null3"/>
            </w:pPr>
            <w:r>
              <w:rPr>
                <w:rFonts w:ascii="仿宋_GB2312" w:hAnsi="仿宋_GB2312" w:cs="仿宋_GB2312" w:eastAsia="仿宋_GB2312"/>
                <w:b/>
              </w:rPr>
              <w:t>5、商务要求</w:t>
            </w:r>
          </w:p>
          <w:p>
            <w:pPr>
              <w:pStyle w:val="null3"/>
              <w:ind w:firstLine="400"/>
            </w:pPr>
            <w:r>
              <w:rPr>
                <w:rFonts w:ascii="仿宋_GB2312" w:hAnsi="仿宋_GB2312" w:cs="仿宋_GB2312" w:eastAsia="仿宋_GB2312"/>
              </w:rPr>
              <w:t>1）服务期限：自合同签订之日起30日历天提交设计成果，设计服务至该工程竣工审计决算。</w:t>
            </w:r>
          </w:p>
          <w:p>
            <w:pPr>
              <w:pStyle w:val="null3"/>
              <w:ind w:firstLine="400"/>
            </w:pPr>
            <w:r>
              <w:rPr>
                <w:rFonts w:ascii="仿宋_GB2312" w:hAnsi="仿宋_GB2312" w:cs="仿宋_GB2312" w:eastAsia="仿宋_GB2312"/>
              </w:rPr>
              <w:t>2）质量要求：设计质量合格，符合国家现行设计规范标准及施工的要求，通过施工图审查及主管部门备案，全程配合施工及验收工作。</w:t>
            </w:r>
          </w:p>
          <w:p>
            <w:pPr>
              <w:pStyle w:val="null3"/>
              <w:ind w:firstLine="400"/>
            </w:pPr>
            <w:r>
              <w:rPr>
                <w:rFonts w:ascii="仿宋_GB2312" w:hAnsi="仿宋_GB2312" w:cs="仿宋_GB2312" w:eastAsia="仿宋_GB2312"/>
              </w:rPr>
              <w:t>3）付款方式：提供施工图设计成果并经采购人确认后，达到付款条件起7日内，支付合同总金额的80%；工程竣工验收后且发包人财政资金具备支付条件后，达到付款条件起7日内，支付合同总金额的20%（具体以最终签订的设计合同为准）。</w:t>
            </w:r>
          </w:p>
          <w:p>
            <w:pPr>
              <w:pStyle w:val="null3"/>
            </w:pPr>
            <w:r>
              <w:rPr>
                <w:rFonts w:ascii="仿宋_GB2312" w:hAnsi="仿宋_GB2312" w:cs="仿宋_GB2312" w:eastAsia="仿宋_GB2312"/>
                <w:sz w:val="21"/>
              </w:rPr>
              <w:t>6、其他要求：符合相关规定。</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标的名称：渭南市华州区（2001-2002）老旧小区改造项目施工图设计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rPr>
              <w:t>1、</w:t>
            </w:r>
            <w:r>
              <w:rPr>
                <w:rFonts w:ascii="仿宋_GB2312" w:hAnsi="仿宋_GB2312" w:cs="仿宋_GB2312" w:eastAsia="仿宋_GB2312"/>
                <w:b/>
              </w:rPr>
              <w:t>项目概况</w:t>
            </w:r>
          </w:p>
          <w:p>
            <w:pPr>
              <w:pStyle w:val="null3"/>
              <w:ind w:firstLine="400"/>
            </w:pPr>
            <w:r>
              <w:rPr>
                <w:rFonts w:ascii="仿宋_GB2312" w:hAnsi="仿宋_GB2312" w:cs="仿宋_GB2312" w:eastAsia="仿宋_GB2312"/>
              </w:rPr>
              <w:t>建设规模及内容</w:t>
            </w:r>
            <w:r>
              <w:rPr>
                <w:rFonts w:ascii="仿宋_GB2312" w:hAnsi="仿宋_GB2312" w:cs="仿宋_GB2312" w:eastAsia="仿宋_GB2312"/>
              </w:rPr>
              <w:t>:涉及吴家社区、电力社区、大街社区、华盛社区、新城社区5个社区11个老旧小区(涉及356套、总建筑面积46942平方米)及配套基础设施，主要包括:①在小区内建设改造道路工程8501平方米，景观恢复3项，给水管线1655米，污水管线2725米，雨水管线2725米，化粪池9座，阀门井，检查井92座，电力管网2725米，弱线管沟2725米。②屋面防水9801平方米，外墙改造43490平方米，楼道粉刷7298平方米，楼梯扶手3974米;③在小区内建设改造路灯64盏，监控及安防工程10套，消防设施11套，环卫设施11套，自行车棚7座，新能源汽车充电桩11座，围墙改造3项。</w:t>
            </w:r>
          </w:p>
          <w:p>
            <w:pPr>
              <w:pStyle w:val="null3"/>
            </w:pPr>
            <w:r>
              <w:rPr>
                <w:rFonts w:ascii="仿宋_GB2312" w:hAnsi="仿宋_GB2312" w:cs="仿宋_GB2312" w:eastAsia="仿宋_GB2312"/>
              </w:rPr>
              <w:t>2、设计原则：通过精准、完整、可直接指导施工的图纸与说明，明确工程做法、尺寸、材料及构造细节，确保项目安全、经济、高效落地建成。</w:t>
            </w:r>
          </w:p>
          <w:p>
            <w:pPr>
              <w:pStyle w:val="null3"/>
            </w:pPr>
            <w:r>
              <w:rPr>
                <w:rFonts w:ascii="仿宋_GB2312" w:hAnsi="仿宋_GB2312" w:cs="仿宋_GB2312" w:eastAsia="仿宋_GB2312"/>
                <w:b/>
              </w:rPr>
              <w:t>2、设计原则</w:t>
            </w:r>
            <w:r>
              <w:rPr>
                <w:rFonts w:ascii="仿宋_GB2312" w:hAnsi="仿宋_GB2312" w:cs="仿宋_GB2312" w:eastAsia="仿宋_GB2312"/>
              </w:rPr>
              <w:t>：通过精准、完整、可直接指导施工的图纸与说明，明确工程做法、尺寸、材料及构造细节，确保项目安全、经济、高效落地建成。</w:t>
            </w:r>
          </w:p>
          <w:p>
            <w:pPr>
              <w:pStyle w:val="null3"/>
            </w:pPr>
            <w:r>
              <w:rPr>
                <w:rFonts w:ascii="仿宋_GB2312" w:hAnsi="仿宋_GB2312" w:cs="仿宋_GB2312" w:eastAsia="仿宋_GB2312"/>
                <w:b/>
              </w:rPr>
              <w:t>3、设计依据</w:t>
            </w:r>
          </w:p>
          <w:p>
            <w:pPr>
              <w:pStyle w:val="null3"/>
              <w:ind w:firstLine="400"/>
            </w:pPr>
            <w:r>
              <w:rPr>
                <w:rFonts w:ascii="仿宋_GB2312" w:hAnsi="仿宋_GB2312" w:cs="仿宋_GB2312" w:eastAsia="仿宋_GB2312"/>
              </w:rPr>
              <w:t>本项目立项批复文件、现场勘察实测资料；</w:t>
            </w:r>
            <w:r>
              <w:rPr>
                <w:rFonts w:ascii="仿宋_GB2312" w:hAnsi="仿宋_GB2312" w:cs="仿宋_GB2312" w:eastAsia="仿宋_GB2312"/>
              </w:rPr>
              <w:t>供应商在设计工作中必须使用中华人民共和国《工程建设标准强制性条文》和下述标准、规范（不限于）：</w:t>
            </w:r>
          </w:p>
          <w:p>
            <w:pPr>
              <w:pStyle w:val="null3"/>
              <w:ind w:firstLine="400"/>
            </w:pPr>
            <w:r>
              <w:rPr>
                <w:rFonts w:ascii="仿宋_GB2312" w:hAnsi="仿宋_GB2312" w:cs="仿宋_GB2312" w:eastAsia="仿宋_GB2312"/>
              </w:rPr>
              <w:t>GB 50352-2019《民用建筑设计统一标准》</w:t>
            </w:r>
          </w:p>
          <w:p>
            <w:pPr>
              <w:pStyle w:val="null3"/>
              <w:ind w:firstLine="400"/>
            </w:pPr>
            <w:r>
              <w:rPr>
                <w:rFonts w:ascii="仿宋_GB2312" w:hAnsi="仿宋_GB2312" w:cs="仿宋_GB2312" w:eastAsia="仿宋_GB2312"/>
              </w:rPr>
              <w:t>2013年版《工程建设标准强制性条文(房屋建筑部分)》GB 50325-2020《民用建筑工程室内环境污染控制标准》</w:t>
            </w:r>
          </w:p>
          <w:p>
            <w:pPr>
              <w:pStyle w:val="null3"/>
              <w:ind w:firstLine="400"/>
            </w:pPr>
            <w:r>
              <w:rPr>
                <w:rFonts w:ascii="仿宋_GB2312" w:hAnsi="仿宋_GB2312" w:cs="仿宋_GB2312" w:eastAsia="仿宋_GB2312"/>
              </w:rPr>
              <w:t>GB50013-2018《室外给水设计标准》</w:t>
            </w:r>
          </w:p>
          <w:p>
            <w:pPr>
              <w:pStyle w:val="null3"/>
              <w:ind w:firstLine="400"/>
            </w:pPr>
            <w:r>
              <w:rPr>
                <w:rFonts w:ascii="仿宋_GB2312" w:hAnsi="仿宋_GB2312" w:cs="仿宋_GB2312" w:eastAsia="仿宋_GB2312"/>
              </w:rPr>
              <w:t>GB50014-2021《室外排水设计标准》</w:t>
            </w:r>
          </w:p>
          <w:p>
            <w:pPr>
              <w:pStyle w:val="null3"/>
              <w:ind w:firstLine="400"/>
            </w:pPr>
            <w:r>
              <w:rPr>
                <w:rFonts w:ascii="仿宋_GB2312" w:hAnsi="仿宋_GB2312" w:cs="仿宋_GB2312" w:eastAsia="仿宋_GB2312"/>
              </w:rPr>
              <w:t>GB50180-2018《城市居住区规划设计标准》</w:t>
            </w:r>
          </w:p>
          <w:p>
            <w:pPr>
              <w:pStyle w:val="null3"/>
              <w:ind w:firstLine="400"/>
            </w:pPr>
            <w:r>
              <w:rPr>
                <w:rFonts w:ascii="仿宋_GB2312" w:hAnsi="仿宋_GB2312" w:cs="仿宋_GB2312" w:eastAsia="仿宋_GB2312"/>
              </w:rPr>
              <w:t>设计文件深度应符合《建筑工程设计文件编制深度规定》，满足施工图审查、工程招标及现场施工要求。</w:t>
            </w:r>
          </w:p>
          <w:p>
            <w:pPr>
              <w:pStyle w:val="null3"/>
            </w:pPr>
            <w:r>
              <w:rPr>
                <w:rFonts w:ascii="仿宋_GB2312" w:hAnsi="仿宋_GB2312" w:cs="仿宋_GB2312" w:eastAsia="仿宋_GB2312"/>
                <w:b/>
              </w:rPr>
              <w:t>4</w:t>
            </w:r>
            <w:r>
              <w:rPr>
                <w:rFonts w:ascii="仿宋_GB2312" w:hAnsi="仿宋_GB2312" w:cs="仿宋_GB2312" w:eastAsia="仿宋_GB2312"/>
                <w:b/>
              </w:rPr>
              <w:t>、设计</w:t>
            </w:r>
            <w:r>
              <w:rPr>
                <w:rFonts w:ascii="仿宋_GB2312" w:hAnsi="仿宋_GB2312" w:cs="仿宋_GB2312" w:eastAsia="仿宋_GB2312"/>
                <w:b/>
              </w:rPr>
              <w:t>成果</w:t>
            </w:r>
            <w:r>
              <w:rPr>
                <w:rFonts w:ascii="仿宋_GB2312" w:hAnsi="仿宋_GB2312" w:cs="仿宋_GB2312" w:eastAsia="仿宋_GB2312"/>
              </w:rPr>
              <w:t>：</w:t>
            </w:r>
          </w:p>
          <w:p>
            <w:pPr>
              <w:pStyle w:val="null3"/>
            </w:pPr>
            <w:r>
              <w:rPr>
                <w:rFonts w:ascii="仿宋_GB2312" w:hAnsi="仿宋_GB2312" w:cs="仿宋_GB2312" w:eastAsia="仿宋_GB2312"/>
              </w:rPr>
              <w:t>（</w:t>
            </w:r>
            <w:r>
              <w:rPr>
                <w:rFonts w:ascii="仿宋_GB2312" w:hAnsi="仿宋_GB2312" w:cs="仿宋_GB2312" w:eastAsia="仿宋_GB2312"/>
              </w:rPr>
              <w:t>1）施工图份数：八套；</w:t>
            </w:r>
          </w:p>
          <w:p>
            <w:pPr>
              <w:pStyle w:val="null3"/>
            </w:pPr>
            <w:r>
              <w:rPr>
                <w:rFonts w:ascii="仿宋_GB2312" w:hAnsi="仿宋_GB2312" w:cs="仿宋_GB2312" w:eastAsia="仿宋_GB2312"/>
              </w:rPr>
              <w:t>（</w:t>
            </w:r>
            <w:r>
              <w:rPr>
                <w:rFonts w:ascii="仿宋_GB2312" w:hAnsi="仿宋_GB2312" w:cs="仿宋_GB2312" w:eastAsia="仿宋_GB2312"/>
              </w:rPr>
              <w:t>2）施工图纸等电子版。</w:t>
            </w:r>
          </w:p>
          <w:p>
            <w:pPr>
              <w:pStyle w:val="null3"/>
            </w:pPr>
            <w:r>
              <w:rPr>
                <w:rFonts w:ascii="仿宋_GB2312" w:hAnsi="仿宋_GB2312" w:cs="仿宋_GB2312" w:eastAsia="仿宋_GB2312"/>
                <w:b/>
              </w:rPr>
              <w:t>5、商务要求</w:t>
            </w:r>
          </w:p>
          <w:p>
            <w:pPr>
              <w:pStyle w:val="null3"/>
              <w:ind w:firstLine="400"/>
            </w:pPr>
            <w:r>
              <w:rPr>
                <w:rFonts w:ascii="仿宋_GB2312" w:hAnsi="仿宋_GB2312" w:cs="仿宋_GB2312" w:eastAsia="仿宋_GB2312"/>
              </w:rPr>
              <w:t>1）服务期限：自合同签订之日起30日历天提交设计成果，设计服务至该工程竣工审计决算。</w:t>
            </w:r>
          </w:p>
          <w:p>
            <w:pPr>
              <w:pStyle w:val="null3"/>
              <w:ind w:firstLine="400"/>
            </w:pPr>
            <w:r>
              <w:rPr>
                <w:rFonts w:ascii="仿宋_GB2312" w:hAnsi="仿宋_GB2312" w:cs="仿宋_GB2312" w:eastAsia="仿宋_GB2312"/>
              </w:rPr>
              <w:t>2）质量要求：设计质量合格，符合国家现行设计规范标准及施工的要求，通过施工图审查及主管部门备案，全程配合施工及验收工作。</w:t>
            </w:r>
          </w:p>
          <w:p>
            <w:pPr>
              <w:pStyle w:val="null3"/>
              <w:ind w:firstLine="400"/>
            </w:pPr>
            <w:r>
              <w:rPr>
                <w:rFonts w:ascii="仿宋_GB2312" w:hAnsi="仿宋_GB2312" w:cs="仿宋_GB2312" w:eastAsia="仿宋_GB2312"/>
              </w:rPr>
              <w:t>3）付款方式：提供施工图设计成果并经采购人确认后，达到付款条件起7日内，支付合同总金额的80%；工程竣工验收后且发包人财政资金具备支付条件后，达到付款条件起7日内，支付合同总金额的20%（具体以最终签订的设计合同为准）。</w:t>
            </w:r>
          </w:p>
          <w:p>
            <w:pPr>
              <w:pStyle w:val="null3"/>
            </w:pPr>
            <w:r>
              <w:rPr>
                <w:rFonts w:ascii="仿宋_GB2312" w:hAnsi="仿宋_GB2312" w:cs="仿宋_GB2312" w:eastAsia="仿宋_GB2312"/>
                <w:sz w:val="21"/>
              </w:rPr>
              <w:t>6、其他要求：符合相关规定。</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须提供针对本项目的详细人员配备情况。要求拟派项目成员相关专业人员搭配合理、职能健全，岗位分工明确、职责清晰，包括人员配备情况及水平、人员安排、专业配置、从业经历、参与工作经验等方面，均应满足本项目采购需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供应商须提供针对本项目的详细人员配备情况。要求拟派项目成员相关专业人员搭配合理、职能健全，岗位分工明确、职责清晰，包括人员配备情况及水平、人员安排、专业配置、从业经历、参与工作经验等方面，均应满足本项目采购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提供具有履行本合同所必需的设备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提供具有履行本合同所必需的设备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满足采购人需求。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满足采购人需求。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自合同签订之日起30日历天提交设计成果，设计服务至该工程竣工审计决算。</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自合同签订之日起30日历天提交设计成果，设计服务至该工程竣工审计决算。</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按照国家、省、市、行业标准及采购人要求进行验收。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按照国家、省、市、行业标准及采购人要求进行验收。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进度款，提供施工图设计成果并经采购人确认后，达到付款条件起7个工作日内，支付合同总金额的80.0%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进度款，工程竣工验收后且发包人财政资金具备支付条件后，达到付款条件起7个工作日内，支付合同总金额的20.0%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进度款，提供施工图设计成果并经采购人确认后，达到付款条件起7个工作日内，支付合同总金额的80.0%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进度款，工程竣工验收后且发包人财政资金具备支付条件后，达到付款条件起7个工作日内，支付合同总金额的20.0%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以双方最终签订的合同内具体条款约定为准。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以双方最终签订的合同内具体条款约定为准。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1、设计人精心组织现场勘察及复查，保证设计的针对性和合理性，在实施过程中若发现异常情况，应立即向建设单位和有关部门汇报，并提出处理意见； 2、严格按照设计规范工作，达到国家与行业规范规定的设计要求。 3、在施工过程中委派专人设计代表及时到达施工现场，及时进行或确认相应的变更。 4、施工配合阶段 （1）负责工程设计交底，解答施工过程中施工单位有关施工图的问题，项目负责人及各专业设计负责人，及时对施工中与设计有关的问题做出回应，保证设计满足施工要求； （2）根据采购人以及项目建设要求，及时参加与设计有关的专题会，现场解决技术问题； （3）协助采购人处理工程洽商和设计变更，负责有关设计修改，及时办理相关手续； （4）参与与设计相关的必要的验收以及项目竣工验收工作，并及时办理相关手续； 5、以上设计要求中未明确的内容，以项目实施时招标人发出的设计任务书具体内容为准。 6、供应商需要在线提交所有通过电子化交易平台实施的政府采购项目的响应文件。注：成交供应商成交后需要提供纸质响应文件3份（一正两副），电子版1份，纸质响应文件需胶装，递交地址：西安市未央区未央路与凤城六路十字向西200 米盛蕾科创园C 座二楼220 室 7、投标人可同时对本项目多个采购包进行投标。但只能中一个采购包。同时为多个采购包的第一中标候选人时，按第一个中标采购包推荐为中标候选人，其他采购包按各采购包评审顺序依次递补中标候选人。投多个采购包的，须分别制作响应文件、分别进行报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在中华人民共和国境内注册，依法取得并有效存续的营业执照\事业单位法人证书\民办非企业单位登记证书\非企业专业服务机构执业许可证等。</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交响应文件截止时间前一年内至少一个月的社会保障资金缴存单据或社保机构开具的社会保险参保缴费情况证明，单据或证明上应有社保机构或代收机构的公章或业务专用章。（依法不需要缴纳社会保障资金的供应商应提供相应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提交响应文件截止时间前一年内至少一个月的纳税证明或完税证明（任意税种），纳税证明或完税证明上应有代收机构或税务机关的公章或业务专用章。（依法免税的供应商应提供相应文件证明）。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2025年度经审计的财务会计报告（包括审计报告、资产负债表、利润表、现金流量表、所有者权益变动表及其附注，成立时间至提交投标文件截止时间不足一年的可提供成立后任意时段的资产负债表），或其开标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投标声明书</w:t>
            </w:r>
          </w:p>
        </w:tc>
        <w:tc>
          <w:tcPr>
            <w:tcW w:type="dxa" w:w="3322"/>
          </w:tcPr>
          <w:p>
            <w:pPr>
              <w:pStyle w:val="null3"/>
            </w:pPr>
            <w:r>
              <w:rPr>
                <w:rFonts w:ascii="仿宋_GB2312" w:hAnsi="仿宋_GB2312" w:cs="仿宋_GB2312" w:eastAsia="仿宋_GB2312"/>
              </w:rPr>
              <w:t>供应商应出具参加本次政府采购活动前3年内在经营活动中没有重大违法违纪书面声明；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履约能力</w:t>
            </w:r>
          </w:p>
        </w:tc>
        <w:tc>
          <w:tcPr>
            <w:tcW w:type="dxa" w:w="3322"/>
          </w:tcPr>
          <w:p>
            <w:pPr>
              <w:pStyle w:val="null3"/>
            </w:pPr>
            <w:r>
              <w:rPr>
                <w:rFonts w:ascii="仿宋_GB2312" w:hAnsi="仿宋_GB2312" w:cs="仿宋_GB2312" w:eastAsia="仿宋_GB2312"/>
              </w:rPr>
              <w:t>具备履行合同所必需的设备和专业技术能力的承诺；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供应商授权合法的人员参加投标全过程</w:t>
            </w:r>
          </w:p>
        </w:tc>
        <w:tc>
          <w:tcPr>
            <w:tcW w:type="dxa" w:w="3322"/>
          </w:tcPr>
          <w:p>
            <w:pPr>
              <w:pStyle w:val="null3"/>
            </w:pPr>
            <w:r>
              <w:rPr>
                <w:rFonts w:ascii="仿宋_GB2312" w:hAnsi="仿宋_GB2312" w:cs="仿宋_GB2312" w:eastAsia="仿宋_GB2312"/>
              </w:rPr>
              <w:t>法定代表人授权委托书（附法定代表人身份证复印件）及被授权委托人身份证（法定代表人参加磋商只须提供法定代表人身份证）。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供应商不得列入“中国执行信息公开网”网站被列为失信被执行人、“信用中国”网站重大税收违法失信主体及“中国政府采购网”（http://www.ccgp.gov.cn/）政府采购严重违法失信行为记录名单</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供应商须具备工程设计综合资质甲级或建筑工程专业乙级及以上设计资质。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供应商拟派设计项目负责人须具备一级注册建筑师职业资格证书且在本单位注册。</w:t>
            </w:r>
          </w:p>
        </w:tc>
        <w:tc>
          <w:tcPr>
            <w:tcW w:type="dxa" w:w="1661"/>
          </w:tcPr>
          <w:p>
            <w:pPr>
              <w:pStyle w:val="null3"/>
            </w:pPr>
            <w:r>
              <w:rPr>
                <w:rFonts w:ascii="仿宋_GB2312" w:hAnsi="仿宋_GB2312" w:cs="仿宋_GB2312" w:eastAsia="仿宋_GB2312"/>
              </w:rPr>
              <w:t>拟派项目负责人简历表.docx 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声明函</w:t>
            </w:r>
          </w:p>
        </w:tc>
        <w:tc>
          <w:tcPr>
            <w:tcW w:type="dxa" w:w="3322"/>
          </w:tcPr>
          <w:p>
            <w:pPr>
              <w:pStyle w:val="null3"/>
            </w:pPr>
            <w:r>
              <w:rPr>
                <w:rFonts w:ascii="仿宋_GB2312" w:hAnsi="仿宋_GB2312" w:cs="仿宋_GB2312" w:eastAsia="仿宋_GB2312"/>
              </w:rPr>
              <w:t>本项目不接受联合体投标；单位负责人为同一人或者存在控股、管理关系的不同单位，不得参加同一项目的投标。</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在中华人民共和国境内注册，依法取得并有效存续的营业执照\事业单位法人证书\民办非企业单位登记证书\非企业专业服务机构执业许可证等。</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交响应文件截止时间前一年内至少一个月的社会保障资金缴存单据或社保机构开具的社会保险参保缴费情况证明，单据或证明上应有社保机构或代收机构的公章或业务专用章。（依法不需要缴纳社会保障资金的供应商应提供相应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提交响应文件截止时间前一年内至少一个月的纳税证明或完税证明（任意税种），纳税证明或完税证明上应有代收机构或税务机关的公章或业务专用章。（依法免税的供应商应提供相应文件证明）。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2025年度经审计的财务会计报告（包括审计报告、资产负债表、利润表、现金流量表、所有者权益变动表及其附注，成立时间至提交投标文件截止时间不足一年的可提供成立后任意时段的资产负债表），或其开标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投标声明书</w:t>
            </w:r>
          </w:p>
        </w:tc>
        <w:tc>
          <w:tcPr>
            <w:tcW w:type="dxa" w:w="3322"/>
          </w:tcPr>
          <w:p>
            <w:pPr>
              <w:pStyle w:val="null3"/>
            </w:pPr>
            <w:r>
              <w:rPr>
                <w:rFonts w:ascii="仿宋_GB2312" w:hAnsi="仿宋_GB2312" w:cs="仿宋_GB2312" w:eastAsia="仿宋_GB2312"/>
              </w:rPr>
              <w:t>供应商应出具参加本次政府采购活动前3年内在经营活动中没有重大违法违纪书面声明；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履约能力</w:t>
            </w:r>
          </w:p>
        </w:tc>
        <w:tc>
          <w:tcPr>
            <w:tcW w:type="dxa" w:w="3322"/>
          </w:tcPr>
          <w:p>
            <w:pPr>
              <w:pStyle w:val="null3"/>
            </w:pPr>
            <w:r>
              <w:rPr>
                <w:rFonts w:ascii="仿宋_GB2312" w:hAnsi="仿宋_GB2312" w:cs="仿宋_GB2312" w:eastAsia="仿宋_GB2312"/>
              </w:rPr>
              <w:t>具备履行合同所必需的设备和专业技术能力的承诺；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供应商授权合法的人员参加投标全过程</w:t>
            </w:r>
          </w:p>
        </w:tc>
        <w:tc>
          <w:tcPr>
            <w:tcW w:type="dxa" w:w="3322"/>
          </w:tcPr>
          <w:p>
            <w:pPr>
              <w:pStyle w:val="null3"/>
            </w:pPr>
            <w:r>
              <w:rPr>
                <w:rFonts w:ascii="仿宋_GB2312" w:hAnsi="仿宋_GB2312" w:cs="仿宋_GB2312" w:eastAsia="仿宋_GB2312"/>
              </w:rPr>
              <w:t>法定代表人授权委托书（附法定代表人身份证复印件）及被授权委托人身份证（法定代表人参加磋商只须提供法定代表人身份证）。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供应商不得列入“中国执行信息公开网”网站被列为失信被执行人、“信用中国”网站重大税收违法失信主体及“中国政府采购网”（http://www.ccgp.gov.cn/）政府采购严重违法失信行为记录名单</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供应商须具备工程设计综合资质甲级或建筑工程专业乙级及以上设计资质。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供应商拟派设计项目负责人须具备一级注册建筑师职业资格证书且在本单位注册。</w:t>
            </w:r>
          </w:p>
        </w:tc>
        <w:tc>
          <w:tcPr>
            <w:tcW w:type="dxa" w:w="1661"/>
          </w:tcPr>
          <w:p>
            <w:pPr>
              <w:pStyle w:val="null3"/>
            </w:pPr>
            <w:r>
              <w:rPr>
                <w:rFonts w:ascii="仿宋_GB2312" w:hAnsi="仿宋_GB2312" w:cs="仿宋_GB2312" w:eastAsia="仿宋_GB2312"/>
              </w:rPr>
              <w:t>拟派项目负责人简历表.docx 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声明函</w:t>
            </w:r>
          </w:p>
        </w:tc>
        <w:tc>
          <w:tcPr>
            <w:tcW w:type="dxa" w:w="3322"/>
          </w:tcPr>
          <w:p>
            <w:pPr>
              <w:pStyle w:val="null3"/>
            </w:pPr>
            <w:r>
              <w:rPr>
                <w:rFonts w:ascii="仿宋_GB2312" w:hAnsi="仿宋_GB2312" w:cs="仿宋_GB2312" w:eastAsia="仿宋_GB2312"/>
              </w:rPr>
              <w:t>本项目不接受联合体投标；单位负责人为同一人或者存在控股、管理关系的不同单位，不得参加同一项目的投标。</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供应商名称与营业执照、资质证书一致。</w:t>
            </w:r>
          </w:p>
        </w:tc>
        <w:tc>
          <w:tcPr>
            <w:tcW w:type="dxa" w:w="1661"/>
          </w:tcPr>
          <w:p>
            <w:pPr>
              <w:pStyle w:val="null3"/>
            </w:pPr>
            <w:r>
              <w:rPr>
                <w:rFonts w:ascii="仿宋_GB2312" w:hAnsi="仿宋_GB2312" w:cs="仿宋_GB2312" w:eastAsia="仿宋_GB2312"/>
              </w:rPr>
              <w:t>响应文件封面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响应文件、响应函加盖单位公章、经法定代表人或被授权委托人签字或盖章</w:t>
            </w:r>
          </w:p>
        </w:tc>
        <w:tc>
          <w:tcPr>
            <w:tcW w:type="dxa" w:w="1661"/>
          </w:tcPr>
          <w:p>
            <w:pPr>
              <w:pStyle w:val="null3"/>
            </w:pPr>
            <w:r>
              <w:rPr>
                <w:rFonts w:ascii="仿宋_GB2312" w:hAnsi="仿宋_GB2312" w:cs="仿宋_GB2312" w:eastAsia="仿宋_GB2312"/>
              </w:rPr>
              <w:t>中小企业声明函 商务应答表 服务内容及服务要求应答表 供应商应提交的相关资格证明材料 报价表 类似项目情况表（业绩一览表）.docx 响应文件封面 残疾人福利性单位声明函 拒绝政府采购领域商业贿赂承诺书.docx 服务方案 拟派项目负责人简历表.docx 标的清单 项目管理机构组成表.docx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响应文件报价</w:t>
            </w:r>
          </w:p>
        </w:tc>
        <w:tc>
          <w:tcPr>
            <w:tcW w:type="dxa" w:w="3322"/>
          </w:tcPr>
          <w:p>
            <w:pPr>
              <w:pStyle w:val="null3"/>
            </w:pPr>
            <w:r>
              <w:rPr>
                <w:rFonts w:ascii="仿宋_GB2312" w:hAnsi="仿宋_GB2312" w:cs="仿宋_GB2312" w:eastAsia="仿宋_GB2312"/>
              </w:rPr>
              <w:t>同时满足以下条款： （1）货币单位符合招标文件要求（2）报价符合唯一性要求 （3）未超出采购预算或最高限价（4）未出现选择性报价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投标有效期满足磋商文件要求(合格)，投标文件无投标有效期或有效期不满足招标文件要求(不合格)</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应满足磋商文件中要求的服务期限</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法律、法规和招标文件规定的其他无效投标情形</w:t>
            </w:r>
          </w:p>
        </w:tc>
        <w:tc>
          <w:tcPr>
            <w:tcW w:type="dxa" w:w="3322"/>
          </w:tcPr>
          <w:p>
            <w:pPr>
              <w:pStyle w:val="null3"/>
            </w:pPr>
            <w:r>
              <w:rPr>
                <w:rFonts w:ascii="仿宋_GB2312" w:hAnsi="仿宋_GB2312" w:cs="仿宋_GB2312" w:eastAsia="仿宋_GB2312"/>
              </w:rPr>
              <w:t>无法律、法规和招标文件规定的其他无效投标情形</w:t>
            </w:r>
          </w:p>
        </w:tc>
        <w:tc>
          <w:tcPr>
            <w:tcW w:type="dxa" w:w="1661"/>
          </w:tcPr>
          <w:p>
            <w:pPr>
              <w:pStyle w:val="null3"/>
            </w:pPr>
            <w:r>
              <w:rPr>
                <w:rFonts w:ascii="仿宋_GB2312" w:hAnsi="仿宋_GB2312" w:cs="仿宋_GB2312" w:eastAsia="仿宋_GB2312"/>
              </w:rPr>
              <w:t>拒绝政府采购领域商业贿赂承诺书.docx 供应商应提交的相关资格证明材料 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供应商名称与营业执照、资质证书一致。</w:t>
            </w:r>
          </w:p>
        </w:tc>
        <w:tc>
          <w:tcPr>
            <w:tcW w:type="dxa" w:w="1661"/>
          </w:tcPr>
          <w:p>
            <w:pPr>
              <w:pStyle w:val="null3"/>
            </w:pPr>
            <w:r>
              <w:rPr>
                <w:rFonts w:ascii="仿宋_GB2312" w:hAnsi="仿宋_GB2312" w:cs="仿宋_GB2312" w:eastAsia="仿宋_GB2312"/>
              </w:rPr>
              <w:t>响应文件封面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响应文件、响应函加盖单位公章、经法定代表人或被授权委托人签字或盖章</w:t>
            </w:r>
          </w:p>
        </w:tc>
        <w:tc>
          <w:tcPr>
            <w:tcW w:type="dxa" w:w="1661"/>
          </w:tcPr>
          <w:p>
            <w:pPr>
              <w:pStyle w:val="null3"/>
            </w:pPr>
            <w:r>
              <w:rPr>
                <w:rFonts w:ascii="仿宋_GB2312" w:hAnsi="仿宋_GB2312" w:cs="仿宋_GB2312" w:eastAsia="仿宋_GB2312"/>
              </w:rPr>
              <w:t>中小企业声明函 商务应答表 供应商应提交的相关资格证明材料 服务内容及服务要求应答表 报价表 类似项目情况表（业绩一览表）.docx 响应文件封面 残疾人福利性单位声明函 拒绝政府采购领域商业贿赂承诺书.docx 服务方案 拟派项目负责人简历表.docx 标的清单 项目管理机构组成表.docx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响应文件报价</w:t>
            </w:r>
          </w:p>
        </w:tc>
        <w:tc>
          <w:tcPr>
            <w:tcW w:type="dxa" w:w="3322"/>
          </w:tcPr>
          <w:p>
            <w:pPr>
              <w:pStyle w:val="null3"/>
            </w:pPr>
            <w:r>
              <w:rPr>
                <w:rFonts w:ascii="仿宋_GB2312" w:hAnsi="仿宋_GB2312" w:cs="仿宋_GB2312" w:eastAsia="仿宋_GB2312"/>
              </w:rPr>
              <w:t>同时满足以下条款： （1）货币单位符合招标文件要求（2）报价符合唯一性要求 （3）未超出采购预算或最高限价（4）未出现选择性报价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投标有效期满足磋商文件要求(合格)，投标文件无投标有效期或有效期不满足招标文件要求(不合格)</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应满足磋商文件中要求的服务期限</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法律、法规和招标文件规定的其他无效投标情形</w:t>
            </w:r>
          </w:p>
        </w:tc>
        <w:tc>
          <w:tcPr>
            <w:tcW w:type="dxa" w:w="3322"/>
          </w:tcPr>
          <w:p>
            <w:pPr>
              <w:pStyle w:val="null3"/>
            </w:pPr>
            <w:r>
              <w:rPr>
                <w:rFonts w:ascii="仿宋_GB2312" w:hAnsi="仿宋_GB2312" w:cs="仿宋_GB2312" w:eastAsia="仿宋_GB2312"/>
              </w:rPr>
              <w:t>无法律、法规和招标文件规定的其他无效投标情形</w:t>
            </w:r>
          </w:p>
        </w:tc>
        <w:tc>
          <w:tcPr>
            <w:tcW w:type="dxa" w:w="1661"/>
          </w:tcPr>
          <w:p>
            <w:pPr>
              <w:pStyle w:val="null3"/>
            </w:pPr>
            <w:r>
              <w:rPr>
                <w:rFonts w:ascii="仿宋_GB2312" w:hAnsi="仿宋_GB2312" w:cs="仿宋_GB2312" w:eastAsia="仿宋_GB2312"/>
              </w:rPr>
              <w:t>拒绝政府采购领域商业贿赂承诺书.docx 供应商应提交的相关资格证明材料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总体设计方案</w:t>
            </w:r>
          </w:p>
        </w:tc>
        <w:tc>
          <w:tcPr>
            <w:tcW w:type="dxa" w:w="2492"/>
          </w:tcPr>
          <w:p>
            <w:pPr>
              <w:pStyle w:val="null3"/>
            </w:pPr>
            <w:r>
              <w:rPr>
                <w:rFonts w:ascii="仿宋_GB2312" w:hAnsi="仿宋_GB2312" w:cs="仿宋_GB2312" w:eastAsia="仿宋_GB2312"/>
              </w:rPr>
              <w:t>评审内容：①总体设计方案；②对本项目理解及分析；③对本项目设计工作内容概述。 评审标准:方案各部分内容全面详细、阐述条理清晰详尽、符合本项目采购需求得满分12分；评审内容每缺一项扣4分；评审内容有一处缺陷（缺陷是指：内容粗略、逻辑混乱、描述过于简单、与项目特点不匹配、凭空编造、逻辑漏洞、出现常识性错误、存在不适用项目实际情况的情形或只有标题没有实质性内容等）扣1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设计质量保证措施</w:t>
            </w:r>
          </w:p>
        </w:tc>
        <w:tc>
          <w:tcPr>
            <w:tcW w:type="dxa" w:w="2492"/>
          </w:tcPr>
          <w:p>
            <w:pPr>
              <w:pStyle w:val="null3"/>
            </w:pPr>
            <w:r>
              <w:rPr>
                <w:rFonts w:ascii="仿宋_GB2312" w:hAnsi="仿宋_GB2312" w:cs="仿宋_GB2312" w:eastAsia="仿宋_GB2312"/>
              </w:rPr>
              <w:t>评审内容：①设计规范和标准；②设计质量全过程管控措施；③成果文件合规性与交付保障措施等方面进行综合评分。 评审标准:方案各部分内容全面详细、阐述条理清晰详尽、符合本项目采购需求得满分9分，评审内容每缺一项扣3分；评审内容有一处缺陷（缺陷是指：内容粗略、逻辑混乱、描述过于简单、与项目特点不匹配、凭空编造、逻辑漏洞、出现常识性错误、存在不适用项目实际情况的情形或只有标题没有实质性内容等）扣1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设计进度保证措施</w:t>
            </w:r>
          </w:p>
        </w:tc>
        <w:tc>
          <w:tcPr>
            <w:tcW w:type="dxa" w:w="2492"/>
          </w:tcPr>
          <w:p>
            <w:pPr>
              <w:pStyle w:val="null3"/>
            </w:pPr>
            <w:r>
              <w:rPr>
                <w:rFonts w:ascii="仿宋_GB2312" w:hAnsi="仿宋_GB2312" w:cs="仿宋_GB2312" w:eastAsia="仿宋_GB2312"/>
              </w:rPr>
              <w:t>评审内容：①项目工作计划；②项目进度安排；③项目进度保证措施。 评审标准:方案各部分内容全面详细、阐述条理清晰详尽、符合本项目采购需求得9分;评审内容每缺一项扣3分；评审内容有一处缺陷（缺陷是指：内容粗略、逻辑混乱、描述过于简单、与项目特点不匹配、凭空编造、逻辑漏洞、出现常识性错误、存在不适用项目实际情况的情形或只有标题没有实质性内容等）扣1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重、难点分析的对策措施</w:t>
            </w:r>
          </w:p>
        </w:tc>
        <w:tc>
          <w:tcPr>
            <w:tcW w:type="dxa" w:w="2492"/>
          </w:tcPr>
          <w:p>
            <w:pPr>
              <w:pStyle w:val="null3"/>
            </w:pPr>
            <w:r>
              <w:rPr>
                <w:rFonts w:ascii="仿宋_GB2312" w:hAnsi="仿宋_GB2312" w:cs="仿宋_GB2312" w:eastAsia="仿宋_GB2312"/>
              </w:rPr>
              <w:t>评审内容：①对本项目实施面临的重点、难点进行分析；②对本项目重点、难点的应对措施。 评审标准:方案各部分内容全面详细、阐述条理清晰详尽、符合本项目采购需求得6分;评审内容每缺一项扣3分；评审内容有一处缺陷（缺陷是指：内容粗略、逻辑混乱、描述过于简单、与项目特点不匹配、凭空编造、逻辑漏洞、出现常识性错误、存在不适用项目实际情况的情形或只有标题没有实质性内容等）扣1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设计阶段工程造价控制措施</w:t>
            </w:r>
          </w:p>
        </w:tc>
        <w:tc>
          <w:tcPr>
            <w:tcW w:type="dxa" w:w="2492"/>
          </w:tcPr>
          <w:p>
            <w:pPr>
              <w:pStyle w:val="null3"/>
            </w:pPr>
            <w:r>
              <w:rPr>
                <w:rFonts w:ascii="仿宋_GB2312" w:hAnsi="仿宋_GB2312" w:cs="仿宋_GB2312" w:eastAsia="仿宋_GB2312"/>
              </w:rPr>
              <w:t>评审内容：根据供应商提供的①设计阶段造价影响因素及常见风险梳理；②限额设计、方案比选及优化控制措施等方面进行综合评分。 评审标准:方案各部分内容全面详细、阐述条理清晰详尽、符合本项目采购需求得4分;评审内容每缺一项扣2分；评审内容有一处缺陷（缺陷是指：内容粗略、逻辑混乱、描述过于简单、与项目特点不匹配、凭空编造、逻辑漏洞、出现常识性错误、存在不适用项目实际情况的情形或只有标题没有实质性内容等）扣1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评审内容：根据供应商提供的①设计成果质量承诺；②现场配合、答疑及响应时效承诺；③成果交付进度与合规性承诺；④服务期内项目团队稳定性承诺等方面服务承诺。 评审标准：方案各部分内容全面详细，满足评审内容①～④项内容得满分6分（提供承诺书）。注：承诺书内容①～④项任意一项缺项扣1.5分，扣完为止；未提供材料不得分。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①项目负责人具有相关专业高级职称得3分，中级职称得2分，未提供或提供不全的不得分（需提供职称证书和近一个月社保证明）。 ②项目负责人须提供在同类项目中担任项目负责人的业绩证明（提供合同原件扫描件或业主单位出具的履约证明）每提供一项得2.5分，此项最高得5分，未提供或提供不全的不得分。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类似项目情况表（业绩一览表）.docx</w:t>
            </w:r>
          </w:p>
          <w:p>
            <w:pPr>
              <w:pStyle w:val="null3"/>
            </w:pPr>
            <w:r>
              <w:rPr>
                <w:rFonts w:ascii="仿宋_GB2312" w:hAnsi="仿宋_GB2312" w:cs="仿宋_GB2312" w:eastAsia="仿宋_GB2312"/>
              </w:rPr>
              <w:t>拟派项目负责人简历表.docx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项目团队人员具体要求如下： 除设计负责人外，配备建筑工程、结构工程、给排水工程、电气工程、景观相关专业中级及以上职称得基础分7分，每额外增加1名相关专业中级及以上职称得2分，最高4分（提供职称证复印件加盖公章）</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具有2023年7月1日以后类似项目业绩（以合同签订复印件加盖公章为依据）。每提供一个业绩得3分，满分15分。注：类似项目须提供合同关键页（包含签订合同双方的单位名称、项目名称、项目内容、双方签字盖章页及合同签订日期等）未按要求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类似项目情况表（业绩一览表）.docx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价格分采用低价优先法计算，即满足磋商文件要求且投标价格最低的投标报价为评审基准价，其价格分为满分。其他投标人的价格分统一按照下列公式计算： 投标报价得分=（评审基准价/投标报价） ×20 投标报价明显低于其他投标人，经磋商小组质询后不能在规定时间内说明理由，或说明理由但评审委员会认为理由不能成立的，客观上形成不良竞争，按无效标处理。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总体设计方案</w:t>
            </w:r>
          </w:p>
        </w:tc>
        <w:tc>
          <w:tcPr>
            <w:tcW w:type="dxa" w:w="2492"/>
          </w:tcPr>
          <w:p>
            <w:pPr>
              <w:pStyle w:val="null3"/>
            </w:pPr>
            <w:r>
              <w:rPr>
                <w:rFonts w:ascii="仿宋_GB2312" w:hAnsi="仿宋_GB2312" w:cs="仿宋_GB2312" w:eastAsia="仿宋_GB2312"/>
              </w:rPr>
              <w:t>评审内容：①总体设计方案；②对本项目理解及分析；③对本项目设计工作内容概述。 评审标准:方案各部分内容全面详细、阐述条理清晰详尽、符合本项目采购需求得满分12分；评审内容每缺一项扣4分；评审内容有一处缺陷（缺陷是指：内容粗略、逻辑混乱、描述过于简单、与项目特点不匹配、凭空编造、逻辑漏洞、出现常识性错误、存在不适用项目实际情况的情形或只有标题没有实质性内容等）扣1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设计质量保证措施</w:t>
            </w:r>
          </w:p>
        </w:tc>
        <w:tc>
          <w:tcPr>
            <w:tcW w:type="dxa" w:w="2492"/>
          </w:tcPr>
          <w:p>
            <w:pPr>
              <w:pStyle w:val="null3"/>
            </w:pPr>
            <w:r>
              <w:rPr>
                <w:rFonts w:ascii="仿宋_GB2312" w:hAnsi="仿宋_GB2312" w:cs="仿宋_GB2312" w:eastAsia="仿宋_GB2312"/>
              </w:rPr>
              <w:t>评审内容：①设计规范和标准；②设计质量全过程管控措施；③成果文件合规性与交付保障措施等方面进行综合评分。 评审标准:方案各部分内容全面详细、阐述条理清晰详尽、符合本项目采购需求得满分9分，评审内容每缺一项扣3分；评审内容有一处缺陷（缺陷是指：内容粗略、逻辑混乱、描述过于简单、与项目特点不匹配、凭空编造、逻辑漏洞、出现常识性错误、存在不适用项目实际情况的情形或只有标题没有实质性内容等）扣1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设计进度保证措施</w:t>
            </w:r>
          </w:p>
        </w:tc>
        <w:tc>
          <w:tcPr>
            <w:tcW w:type="dxa" w:w="2492"/>
          </w:tcPr>
          <w:p>
            <w:pPr>
              <w:pStyle w:val="null3"/>
            </w:pPr>
            <w:r>
              <w:rPr>
                <w:rFonts w:ascii="仿宋_GB2312" w:hAnsi="仿宋_GB2312" w:cs="仿宋_GB2312" w:eastAsia="仿宋_GB2312"/>
              </w:rPr>
              <w:t>评审内容：①项目工作计划；②项目进度安排；③项目进度保证措施。 评审标准:方案各部分内容全面详细、阐述条理清晰详尽、符合本项目采购需求得9分;评审内容每缺一项扣3分；评审内容有一处缺陷（缺陷是指：内容粗略、逻辑混乱、描述过于简单、与项目特点不匹配、凭空编造、逻辑漏洞、出现常识性错误、存在不适用项目实际情况的情形或只有标题没有实质性内容等）扣1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重、难点分析的对策措施</w:t>
            </w:r>
          </w:p>
        </w:tc>
        <w:tc>
          <w:tcPr>
            <w:tcW w:type="dxa" w:w="2492"/>
          </w:tcPr>
          <w:p>
            <w:pPr>
              <w:pStyle w:val="null3"/>
            </w:pPr>
            <w:r>
              <w:rPr>
                <w:rFonts w:ascii="仿宋_GB2312" w:hAnsi="仿宋_GB2312" w:cs="仿宋_GB2312" w:eastAsia="仿宋_GB2312"/>
              </w:rPr>
              <w:t>评审内容：①对本项目实施面临的重点、难点进行分析；②对本项目重点、难点的应对措施。 评审标准:方案各部分内容全面详细、阐述条理清晰详尽、符合本项目采购需求得6分;评审内容每缺一项扣3分；评审内容有一处缺陷（缺陷是指：内容粗略、逻辑混乱、描述过于简单、与项目特点不匹配、凭空编造、逻辑漏洞、出现常识性错误、存在不适用项目实际情况的情形或只有标题没有实质性内容等）扣1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设计阶段工程造价控制措施</w:t>
            </w:r>
          </w:p>
        </w:tc>
        <w:tc>
          <w:tcPr>
            <w:tcW w:type="dxa" w:w="2492"/>
          </w:tcPr>
          <w:p>
            <w:pPr>
              <w:pStyle w:val="null3"/>
            </w:pPr>
            <w:r>
              <w:rPr>
                <w:rFonts w:ascii="仿宋_GB2312" w:hAnsi="仿宋_GB2312" w:cs="仿宋_GB2312" w:eastAsia="仿宋_GB2312"/>
              </w:rPr>
              <w:t>评审内容：根据供应商提供的①设计阶段造价影响因素及常见风险梳理；②限额设计、方案比选及优化控制措施等方面进行综合评分。 评审标准:方案各部分内容全面详细、阐述条理清晰详尽、符合本项目采购需求得4分;评审内容每缺一项扣2分；评审内容有一处缺陷（缺陷是指：内容粗略、逻辑混乱、描述过于简单、与项目特点不匹配、凭空编造、逻辑漏洞、出现常识性错误、存在不适用项目实际情况的情形或只有标题没有实质性内容等）扣1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评审内容：根据供应商提供的①设计成果质量承诺；②现场配合、答疑及响应时效承诺；③成果交付进度与合规性承诺；④服务期内项目团队稳定性承诺等方面服务承诺。 评审标准：方案各部分内容全面详细，满足评审内容①～④项内容得满分6分（提供承诺书）。注：承诺书内容①～④项任意一项缺项扣1.5分，扣完为止；未提供材料不得分。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①项目负责人具有相关专业高级职称得3分，中级职称得2分，未提供或提供不全的不得分（需提供职称证书和近一个月社保证明）。 ②项目负责人须提供在同类项目中担任项目负责人的业绩证明（提供合同原件扫描件或业主单位出具的履约证明）每提供一项得2.5分，此项最高得5分，未提供或提供不全的不得分。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类似项目情况表（业绩一览表）.docx</w:t>
            </w:r>
          </w:p>
          <w:p>
            <w:pPr>
              <w:pStyle w:val="null3"/>
            </w:pPr>
            <w:r>
              <w:rPr>
                <w:rFonts w:ascii="仿宋_GB2312" w:hAnsi="仿宋_GB2312" w:cs="仿宋_GB2312" w:eastAsia="仿宋_GB2312"/>
              </w:rPr>
              <w:t>拟派项目负责人简历表.docx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项目团队人员具体要求如下：除设计负责人外，配备建筑工程、结构工程、给排水工程、电气工程、景观相关专业中级及以上职称得基础分7分，每额外增加1名相关专业中级及以上职称得2分，最高4分（提供职称证复印件加盖公章）</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具有2023年7月1日以后类似项目业绩（以合同签订复印件加盖公章为依据）。每提供一个业绩得3分，满分15分。注：类似项目须提供合同关键页（包含签订合同双方的单位名称、项目名称、项目内容、双方签字盖章页及合同签订日期等）未按要求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类似项目情况表（业绩一览表）.docx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价格分采用低价优先法计算，即满足磋商文件要求且投标价格最低的投标报价为评审基准价，其价格分为满分。其他投标人的价格分统一按照下列公式计算： 投标报价得分=（评审基准价/投标报价） ×20 投标报价明显低于其他投标人，经磋商小组质询后不能在规定时间内说明理由，或说明理由但评审委员会认为理由不能成立的，客观上形成不良竞争，按无效标处理。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详见附件：类似项目情况表（业绩一览表）.docx</w:t>
      </w:r>
    </w:p>
    <w:p>
      <w:pPr>
        <w:pStyle w:val="null3"/>
        <w:ind w:firstLine="960"/>
      </w:pPr>
      <w:r>
        <w:rPr>
          <w:rFonts w:ascii="仿宋_GB2312" w:hAnsi="仿宋_GB2312" w:cs="仿宋_GB2312" w:eastAsia="仿宋_GB2312"/>
        </w:rPr>
        <w:t>详见附件：拟派项目负责人简历表.docx</w:t>
      </w:r>
    </w:p>
    <w:p>
      <w:pPr>
        <w:pStyle w:val="null3"/>
        <w:ind w:firstLine="960"/>
      </w:pPr>
      <w:r>
        <w:rPr>
          <w:rFonts w:ascii="仿宋_GB2312" w:hAnsi="仿宋_GB2312" w:cs="仿宋_GB2312" w:eastAsia="仿宋_GB2312"/>
        </w:rPr>
        <w:t>详见附件：项目管理机构组成表.docx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详见附件：类似项目情况表（业绩一览表）.docx</w:t>
      </w:r>
    </w:p>
    <w:p>
      <w:pPr>
        <w:pStyle w:val="null3"/>
        <w:ind w:firstLine="960"/>
      </w:pPr>
      <w:r>
        <w:rPr>
          <w:rFonts w:ascii="仿宋_GB2312" w:hAnsi="仿宋_GB2312" w:cs="仿宋_GB2312" w:eastAsia="仿宋_GB2312"/>
        </w:rPr>
        <w:t>详见附件：拟派项目负责人简历表.docx</w:t>
      </w:r>
    </w:p>
    <w:p>
      <w:pPr>
        <w:pStyle w:val="null3"/>
        <w:ind w:firstLine="960"/>
      </w:pPr>
      <w:r>
        <w:rPr>
          <w:rFonts w:ascii="仿宋_GB2312" w:hAnsi="仿宋_GB2312" w:cs="仿宋_GB2312" w:eastAsia="仿宋_GB2312"/>
        </w:rPr>
        <w:t>详见附件：项目管理机构组成表.docx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