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版本号：KY2026-3-282.1B120260807001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冲击试验台采购项目(二次)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KY2026-3-282.1B1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冲击试验台采购项目(二次)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KY2026-3-282.1B1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冲击试验台采购项目(二次)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冲击试验台采购，1套，具体详见采购文件。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冲击试验台采购，1套。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冲击试验台采购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标的名称：冲击试验台采购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8"/>
              <w:gridCol w:w="250"/>
              <w:gridCol w:w="1915"/>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b/>
                    </w:rPr>
                    <w:t>参数性质</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b/>
                    </w:rPr>
                    <w:t>序号</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b/>
                    </w:rPr>
                    <w:t>技术参数与性能指标</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9"/>
                      <w:b/>
                    </w:rPr>
                    <w:t>冲击试验系统</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碰撞频率</w:t>
                  </w:r>
                  <w:r>
                    <w:rPr>
                      <w:rFonts w:ascii="仿宋_GB2312" w:hAnsi="仿宋_GB2312" w:cs="仿宋_GB2312" w:eastAsia="仿宋_GB2312"/>
                      <w:sz w:val="19"/>
                    </w:rPr>
                    <w:t>≤10min／1000次@（负载0~25KG）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最大碰撞冲击峰值加速度</w:t>
                  </w:r>
                  <w:r>
                    <w:rPr>
                      <w:rFonts w:ascii="仿宋_GB2312" w:hAnsi="仿宋_GB2312" w:cs="仿宋_GB2312" w:eastAsia="仿宋_GB2312"/>
                      <w:sz w:val="19"/>
                    </w:rPr>
                    <w:t>≥500g@（负载0~25KG）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脉冲持续时间（</w:t>
                  </w:r>
                  <w:r>
                    <w:rPr>
                      <w:rFonts w:ascii="仿宋_GB2312" w:hAnsi="仿宋_GB2312" w:cs="仿宋_GB2312" w:eastAsia="仿宋_GB2312"/>
                      <w:sz w:val="19"/>
                    </w:rPr>
                    <w:t>ms）：1.3～10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w:t>
                  </w:r>
                  <w:r>
                    <w:rPr>
                      <w:rFonts w:ascii="仿宋_GB2312" w:hAnsi="仿宋_GB2312" w:cs="仿宋_GB2312" w:eastAsia="仿宋_GB2312"/>
                      <w:sz w:val="19"/>
                    </w:rPr>
                    <w:t>500g）脉冲持续时间（ms）≥1.3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台面铝合金材质，台面尺寸（长</w:t>
                  </w:r>
                  <w:r>
                    <w:rPr>
                      <w:rFonts w:ascii="仿宋_GB2312" w:hAnsi="仿宋_GB2312" w:cs="仿宋_GB2312" w:eastAsia="仿宋_GB2312"/>
                      <w:sz w:val="19"/>
                    </w:rPr>
                    <w:t>×宽）≥300mm×300mm（铝合金）</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1.6</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波形：半正弦波</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负载</w:t>
                  </w:r>
                  <w:r>
                    <w:rPr>
                      <w:rFonts w:ascii="仿宋_GB2312" w:hAnsi="仿宋_GB2312" w:cs="仿宋_GB2312" w:eastAsia="仿宋_GB2312"/>
                      <w:sz w:val="19"/>
                    </w:rPr>
                    <w:t>≥300kg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要求设备的操控系统人机界面友好、数据详尽、操作便捷，能够显示所有试验所需数据信息；要求设备的信号采集与控制集成在一个软件窗口，可对峰值加速度、脉冲宽度、碰撞频次等试验参数进行自行设定。</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要求设备的测量控制系统的输入通道</w:t>
                  </w:r>
                  <w:r>
                    <w:rPr>
                      <w:rFonts w:ascii="仿宋_GB2312" w:hAnsi="仿宋_GB2312" w:cs="仿宋_GB2312" w:eastAsia="仿宋_GB2312"/>
                      <w:sz w:val="19"/>
                    </w:rPr>
                    <w:t>≥2个。</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b/>
                    </w:rPr>
                    <w:t>高温试验箱系统</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工作室尺寸容积：</w:t>
                  </w:r>
                  <w:r>
                    <w:rPr>
                      <w:rFonts w:ascii="仿宋_GB2312" w:hAnsi="仿宋_GB2312" w:cs="仿宋_GB2312" w:eastAsia="仿宋_GB2312"/>
                      <w:sz w:val="19"/>
                    </w:rPr>
                    <w:t>≥1m×1m×1m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2.2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温度范围：</w:t>
                  </w:r>
                  <w:r>
                    <w:rPr>
                      <w:rFonts w:ascii="仿宋_GB2312" w:hAnsi="仿宋_GB2312" w:cs="仿宋_GB2312" w:eastAsia="仿宋_GB2312"/>
                      <w:sz w:val="19"/>
                    </w:rPr>
                    <w:t>RT+10℃～+200℃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温度均匀度（</w:t>
                  </w:r>
                  <w:r>
                    <w:rPr>
                      <w:rFonts w:ascii="仿宋_GB2312" w:hAnsi="仿宋_GB2312" w:cs="仿宋_GB2312" w:eastAsia="仿宋_GB2312"/>
                      <w:sz w:val="19"/>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升温时间：</w:t>
                  </w:r>
                  <w:r>
                    <w:rPr>
                      <w:rFonts w:ascii="仿宋_GB2312" w:hAnsi="仿宋_GB2312" w:cs="仿宋_GB2312" w:eastAsia="仿宋_GB2312"/>
                      <w:sz w:val="19"/>
                    </w:rPr>
                    <w:t>3~5℃/min可调</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温度偏差（</w:t>
                  </w:r>
                  <w:r>
                    <w:rPr>
                      <w:rFonts w:ascii="仿宋_GB2312" w:hAnsi="仿宋_GB2312" w:cs="仿宋_GB2312" w:eastAsia="仿宋_GB2312"/>
                      <w:sz w:val="19"/>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满足试验方法：</w:t>
                  </w:r>
                  <w:r>
                    <w:rPr>
                      <w:rFonts w:ascii="仿宋_GB2312" w:hAnsi="仿宋_GB2312" w:cs="仿宋_GB2312" w:eastAsia="仿宋_GB2312"/>
                      <w:sz w:val="19"/>
                    </w:rPr>
                    <w:t>GB/T2423、GJB 150A、D0-160G、IEC60068等；</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内壁箱体内壁采用</w:t>
                  </w:r>
                  <w:r>
                    <w:rPr>
                      <w:rFonts w:ascii="仿宋_GB2312" w:hAnsi="仿宋_GB2312" w:cs="仿宋_GB2312" w:eastAsia="仿宋_GB2312"/>
                      <w:sz w:val="19"/>
                    </w:rPr>
                    <w:t>SUS304不锈钢板制作。</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箱体大门采取密封措施。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样品架：</w:t>
                  </w:r>
                  <w:r>
                    <w:rPr>
                      <w:rFonts w:ascii="仿宋_GB2312" w:hAnsi="仿宋_GB2312" w:cs="仿宋_GB2312" w:eastAsia="仿宋_GB2312"/>
                      <w:sz w:val="19"/>
                    </w:rPr>
                    <w:t>SUS304不锈钢样品架2层，均布载荷25kg/层。</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2.10</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测试孔：</w:t>
                  </w:r>
                  <w:r>
                    <w:rPr>
                      <w:rFonts w:ascii="仿宋_GB2312" w:hAnsi="仿宋_GB2312" w:cs="仿宋_GB2312" w:eastAsia="仿宋_GB2312"/>
                      <w:sz w:val="19"/>
                    </w:rPr>
                    <w:t>Φ50mm测试孔1个，带不锈钢孔盖。</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控制器：采用全彩触摸屏程序控制器，人机界面中文显示。</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试验过程中可实时显示当前目标温度、测量温度、加热输出量、运行时间等重要参数。程序运行时能同屏显示环境试验所需的设定值、测量值、运行程序名称或程序号、步数、每步计时。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程序容量：预设程序运行功能，提供可预置</w:t>
                  </w:r>
                  <w:r>
                    <w:rPr>
                      <w:rFonts w:ascii="仿宋_GB2312" w:hAnsi="仿宋_GB2312" w:cs="仿宋_GB2312" w:eastAsia="仿宋_GB2312"/>
                      <w:sz w:val="19"/>
                    </w:rPr>
                    <w:t>≥100条程序曲线，每条曲线最大可设定100步，每步可设定0~500小时，6组小循环，每条程序可循环999次。</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2.11.3</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运行程序曲线用户可自行设计，须提供承诺函。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安全保护功能：断电保护，自诊断，超温保护功能等。</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总体要求</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3.1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提供高温试验箱与冲击试验系统集成方案</w:t>
                  </w:r>
                  <w:r>
                    <w:rPr>
                      <w:rFonts w:ascii="仿宋_GB2312" w:hAnsi="仿宋_GB2312" w:cs="仿宋_GB2312" w:eastAsia="仿宋_GB2312"/>
                      <w:sz w:val="19"/>
                    </w:rPr>
                    <w:t>(包括但不限于集成图片、</w:t>
                  </w:r>
                  <w:r>
                    <w:rPr>
                      <w:rFonts w:ascii="仿宋_GB2312" w:hAnsi="仿宋_GB2312" w:cs="仿宋_GB2312" w:eastAsia="仿宋_GB2312"/>
                      <w:sz w:val="21"/>
                    </w:rPr>
                    <w:t>组合方式说明等</w:t>
                  </w:r>
                  <w:r>
                    <w:rPr>
                      <w:rFonts w:ascii="仿宋_GB2312" w:hAnsi="仿宋_GB2312" w:cs="仿宋_GB2312" w:eastAsia="仿宋_GB2312"/>
                      <w:sz w:val="21"/>
                    </w:rPr>
                    <w:t>)，实现0~25KG电路板在200°C高温环境下同步开展最高500g、脉宽1.3ms(容差士15%)的半正弦冲击试验。冲击台采用气动驱动，配空气弹簧与液压阻尼双重缓冲结构;设备按200°C连续高温工况选型设计，具备≥500小时级保温运行能力，具体保温时长以试验大纲要求为准。</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配备加速度传感器</w:t>
                  </w:r>
                  <w:r>
                    <w:rPr>
                      <w:rFonts w:ascii="仿宋_GB2312" w:hAnsi="仿宋_GB2312" w:cs="仿宋_GB2312" w:eastAsia="仿宋_GB2312"/>
                      <w:sz w:val="19"/>
                    </w:rPr>
                    <w:t>2支（量程：±2000g，采样频率范围：1-10KHz，提供第三方计量报告），2根配套的传感器线缆。</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配备电路板专用测试夹具和电路板测试软硬件，实现复合环境下电路板关键节点（</w:t>
                  </w:r>
                  <w:r>
                    <w:rPr>
                      <w:rFonts w:ascii="仿宋_GB2312" w:hAnsi="仿宋_GB2312" w:cs="仿宋_GB2312" w:eastAsia="仿宋_GB2312"/>
                      <w:sz w:val="21"/>
                    </w:rPr>
                    <w:t>≥60路、</w:t>
                  </w:r>
                  <w:r>
                    <w:rPr>
                      <w:rFonts w:ascii="仿宋_GB2312" w:hAnsi="仿宋_GB2312" w:cs="仿宋_GB2312" w:eastAsia="仿宋_GB2312"/>
                      <w:sz w:val="20"/>
                    </w:rPr>
                    <w:t>≥6½位分辨率、≤0.004%精度</w:t>
                  </w:r>
                  <w:r>
                    <w:rPr>
                      <w:rFonts w:ascii="仿宋_GB2312" w:hAnsi="仿宋_GB2312" w:cs="仿宋_GB2312" w:eastAsia="仿宋_GB2312"/>
                      <w:sz w:val="21"/>
                    </w:rPr>
                    <w:t>）状态的同步监测和</w:t>
                  </w:r>
                  <w:r>
                    <w:rPr>
                      <w:rFonts w:ascii="仿宋_GB2312" w:hAnsi="仿宋_GB2312" w:cs="仿宋_GB2312" w:eastAsia="仿宋_GB2312"/>
                      <w:sz w:val="20"/>
                    </w:rPr>
                    <w:t>硬件阈值报警功能</w:t>
                  </w:r>
                  <w:r>
                    <w:rPr>
                      <w:rFonts w:ascii="仿宋_GB2312" w:hAnsi="仿宋_GB2312" w:cs="仿宋_GB2312" w:eastAsia="仿宋_GB2312"/>
                      <w:sz w:val="21"/>
                    </w:rPr>
                    <w: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设备设计应充分考虑人员安全，具备相应的安全保护功能。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rPr>
                    <w:t>技术文件</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color w:val="000000"/>
                    </w:rPr>
                    <w:t>装箱单</w:t>
                  </w:r>
                  <w:r>
                    <w:rPr>
                      <w:rFonts w:ascii="仿宋_GB2312" w:hAnsi="仿宋_GB2312" w:cs="仿宋_GB2312" w:eastAsia="仿宋_GB2312"/>
                      <w:sz w:val="19"/>
                      <w:color w:val="000000"/>
                    </w:rPr>
                    <w:t>1份，</w:t>
                  </w:r>
                  <w:r>
                    <w:rPr>
                      <w:rFonts w:ascii="仿宋_GB2312" w:hAnsi="仿宋_GB2312" w:cs="仿宋_GB2312" w:eastAsia="仿宋_GB2312"/>
                      <w:sz w:val="19"/>
                    </w:rPr>
                    <w:t>提供设备使用说明书</w:t>
                  </w:r>
                  <w:r>
                    <w:rPr>
                      <w:rFonts w:ascii="仿宋_GB2312" w:hAnsi="仿宋_GB2312" w:cs="仿宋_GB2312" w:eastAsia="仿宋_GB2312"/>
                      <w:sz w:val="19"/>
                    </w:rPr>
                    <w:t>1份，质量合格证一份。</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9"/>
                      <w:color w:val="000000"/>
                    </w:rPr>
                    <w:t>注：</w:t>
                  </w:r>
                  <w:r>
                    <w:rPr>
                      <w:rFonts w:ascii="仿宋_GB2312" w:hAnsi="仿宋_GB2312" w:cs="仿宋_GB2312" w:eastAsia="仿宋_GB2312"/>
                      <w:sz w:val="20"/>
                    </w:rPr>
                    <w:t>★项技术参数在响应文件中需提供证明材料，包括但不限于产品彩页、白皮书、第三方检测报告等相关佐证材料，</w:t>
                  </w:r>
                  <w:r>
                    <w:rPr>
                      <w:rFonts w:ascii="仿宋_GB2312" w:hAnsi="仿宋_GB2312" w:cs="仿宋_GB2312" w:eastAsia="仿宋_GB2312"/>
                      <w:sz w:val="21"/>
                      <w:b/>
                    </w:rPr>
                    <w:t>未提供或提供但无法佐证的按无效响应处理。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交货期：本合同生效后90天内到货并安装调试交付使用。质保期：自学校验收合格之日起1年。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开具预付款等额银行保函，采购人收到银行保函正本后10个工作日内支付预付款，最多支付至56万元，剩余款项待验收合格后，并出具增值税专用发票，采购人退还银行保函正本，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2、谈判文件中所有的商务要求均为实质性要求，供应商必须响应并满足。 3、报价要求：（1）供应商应当根据采购文件的要求和范围，以人民币为货币，以元为报价单位。 （2）报价：投标报价是指到达使用地点、验收合格达到正常使用条件前的所有费用，包括但不限于以下费用：货物价值、安装调试费、运杂费（含保险）、仓储保管费、技术培训费、检测费、施工费、人工费等全部相关费用；（3）供应商所提供的产品型号、产地等重要信息，需要与仪器机身保持一致。因供应商原因（有且不限于型号有误、出具的净重、参数等证明有误等）造成的一切后果及费用由供应商自行承担。 4、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499094051@qq.com（邮件命名：项目编号）。保函必须由具有开具投标保函资格的单位开具；若供应商违约，开具保函单位承担连带责任； 5、保证金的退还：自成交通知书发出之日起5个工作日内退还未成交供应商的谈判保证金,自采购合同签订之日起5个工作日内退还成交供应商的谈判保证金。合同签订后，成交供应商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 分项报价表（货物）.docx 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技术指标偏差表.docx 商务条款响应说明.docx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其他说明.docx 技术指标偏差表.docx 商务条款响应说明.docx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分项报价表（货物）.docx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标的清单 报价表 分项报价表（货物）.docx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