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DF9A5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  <w:highlight w:val="none"/>
        </w:rPr>
      </w:pPr>
      <w:bookmarkStart w:id="4" w:name="_GoBack"/>
      <w:bookmarkStart w:id="0" w:name="_Toc31133"/>
      <w:bookmarkStart w:id="1" w:name="_Toc13138"/>
      <w:bookmarkStart w:id="2" w:name="_Toc12983"/>
      <w:bookmarkStart w:id="3" w:name="_Toc32297"/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采购合同</w:t>
      </w:r>
      <w:bookmarkEnd w:id="0"/>
      <w:bookmarkEnd w:id="1"/>
      <w:bookmarkEnd w:id="2"/>
      <w:bookmarkEnd w:id="3"/>
    </w:p>
    <w:bookmarkEnd w:id="4"/>
    <w:p w14:paraId="3EDEE437">
      <w:pPr>
        <w:spacing w:line="360" w:lineRule="auto"/>
        <w:ind w:firstLine="4480" w:firstLineChars="1600"/>
        <w:jc w:val="left"/>
        <w:rPr>
          <w:rFonts w:hint="eastAsia" w:ascii="宋体" w:hAnsi="宋体" w:eastAsia="宋体" w:cs="宋体"/>
          <w:sz w:val="28"/>
          <w:szCs w:val="44"/>
          <w:highlight w:val="none"/>
        </w:rPr>
      </w:pPr>
    </w:p>
    <w:p w14:paraId="07E5F171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甲方：陕西科技大学</w:t>
      </w:r>
    </w:p>
    <w:p w14:paraId="1B6C3F44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乙方：            </w:t>
      </w:r>
    </w:p>
    <w:p w14:paraId="22C3C48F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根据《中华人民共和国政府采购法》、《中华人民共和国民法典》等法律法规，甲方通过竞争性磋商，选定乙方为成交单位。甲、乙双方在平等基础上协商一致，达成如下合同条款：</w:t>
      </w:r>
    </w:p>
    <w:p w14:paraId="4B5865E9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一、</w:t>
      </w:r>
      <w:r>
        <w:rPr>
          <w:rFonts w:hint="eastAsia" w:ascii="宋体" w:hAnsi="宋体" w:eastAsia="宋体" w:cs="宋体"/>
          <w:b/>
          <w:sz w:val="24"/>
          <w:highlight w:val="none"/>
        </w:rPr>
        <w:t>合同内容             包号：                价格单位：元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332A8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194A6BD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5717186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2C0FFB5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型号</w:t>
            </w:r>
          </w:p>
        </w:tc>
        <w:tc>
          <w:tcPr>
            <w:tcW w:w="900" w:type="dxa"/>
            <w:vAlign w:val="center"/>
          </w:tcPr>
          <w:p w14:paraId="7C29FCDD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产地</w:t>
            </w:r>
          </w:p>
        </w:tc>
        <w:tc>
          <w:tcPr>
            <w:tcW w:w="900" w:type="dxa"/>
            <w:vAlign w:val="center"/>
          </w:tcPr>
          <w:p w14:paraId="71D6965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数量</w:t>
            </w:r>
          </w:p>
        </w:tc>
        <w:tc>
          <w:tcPr>
            <w:tcW w:w="900" w:type="dxa"/>
            <w:vAlign w:val="center"/>
          </w:tcPr>
          <w:p w14:paraId="50521205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单价</w:t>
            </w:r>
          </w:p>
        </w:tc>
        <w:tc>
          <w:tcPr>
            <w:tcW w:w="894" w:type="dxa"/>
            <w:vAlign w:val="center"/>
          </w:tcPr>
          <w:p w14:paraId="778A2D3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总价</w:t>
            </w:r>
          </w:p>
        </w:tc>
        <w:tc>
          <w:tcPr>
            <w:tcW w:w="839" w:type="dxa"/>
            <w:vAlign w:val="center"/>
          </w:tcPr>
          <w:p w14:paraId="0AF6A52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备注</w:t>
            </w:r>
          </w:p>
        </w:tc>
      </w:tr>
      <w:tr w14:paraId="4C9C0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0161079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1</w:t>
            </w:r>
          </w:p>
        </w:tc>
        <w:tc>
          <w:tcPr>
            <w:tcW w:w="1620" w:type="dxa"/>
            <w:vAlign w:val="center"/>
          </w:tcPr>
          <w:p w14:paraId="026C85D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18586BF8">
            <w:pPr>
              <w:spacing w:line="40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1332D1AA">
            <w:pPr>
              <w:spacing w:line="40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1FA2134E">
            <w:pPr>
              <w:tabs>
                <w:tab w:val="left" w:pos="263"/>
              </w:tabs>
              <w:adjustRightInd w:val="0"/>
              <w:snapToGrid w:val="0"/>
              <w:jc w:val="left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ab/>
            </w:r>
          </w:p>
        </w:tc>
        <w:tc>
          <w:tcPr>
            <w:tcW w:w="900" w:type="dxa"/>
            <w:vAlign w:val="center"/>
          </w:tcPr>
          <w:p w14:paraId="27CB5D6F">
            <w:pPr>
              <w:jc w:val="center"/>
              <w:textAlignment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3FCC2F19">
            <w:pPr>
              <w:jc w:val="center"/>
              <w:textAlignment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1737A405">
            <w:pPr>
              <w:jc w:val="center"/>
              <w:textAlignment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932B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1985B1C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2</w:t>
            </w:r>
          </w:p>
        </w:tc>
        <w:tc>
          <w:tcPr>
            <w:tcW w:w="1620" w:type="dxa"/>
            <w:vAlign w:val="center"/>
          </w:tcPr>
          <w:p w14:paraId="3901B4E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1184B4D8">
            <w:pPr>
              <w:spacing w:line="40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B1A702D">
            <w:pPr>
              <w:spacing w:line="40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304E408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450EF84D">
            <w:pPr>
              <w:jc w:val="center"/>
              <w:textAlignment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6A5879B6">
            <w:pPr>
              <w:jc w:val="center"/>
              <w:textAlignment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5F422FDB">
            <w:pPr>
              <w:jc w:val="center"/>
              <w:textAlignment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1310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7AB960F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3</w:t>
            </w:r>
          </w:p>
        </w:tc>
        <w:tc>
          <w:tcPr>
            <w:tcW w:w="1620" w:type="dxa"/>
            <w:vAlign w:val="center"/>
          </w:tcPr>
          <w:p w14:paraId="34CA852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5864034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0FDDFB1B">
            <w:pPr>
              <w:spacing w:line="40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1F7058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0C9B501B">
            <w:pPr>
              <w:jc w:val="center"/>
              <w:textAlignment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3D5CC34C">
            <w:pPr>
              <w:jc w:val="center"/>
              <w:textAlignment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2ABD09E3">
            <w:pPr>
              <w:jc w:val="center"/>
              <w:textAlignment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135A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40672F9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51994D41"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￥：       （大写）</w:t>
            </w:r>
          </w:p>
        </w:tc>
      </w:tr>
    </w:tbl>
    <w:p w14:paraId="02437DAA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（详细参数用附件说明）</w:t>
      </w:r>
    </w:p>
    <w:p w14:paraId="7238A1B2">
      <w:pPr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二、合同价格</w:t>
      </w:r>
    </w:p>
    <w:p w14:paraId="01A0252F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合同总价：人民币大写：</w:t>
      </w:r>
      <w:r>
        <w:rPr>
          <w:rFonts w:hint="eastAsia" w:ascii="宋体" w:hAnsi="宋体" w:eastAsia="宋体" w:cs="宋体"/>
          <w:b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/>
          <w:sz w:val="24"/>
          <w:highlight w:val="none"/>
        </w:rPr>
        <w:t>元整；</w:t>
      </w:r>
      <w:r>
        <w:rPr>
          <w:rFonts w:hint="eastAsia" w:ascii="宋体" w:hAnsi="宋体" w:eastAsia="宋体" w:cs="宋体"/>
          <w:sz w:val="24"/>
          <w:highlight w:val="none"/>
        </w:rPr>
        <w:t>￥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</w:rPr>
        <w:t>元。</w:t>
      </w:r>
    </w:p>
    <w:p w14:paraId="77BF3C6F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合同总价包括：产品的价格及所发生的运输费、杂费（含保险）、商检费、搬运费、安装调试费等</w:t>
      </w:r>
      <w:r>
        <w:rPr>
          <w:rFonts w:hint="eastAsia" w:ascii="宋体" w:hAnsi="宋体" w:eastAsia="宋体" w:cs="宋体"/>
          <w:sz w:val="24"/>
          <w:highlight w:val="none"/>
        </w:rPr>
        <w:t>一切费用。合同总价不可变更，不受市场价格或汇率变化的影响，不受实际数量变化的影响。</w:t>
      </w:r>
    </w:p>
    <w:p w14:paraId="7E7E6FA6">
      <w:pPr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三、款项支付</w:t>
      </w:r>
    </w:p>
    <w:p w14:paraId="36A67198">
      <w:pPr>
        <w:kinsoku w:val="0"/>
        <w:spacing w:line="400" w:lineRule="exact"/>
        <w:ind w:firstLine="480" w:firstLineChars="200"/>
        <w:rPr>
          <w:rFonts w:hint="eastAsia" w:hAnsi="宋体"/>
          <w:sz w:val="24"/>
          <w:highlight w:val="none"/>
        </w:rPr>
      </w:pPr>
      <w:r>
        <w:rPr>
          <w:rFonts w:hint="eastAsia" w:hAnsi="宋体"/>
          <w:sz w:val="24"/>
          <w:highlight w:val="none"/>
          <w:lang w:eastAsia="zh-CN"/>
        </w:rPr>
        <w:t>（</w:t>
      </w:r>
      <w:r>
        <w:rPr>
          <w:rFonts w:hint="eastAsia" w:hAnsi="宋体"/>
          <w:sz w:val="24"/>
          <w:highlight w:val="none"/>
          <w:lang w:val="en-US" w:eastAsia="zh-CN"/>
        </w:rPr>
        <w:t>1</w:t>
      </w:r>
      <w:r>
        <w:rPr>
          <w:rFonts w:hint="eastAsia" w:hAnsi="宋体"/>
          <w:sz w:val="24"/>
          <w:highlight w:val="none"/>
          <w:lang w:eastAsia="zh-CN"/>
        </w:rPr>
        <w:t>）</w:t>
      </w:r>
      <w:r>
        <w:rPr>
          <w:rFonts w:hint="eastAsia" w:hAnsi="宋体"/>
          <w:sz w:val="24"/>
          <w:highlight w:val="none"/>
          <w:lang w:val="en-US" w:eastAsia="zh-CN"/>
        </w:rPr>
        <w:t>支付方式：</w:t>
      </w:r>
      <w:r>
        <w:rPr>
          <w:rFonts w:hint="eastAsia" w:hAnsi="宋体"/>
          <w:sz w:val="24"/>
          <w:highlight w:val="none"/>
        </w:rPr>
        <w:t>签订合同前，</w:t>
      </w:r>
      <w:r>
        <w:rPr>
          <w:rFonts w:hint="eastAsia" w:hAnsi="宋体"/>
          <w:sz w:val="24"/>
          <w:highlight w:val="none"/>
          <w:lang w:val="en-US" w:eastAsia="zh-CN"/>
        </w:rPr>
        <w:t>成交供应商</w:t>
      </w:r>
      <w:r>
        <w:rPr>
          <w:rFonts w:hint="eastAsia" w:hAnsi="宋体"/>
          <w:sz w:val="24"/>
          <w:highlight w:val="none"/>
        </w:rPr>
        <w:t>应缴纳合同金额5%的履约保证金。项目验收合格后，</w:t>
      </w:r>
      <w:r>
        <w:rPr>
          <w:rFonts w:hint="eastAsia" w:hAnsi="宋体"/>
          <w:sz w:val="24"/>
          <w:highlight w:val="none"/>
          <w:lang w:val="en-US" w:eastAsia="zh-CN"/>
        </w:rPr>
        <w:t>采购人</w:t>
      </w:r>
      <w:r>
        <w:rPr>
          <w:rFonts w:hint="eastAsia" w:hAnsi="宋体"/>
          <w:sz w:val="24"/>
          <w:highlight w:val="none"/>
        </w:rPr>
        <w:t>一次性无息退还5%的履约保证金。货到验收合格后</w:t>
      </w:r>
      <w:r>
        <w:rPr>
          <w:rFonts w:hint="eastAsia" w:hAnsi="宋体"/>
          <w:sz w:val="24"/>
          <w:highlight w:val="none"/>
          <w:lang w:eastAsia="zh-CN"/>
        </w:rPr>
        <w:t>，</w:t>
      </w:r>
      <w:r>
        <w:rPr>
          <w:rFonts w:hint="eastAsia" w:hAnsi="宋体"/>
          <w:sz w:val="24"/>
          <w:highlight w:val="none"/>
        </w:rPr>
        <w:t>由</w:t>
      </w:r>
      <w:r>
        <w:rPr>
          <w:rFonts w:hint="eastAsia" w:hAnsi="宋体"/>
          <w:sz w:val="24"/>
          <w:highlight w:val="none"/>
          <w:lang w:val="en-US" w:eastAsia="zh-CN"/>
        </w:rPr>
        <w:t>成交供应商</w:t>
      </w:r>
      <w:r>
        <w:rPr>
          <w:rFonts w:hint="eastAsia" w:hAnsi="宋体"/>
          <w:sz w:val="24"/>
          <w:highlight w:val="none"/>
        </w:rPr>
        <w:t>开发票具给</w:t>
      </w:r>
      <w:r>
        <w:rPr>
          <w:rFonts w:hint="eastAsia" w:hAnsi="宋体"/>
          <w:sz w:val="24"/>
          <w:highlight w:val="none"/>
          <w:lang w:val="en-US" w:eastAsia="zh-CN"/>
        </w:rPr>
        <w:t>采购人</w:t>
      </w:r>
      <w:r>
        <w:rPr>
          <w:rFonts w:hint="eastAsia" w:hAnsi="宋体"/>
          <w:sz w:val="24"/>
          <w:highlight w:val="none"/>
          <w:lang w:eastAsia="zh-CN"/>
        </w:rPr>
        <w:t>，</w:t>
      </w:r>
      <w:r>
        <w:rPr>
          <w:rFonts w:hint="eastAsia" w:hAnsi="宋体"/>
          <w:sz w:val="24"/>
          <w:highlight w:val="none"/>
          <w:lang w:val="en-US" w:eastAsia="zh-CN"/>
        </w:rPr>
        <w:t>采购人</w:t>
      </w:r>
      <w:r>
        <w:rPr>
          <w:rFonts w:hint="eastAsia" w:hAnsi="宋体"/>
          <w:sz w:val="24"/>
          <w:highlight w:val="none"/>
        </w:rPr>
        <w:t>收到</w:t>
      </w:r>
      <w:r>
        <w:rPr>
          <w:rFonts w:hint="eastAsia" w:hAnsi="宋体"/>
          <w:sz w:val="24"/>
          <w:highlight w:val="none"/>
          <w:lang w:val="en-US" w:eastAsia="zh-CN"/>
        </w:rPr>
        <w:t>成交供应商</w:t>
      </w:r>
      <w:r>
        <w:rPr>
          <w:rFonts w:hint="eastAsia" w:hAnsi="宋体"/>
          <w:sz w:val="24"/>
          <w:highlight w:val="none"/>
        </w:rPr>
        <w:t>开具的全额增值税专用发票（电子、纸质发票均可，纸质发票须包含发票联、抵扣联）后</w:t>
      </w:r>
      <w:r>
        <w:rPr>
          <w:rFonts w:hint="eastAsia" w:hAnsi="宋体"/>
          <w:sz w:val="24"/>
          <w:highlight w:val="none"/>
          <w:lang w:eastAsia="zh-CN"/>
        </w:rPr>
        <w:t>，</w:t>
      </w:r>
      <w:r>
        <w:rPr>
          <w:rFonts w:hint="eastAsia" w:hAnsi="宋体"/>
          <w:sz w:val="24"/>
          <w:highlight w:val="none"/>
          <w:lang w:val="en-US" w:eastAsia="zh-CN"/>
        </w:rPr>
        <w:t>10个工作日内，</w:t>
      </w:r>
      <w:r>
        <w:rPr>
          <w:rFonts w:hint="eastAsia" w:hAnsi="宋体"/>
          <w:sz w:val="24"/>
          <w:highlight w:val="none"/>
        </w:rPr>
        <w:t>支付合同总价款的100%。</w:t>
      </w:r>
    </w:p>
    <w:p w14:paraId="4E002390">
      <w:pPr>
        <w:spacing w:line="360" w:lineRule="exact"/>
        <w:ind w:left="42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highlight w:val="none"/>
        </w:rPr>
        <w:t>）结算方式：银行转账</w:t>
      </w:r>
    </w:p>
    <w:p w14:paraId="7661369B">
      <w:pPr>
        <w:spacing w:line="360" w:lineRule="exact"/>
        <w:ind w:left="42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highlight w:val="none"/>
        </w:rPr>
        <w:t>）货款支付单位为：陕西科技大学</w:t>
      </w:r>
    </w:p>
    <w:p w14:paraId="0A78DCB6">
      <w:pPr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四、交货条件</w:t>
      </w:r>
    </w:p>
    <w:p w14:paraId="59B7E418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1、交货地点：陕西省西安市未央区陕西科技大学内指定地点。</w:t>
      </w:r>
    </w:p>
    <w:p w14:paraId="7EB64C79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2、交货日期：双方签字盖章后合同生效，合同生效后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个</w:t>
      </w:r>
      <w:r>
        <w:rPr>
          <w:rFonts w:hint="eastAsia" w:ascii="宋体" w:hAnsi="宋体" w:eastAsia="宋体" w:cs="宋体"/>
          <w:sz w:val="24"/>
          <w:highlight w:val="none"/>
        </w:rPr>
        <w:t>日历日内完成交货。</w:t>
      </w:r>
    </w:p>
    <w:p w14:paraId="32A0C368">
      <w:pPr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五、运输方式：</w:t>
      </w:r>
      <w:r>
        <w:rPr>
          <w:rFonts w:hint="eastAsia" w:ascii="宋体" w:hAnsi="宋体" w:eastAsia="宋体" w:cs="宋体"/>
          <w:sz w:val="24"/>
          <w:highlight w:val="none"/>
        </w:rPr>
        <w:t>根据产品特性，由乙方在保证产品质量的前提下，自行选择运输及包装方式，发生的一切费用全部由乙方承担。</w:t>
      </w:r>
    </w:p>
    <w:p w14:paraId="5C753396">
      <w:pPr>
        <w:adjustRightInd w:val="0"/>
        <w:snapToGrid w:val="0"/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六、质量保证</w:t>
      </w:r>
    </w:p>
    <w:p w14:paraId="1748F449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1、乙方提供的产品必须满足招标文件及合同的技术参数要求。</w:t>
      </w:r>
    </w:p>
    <w:p w14:paraId="64D0527C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bCs/>
          <w:sz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highlight w:val="none"/>
        </w:rPr>
        <w:t>2、乙方保证货物应是全新、未曾使用过的、优质工艺及材料制造的产品，并保证所供产品的完整性。</w:t>
      </w:r>
    </w:p>
    <w:p w14:paraId="26F94134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3、乙方保证所提供的产品质量可靠、进货渠道正规、配置合理、技术性能完全满足招标文件要求。</w:t>
      </w:r>
    </w:p>
    <w:p w14:paraId="43473FC8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4、乙方应随产品提供检验报告等相关材料。</w:t>
      </w:r>
    </w:p>
    <w:p w14:paraId="1F66B7F8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bCs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5、产品</w:t>
      </w:r>
      <w:r>
        <w:rPr>
          <w:rFonts w:hint="eastAsia" w:ascii="宋体" w:hAnsi="宋体" w:eastAsia="宋体" w:cs="宋体"/>
          <w:bCs/>
          <w:sz w:val="24"/>
          <w:highlight w:val="none"/>
        </w:rPr>
        <w:t>性能未达到招标文件技术参数要求的，甲方有权拒收产品或拒绝验收，乙方可进行限期整改；整改后仍达不到要求的，甲方有权解除合同，保留依法索赔的权利。</w:t>
      </w:r>
    </w:p>
    <w:p w14:paraId="42AC768A">
      <w:pPr>
        <w:adjustRightInd w:val="0"/>
        <w:snapToGrid w:val="0"/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七、质保期与承诺</w:t>
      </w:r>
    </w:p>
    <w:p w14:paraId="6D4C76FA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1、产品的质保期为验收合格后</w:t>
      </w:r>
      <w:r>
        <w:rPr>
          <w:rFonts w:hint="eastAsia" w:ascii="宋体" w:hAnsi="宋体" w:eastAsia="宋体" w:cs="宋体"/>
          <w:bCs/>
          <w:sz w:val="24"/>
          <w:highlight w:val="none"/>
        </w:rPr>
        <w:t xml:space="preserve">     </w:t>
      </w:r>
      <w:r>
        <w:rPr>
          <w:rFonts w:hint="eastAsia" w:ascii="宋体" w:hAnsi="宋体" w:eastAsia="宋体" w:cs="宋体"/>
          <w:sz w:val="24"/>
          <w:highlight w:val="none"/>
        </w:rPr>
        <w:t>年。</w:t>
      </w:r>
    </w:p>
    <w:p w14:paraId="297D55C6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bCs/>
          <w:sz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highlight w:val="none"/>
        </w:rPr>
        <w:t>2、质保期内，若发生产品质量问题，乙方应免费解决；否则，甲方将乙方列入“政府采购联合惩戒黑名单”，并追究法律责任。</w:t>
      </w:r>
    </w:p>
    <w:p w14:paraId="485057A2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3、乙方承诺免费延长质保，按照厂家承诺执行。</w:t>
      </w:r>
      <w:r>
        <w:rPr>
          <w:rFonts w:hint="eastAsia" w:ascii="宋体" w:hAnsi="宋体" w:eastAsia="宋体" w:cs="宋体"/>
          <w:bCs/>
          <w:sz w:val="24"/>
          <w:highlight w:val="none"/>
        </w:rPr>
        <w:t>否则，甲方将乙方列入“政府采购联合惩戒黑名单”，并追究法律责任。</w:t>
      </w:r>
    </w:p>
    <w:p w14:paraId="4D3EBF5D">
      <w:pPr>
        <w:adjustRightInd w:val="0"/>
        <w:snapToGrid w:val="0"/>
        <w:spacing w:line="400" w:lineRule="exact"/>
        <w:ind w:firstLine="359" w:firstLineChars="149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八、安装、调试及技术服务</w:t>
      </w:r>
    </w:p>
    <w:p w14:paraId="7B4020A2">
      <w:pPr>
        <w:spacing w:line="400" w:lineRule="exact"/>
        <w:ind w:firstLine="496" w:firstLineChars="207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1、技术资料包括：出厂检测报告、产品使用说明书、合格证等其它相关资料。</w:t>
      </w:r>
    </w:p>
    <w:p w14:paraId="6630DC7D"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2、在质保期内，乙方在接到用户对所购产品进行售后的要求后，如发生质量问题提供不低于同档次的获取替代。</w:t>
      </w:r>
    </w:p>
    <w:p w14:paraId="7B878824"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3、安装调试完成后，产品的性能、稳定性等未达到招标文件要求，甲方有权拒绝验收。</w:t>
      </w:r>
    </w:p>
    <w:p w14:paraId="197EBA07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4、服务承诺：按投标文件中的服务承诺执行。</w:t>
      </w:r>
    </w:p>
    <w:p w14:paraId="2DB35637">
      <w:pPr>
        <w:spacing w:line="400" w:lineRule="exact"/>
        <w:ind w:firstLine="532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九、产品验收</w:t>
      </w:r>
    </w:p>
    <w:p w14:paraId="53FF543F"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1、产品到货后，乙方负责发放。</w:t>
      </w:r>
    </w:p>
    <w:p w14:paraId="054FCDAE"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2、甲方根据合同要求对产品进行验收、确认产品的产地、规格、型号和数量。验收依据为本合同文本、招投标文件和国内相应的标准、规范。</w:t>
      </w:r>
    </w:p>
    <w:p w14:paraId="6192490D">
      <w:pPr>
        <w:tabs>
          <w:tab w:val="left" w:pos="5355"/>
        </w:tabs>
        <w:spacing w:line="400" w:lineRule="exact"/>
        <w:ind w:firstLine="506" w:firstLineChars="210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十、违约责任：</w:t>
      </w:r>
    </w:p>
    <w:p w14:paraId="44096472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1、按《中华人民共和国民法典》中的相关条款执行。</w:t>
      </w:r>
    </w:p>
    <w:p w14:paraId="375F3265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2、若乙方出现不能供货等违约情况，甲方将不退合同金额10%的履约保证金。</w:t>
      </w:r>
    </w:p>
    <w:p w14:paraId="5A1D2362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3、未按合同要求提供产品或设备质量不能满足招标的技术要求，甲方有权终止合同，并保留追究乙方违约责任的权利。</w:t>
      </w:r>
    </w:p>
    <w:p w14:paraId="2AE34683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4、因供货期迟延的，乙方按照每天1‰向甲方承担违约责任。</w:t>
      </w:r>
    </w:p>
    <w:p w14:paraId="6C14D63F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5、因产品质量问题违约的，除了按照迟延时间计算违约金外，另可以采取退货、换货等方式，由乙方承担一切费用。</w:t>
      </w:r>
    </w:p>
    <w:p w14:paraId="766C13BD">
      <w:pPr>
        <w:tabs>
          <w:tab w:val="left" w:pos="5355"/>
        </w:tabs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十一、合同争议的解决：</w:t>
      </w:r>
    </w:p>
    <w:p w14:paraId="2B3E2662">
      <w:pPr>
        <w:tabs>
          <w:tab w:val="left" w:pos="5355"/>
        </w:tabs>
        <w:spacing w:line="400" w:lineRule="exact"/>
        <w:ind w:firstLine="480" w:firstLineChars="200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0A5346A9">
      <w:pPr>
        <w:tabs>
          <w:tab w:val="left" w:pos="5355"/>
        </w:tabs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合同执行中发生争议的，甲、乙双方应协商解决，协商达不成一致时，可向甲方所在地人民法院提请诉讼。</w:t>
      </w:r>
    </w:p>
    <w:p w14:paraId="37CA78B1">
      <w:pPr>
        <w:tabs>
          <w:tab w:val="left" w:pos="5355"/>
        </w:tabs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十二、其它事项</w:t>
      </w:r>
    </w:p>
    <w:p w14:paraId="6D84FA16">
      <w:pPr>
        <w:adjustRightInd w:val="0"/>
        <w:snapToGrid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1、甲、乙双方做为合同执行的主体，有义务及时完全履行合同。招标代理机构陕西德勤招标有限公司监督履行。</w:t>
      </w:r>
    </w:p>
    <w:p w14:paraId="217B0B64">
      <w:pPr>
        <w:adjustRightInd w:val="0"/>
        <w:snapToGrid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2、甲方使用部门代表学校签署合同，并随时监督合同履行情况。</w:t>
      </w:r>
    </w:p>
    <w:p w14:paraId="0870B64D">
      <w:pPr>
        <w:adjustRightInd w:val="0"/>
        <w:snapToGrid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3、合同未尽事宜，由甲、乙双方协商，协商方案作为本合同不可分割的组成部分，与本合同具有同等法律效力。</w:t>
      </w:r>
    </w:p>
    <w:p w14:paraId="670E5993">
      <w:pPr>
        <w:adjustRightInd w:val="0"/>
        <w:snapToGrid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4、招标文件和乙方的投标文件以及合同附件均为合同不可分割的部分。</w:t>
      </w:r>
    </w:p>
    <w:p w14:paraId="2C8F3FAF">
      <w:pPr>
        <w:adjustRightInd w:val="0"/>
        <w:snapToGrid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5、合同一式柒份，甲方持伍份、乙方执壹份，招标代理机构壹份。双方签字盖章后生效，合同执行完毕自动失效。（合同的服务承诺长期有效）。</w:t>
      </w:r>
    </w:p>
    <w:p w14:paraId="0E8AE9E7">
      <w:pPr>
        <w:tabs>
          <w:tab w:val="left" w:pos="5355"/>
        </w:tabs>
        <w:spacing w:line="400" w:lineRule="exac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   6、使用单位收货、验货人员：____________  电话：_______________</w:t>
      </w:r>
    </w:p>
    <w:tbl>
      <w:tblPr>
        <w:tblStyle w:val="4"/>
        <w:tblpPr w:leftFromText="180" w:rightFromText="180" w:vertAnchor="text" w:horzAnchor="page" w:tblpX="1469" w:tblpY="559"/>
        <w:tblOverlap w:val="never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0"/>
        <w:gridCol w:w="4580"/>
      </w:tblGrid>
      <w:tr w14:paraId="19FC8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3C07C8">
            <w:pPr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 xml:space="preserve">甲  方：陕西科技大学  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03345C">
            <w:pPr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 xml:space="preserve">乙  方： </w:t>
            </w:r>
          </w:p>
        </w:tc>
      </w:tr>
      <w:tr w14:paraId="7094D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FB99F">
            <w:pPr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地  址：陕西省西安市未央大学园区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0C010">
            <w:pPr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地  址：</w:t>
            </w:r>
          </w:p>
        </w:tc>
      </w:tr>
      <w:tr w14:paraId="38956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B7A32">
            <w:pPr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代理人：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B8B21">
            <w:pPr>
              <w:tabs>
                <w:tab w:val="left" w:pos="5355"/>
              </w:tabs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代理人：</w:t>
            </w:r>
          </w:p>
        </w:tc>
      </w:tr>
      <w:tr w14:paraId="7675E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DC59B4">
            <w:pPr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 xml:space="preserve">技术确认：        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6A4215">
            <w:pPr>
              <w:tabs>
                <w:tab w:val="left" w:pos="5355"/>
              </w:tabs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技术确认：</w:t>
            </w:r>
          </w:p>
        </w:tc>
      </w:tr>
      <w:tr w14:paraId="73D6E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CB667B">
            <w:pPr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联系电话：029-86168123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732DB">
            <w:pPr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联系电话：</w:t>
            </w:r>
          </w:p>
        </w:tc>
      </w:tr>
      <w:tr w14:paraId="41F44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A58622">
            <w:pPr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 xml:space="preserve">开户行：中国银行西安浐灞区支行 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77BC7">
            <w:pPr>
              <w:tabs>
                <w:tab w:val="left" w:pos="5355"/>
              </w:tabs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 xml:space="preserve">开户行： </w:t>
            </w:r>
          </w:p>
        </w:tc>
      </w:tr>
      <w:tr w14:paraId="0058F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87797C">
            <w:pPr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 xml:space="preserve">账号：1028 8745 5445  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C6204">
            <w:pPr>
              <w:tabs>
                <w:tab w:val="left" w:pos="5355"/>
              </w:tabs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账号：</w:t>
            </w:r>
          </w:p>
        </w:tc>
      </w:tr>
      <w:tr w14:paraId="6A0D3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A39D6">
            <w:pPr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税号：12610000435630669J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9B1F7">
            <w:pPr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税号：</w:t>
            </w:r>
          </w:p>
        </w:tc>
      </w:tr>
      <w:tr w14:paraId="10CE6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7609D">
            <w:pPr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日 期：    年    月    日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22A53">
            <w:pPr>
              <w:spacing w:line="288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日 期：   年    月   日</w:t>
            </w:r>
          </w:p>
        </w:tc>
      </w:tr>
    </w:tbl>
    <w:p w14:paraId="59C45BA8">
      <w:pPr>
        <w:pStyle w:val="6"/>
        <w:rPr>
          <w:rFonts w:hint="default"/>
          <w:highlight w:val="none"/>
        </w:rPr>
      </w:pPr>
    </w:p>
    <w:p w14:paraId="5302A155">
      <w:pPr>
        <w:rPr>
          <w:highlight w:val="none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057976">
    <w:pPr>
      <w:pStyle w:val="3"/>
      <w:pBdr>
        <w:bottom w:val="double" w:color="auto" w:sz="8" w:space="1"/>
      </w:pBdr>
      <w:jc w:val="left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DF793A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DF793A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2515235</wp:posOffset>
              </wp:positionH>
              <wp:positionV relativeFrom="paragraph">
                <wp:posOffset>0</wp:posOffset>
              </wp:positionV>
              <wp:extent cx="1118235" cy="296545"/>
              <wp:effectExtent l="0" t="0" r="0" b="0"/>
              <wp:wrapNone/>
              <wp:docPr id="13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8235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025992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/>
                  </wps:wsp>
                </a:graphicData>
              </a:graphic>
            </wp:anchor>
          </w:drawing>
        </mc:Choice>
        <mc:Fallback>
          <w:pict>
            <v:shape id="文本框 16" o:spid="_x0000_s1026" o:spt="202" type="#_x0000_t202" style="position:absolute;left:0pt;margin-left:198.05pt;margin-top:0pt;height:23.35pt;width:88.05pt;mso-position-horizontal-relative:margin;z-index:251659264;mso-width-relative:page;mso-height-relative:page;" filled="f" stroked="f" coordsize="21600,21600" o:gfxdata="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25NWcNcAAAAHAQAADwAAAAAAAAABACAAAAAiAAAAZHJzL2Rvd25yZXYueG1s&#10;UEsBAhQAFAAAAAgAh07iQPIzNJLAAQAAdgMAAA4AAAAAAAAAAQAgAAAAJ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6025992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</w:rPr>
      <w:t>陕西德勤招标有限公司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04143">
    <w:pPr>
      <w:pStyle w:val="3"/>
      <w:pBdr>
        <w:bottom w:val="double" w:color="auto" w:sz="8" w:space="1"/>
      </w:pBdr>
      <w:jc w:val="left"/>
    </w:pPr>
    <w:r>
      <w:t>抽滤制胚工艺研究实验装置采购</w:t>
    </w:r>
    <w:r>
      <w:rPr>
        <w:rFonts w:hint="eastAsia"/>
      </w:rPr>
      <w:t>谈判文件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2814D1"/>
    <w:rsid w:val="1D28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null3"/>
    <w:hidden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2026-06-17T08:09:00Z</dcterms:created>
  <dc:creator>饣耳</dc:creator>
  <cp:lastModifiedBy>饣耳</cp:lastModifiedBy>
  <dcterms:modified xsi:type="dcterms:W3CDTF">2026-06-17T08:09:23Z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E0077F630CAC4BB08E92F15B717B74C2_11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