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版本号：SXHT2026-ZC-CS101320260825001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碑林分局档案数字化项目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SXHT2026-ZC-CS1013</w:t>
      </w:r>
      <w:r>
        <w:br/>
      </w:r>
      <w:r>
        <w:br/>
      </w:r>
      <w:r>
        <w:br/>
      </w:r>
    </w:p>
    <w:p>
      <w:pPr>
        <w:pStyle w:val="null3"/>
        <w:jc w:val="center"/>
        <w:outlineLvl w:val="2"/>
      </w:pPr>
      <w:r>
        <w:rPr>
          <w:rFonts w:ascii="仿宋_GB2312" w:hAnsi="仿宋_GB2312" w:cs="仿宋_GB2312" w:eastAsia="仿宋_GB2312"/>
          <w:sz w:val="28"/>
          <w:b/>
        </w:rPr>
        <w:t>西安市公安局碑林分局（本级）</w:t>
      </w:r>
    </w:p>
    <w:p>
      <w:pPr>
        <w:pStyle w:val="null3"/>
        <w:jc w:val="center"/>
        <w:outlineLvl w:val="2"/>
      </w:pPr>
      <w:r>
        <w:rPr>
          <w:rFonts w:ascii="仿宋_GB2312" w:hAnsi="仿宋_GB2312" w:cs="仿宋_GB2312" w:eastAsia="仿宋_GB2312"/>
          <w:sz w:val="28"/>
          <w:b/>
        </w:rPr>
        <w:t>陕西蒿天项目管理有限公司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陕西蒿天项目管理有限公司</w:t>
      </w:r>
      <w:r>
        <w:rPr>
          <w:rFonts w:ascii="仿宋_GB2312" w:hAnsi="仿宋_GB2312" w:cs="仿宋_GB2312" w:eastAsia="仿宋_GB2312"/>
        </w:rPr>
        <w:t>（以下简称“代理机构”）受</w:t>
      </w:r>
      <w:r>
        <w:rPr>
          <w:rFonts w:ascii="仿宋_GB2312" w:hAnsi="仿宋_GB2312" w:cs="仿宋_GB2312" w:eastAsia="仿宋_GB2312"/>
        </w:rPr>
        <w:t>西安市公安局碑林分局（本级）</w:t>
      </w:r>
      <w:r>
        <w:rPr>
          <w:rFonts w:ascii="仿宋_GB2312" w:hAnsi="仿宋_GB2312" w:cs="仿宋_GB2312" w:eastAsia="仿宋_GB2312"/>
        </w:rPr>
        <w:t>委托，拟对</w:t>
      </w:r>
      <w:r>
        <w:rPr>
          <w:rFonts w:ascii="仿宋_GB2312" w:hAnsi="仿宋_GB2312" w:cs="仿宋_GB2312" w:eastAsia="仿宋_GB2312"/>
        </w:rPr>
        <w:t>碑林分局档案数字化项目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SXHT2026-ZC-CS1013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碑林分局档案数字化项目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实现纸质+电子化一体制，完成存量档案数字化。</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采购包1（碑林分局档案数字化项目）：属于专门面向中小企业采购。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身份证明：法定代表人授权书（附法定代表人、被授权人身份证复印件及被授权人开标前三个月内任意一个月在本单位的社保缴纳证明），法定代表人直接参加磋商，须提供法定代表人身份证明；</w:t>
      </w:r>
    </w:p>
    <w:p>
      <w:pPr>
        <w:pStyle w:val="null3"/>
      </w:pPr>
      <w:r>
        <w:rPr>
          <w:rFonts w:ascii="仿宋_GB2312" w:hAnsi="仿宋_GB2312" w:cs="仿宋_GB2312" w:eastAsia="仿宋_GB2312"/>
        </w:rPr>
        <w:t>2、资质：供应商须具备《国家秘密载体印制资质》乙级及以上资质（内容包含“涉密档案数字化加工”类）；外省企业须在陕西省国家保密局备案证明（甲级资质无需备案）；</w:t>
      </w:r>
    </w:p>
    <w:p>
      <w:pPr>
        <w:pStyle w:val="null3"/>
      </w:pPr>
      <w:r>
        <w:rPr>
          <w:rFonts w:ascii="仿宋_GB2312" w:hAnsi="仿宋_GB2312" w:cs="仿宋_GB2312" w:eastAsia="仿宋_GB2312"/>
        </w:rPr>
        <w:t>3、信用记录：供应商不得为“信用中国”网站（www.creditchina.gov.cn）中列入“失信被执行人（中国执行信息公开网https：//zxgk.court.gov.cn/shixi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w:t>
      </w:r>
    </w:p>
    <w:p>
      <w:pPr>
        <w:pStyle w:val="null3"/>
      </w:pPr>
      <w:r>
        <w:rPr>
          <w:rFonts w:ascii="仿宋_GB2312" w:hAnsi="仿宋_GB2312" w:cs="仿宋_GB2312" w:eastAsia="仿宋_GB2312"/>
        </w:rPr>
        <w:t>4、联合体：本项目不接受联合体磋商；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西安市公安局碑林分局（本级）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西安市碑林区东大街243号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029-86752108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陕西蒿天项目管理有限公司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西安市雁塔区含光路南段1号鹏豪苑1幢3单元1202室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尚顺谱、林锡之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029-81612268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西安市碑林区政府采购管理股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郝天峰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029-89625302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国家发展和改革委员会办公厅颁发的《关于招标代理服务收费有关问题的通知》（发改办价格〔2003〕857号）的有关规定执行。 招标代理服务费交纳信息： 银行户名：陕西蒿天项目管理有限公司 开户银行：中国建设银行股份有限公司西安锦园新世纪支行 账号：61050175390000000337</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西安市公安局碑林分局（本级）</w:t>
      </w:r>
      <w:r>
        <w:rPr>
          <w:rFonts w:ascii="仿宋_GB2312" w:hAnsi="仿宋_GB2312" w:cs="仿宋_GB2312" w:eastAsia="仿宋_GB2312"/>
        </w:rPr>
        <w:t>和</w:t>
      </w:r>
      <w:r>
        <w:rPr>
          <w:rFonts w:ascii="仿宋_GB2312" w:hAnsi="仿宋_GB2312" w:cs="仿宋_GB2312" w:eastAsia="仿宋_GB2312"/>
        </w:rPr>
        <w:t>陕西蒿天项目管理有限公司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西安市公安局碑林分局（本级）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陕西蒿天项目管理有限公司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西安市公安局碑林分局（本级）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陕西蒿天项目管理有限公司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供应商应保证所提供的服务或其任何一部分均不会侵犯任何第三方的专利权、商标权或著作权。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符合国家、行业相关法律法规及采购人需求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陕西蒿天项目管理有限公司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陕西蒿天项目管理有限公司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陕西蒿天项目管理有限公司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联系人：尚顺谱、林锡之</w:t>
      </w:r>
    </w:p>
    <w:p>
      <w:pPr>
        <w:pStyle w:val="null3"/>
      </w:pPr>
      <w:r>
        <w:rPr>
          <w:rFonts w:ascii="仿宋_GB2312" w:hAnsi="仿宋_GB2312" w:cs="仿宋_GB2312" w:eastAsia="仿宋_GB2312"/>
        </w:rPr>
        <w:t>联系电话：029-81612268</w:t>
      </w:r>
    </w:p>
    <w:p>
      <w:pPr>
        <w:pStyle w:val="null3"/>
      </w:pPr>
      <w:r>
        <w:rPr>
          <w:rFonts w:ascii="仿宋_GB2312" w:hAnsi="仿宋_GB2312" w:cs="仿宋_GB2312" w:eastAsia="仿宋_GB2312"/>
        </w:rPr>
        <w:t>地址：西安市雁塔区含光路南段1号鹏豪苑1幢3单元1202室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实现纸质+电子化一体制，完成存量档案数字化。</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750,000.00</w:t>
      </w:r>
    </w:p>
    <w:p>
      <w:pPr>
        <w:pStyle w:val="null3"/>
      </w:pPr>
      <w:r>
        <w:rPr>
          <w:rFonts w:ascii="仿宋_GB2312" w:hAnsi="仿宋_GB2312" w:cs="仿宋_GB2312" w:eastAsia="仿宋_GB2312"/>
        </w:rPr>
        <w:t>采购包最高限价（元）: 750,000.00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档案数字化</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750,000.00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标的名称：档案数字化</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一、服务内容</w:t>
            </w:r>
          </w:p>
          <w:p>
            <w:pPr>
              <w:pStyle w:val="null3"/>
            </w:pPr>
            <w:r>
              <w:rPr>
                <w:rFonts w:ascii="仿宋_GB2312" w:hAnsi="仿宋_GB2312" w:cs="仿宋_GB2312" w:eastAsia="仿宋_GB2312"/>
              </w:rPr>
              <w:t>本次数字化涵盖专业档案（监所在押人员管理卷、治安管理处罚卷、劳教少教卷）进行数字化加工，约有10985卷，扫描量约1063210页，编目约有110529条，最终完成数据存储备份。</w:t>
            </w:r>
          </w:p>
          <w:p>
            <w:pPr>
              <w:pStyle w:val="null3"/>
            </w:pPr>
            <w:r>
              <w:rPr>
                <w:rFonts w:ascii="仿宋_GB2312" w:hAnsi="仿宋_GB2312" w:cs="仿宋_GB2312" w:eastAsia="仿宋_GB2312"/>
              </w:rPr>
              <w:t>最高限价:</w:t>
            </w:r>
          </w:p>
          <w:tbl>
            <w:tblPr>
              <w:tblBorders>
                <w:top w:val="single"/>
                <w:left w:val="single"/>
                <w:bottom w:val="single"/>
                <w:right w:val="single"/>
                <w:insideH w:val="single"/>
                <w:insideV w:val="single"/>
              </w:tblBorders>
            </w:tblPr>
            <w:tblGrid>
              <w:gridCol w:w="851"/>
              <w:gridCol w:w="851"/>
              <w:gridCol w:w="851"/>
            </w:tblGrid>
            <w:tr>
              <w:tc>
                <w:tcPr>
                  <w:tcW w:type="dxa" w:w="851"/>
                </w:tcPr>
                <w:p>
                  <w:pPr>
                    <w:pStyle w:val="null3"/>
                  </w:pPr>
                  <w:r>
                    <w:rPr>
                      <w:rFonts w:ascii="仿宋_GB2312" w:hAnsi="仿宋_GB2312" w:cs="仿宋_GB2312" w:eastAsia="仿宋_GB2312"/>
                    </w:rPr>
                    <w:t>项    目</w:t>
                  </w:r>
                </w:p>
              </w:tc>
              <w:tc>
                <w:tcPr>
                  <w:tcW w:type="dxa" w:w="851"/>
                </w:tcPr>
                <w:p>
                  <w:pPr>
                    <w:pStyle w:val="null3"/>
                  </w:pPr>
                  <w:r>
                    <w:rPr>
                      <w:rFonts w:ascii="仿宋_GB2312" w:hAnsi="仿宋_GB2312" w:cs="仿宋_GB2312" w:eastAsia="仿宋_GB2312"/>
                    </w:rPr>
                    <w:t>单位</w:t>
                  </w:r>
                </w:p>
              </w:tc>
              <w:tc>
                <w:tcPr>
                  <w:tcW w:type="dxa" w:w="851"/>
                </w:tcPr>
                <w:p>
                  <w:pPr>
                    <w:pStyle w:val="null3"/>
                  </w:pPr>
                  <w:r>
                    <w:rPr>
                      <w:rFonts w:ascii="仿宋_GB2312" w:hAnsi="仿宋_GB2312" w:cs="仿宋_GB2312" w:eastAsia="仿宋_GB2312"/>
                    </w:rPr>
                    <w:t>限价（元）</w:t>
                  </w:r>
                </w:p>
              </w:tc>
            </w:tr>
            <w:tr>
              <w:tc>
                <w:tcPr>
                  <w:tcW w:type="dxa" w:w="851"/>
                </w:tcPr>
                <w:p>
                  <w:pPr>
                    <w:pStyle w:val="null3"/>
                  </w:pPr>
                  <w:r>
                    <w:rPr>
                      <w:rFonts w:ascii="仿宋_GB2312" w:hAnsi="仿宋_GB2312" w:cs="仿宋_GB2312" w:eastAsia="仿宋_GB2312"/>
                    </w:rPr>
                    <w:t>业务档案扫描</w:t>
                  </w:r>
                </w:p>
              </w:tc>
              <w:tc>
                <w:tcPr>
                  <w:tcW w:type="dxa" w:w="851"/>
                </w:tcPr>
                <w:p>
                  <w:pPr>
                    <w:pStyle w:val="null3"/>
                  </w:pPr>
                  <w:r>
                    <w:rPr>
                      <w:rFonts w:ascii="仿宋_GB2312" w:hAnsi="仿宋_GB2312" w:cs="仿宋_GB2312" w:eastAsia="仿宋_GB2312"/>
                    </w:rPr>
                    <w:t>页</w:t>
                  </w:r>
                </w:p>
              </w:tc>
              <w:tc>
                <w:tcPr>
                  <w:tcW w:type="dxa" w:w="851"/>
                </w:tcPr>
                <w:p>
                  <w:pPr>
                    <w:pStyle w:val="null3"/>
                  </w:pPr>
                  <w:r>
                    <w:rPr>
                      <w:rFonts w:ascii="仿宋_GB2312" w:hAnsi="仿宋_GB2312" w:cs="仿宋_GB2312" w:eastAsia="仿宋_GB2312"/>
                    </w:rPr>
                    <w:t>0.53</w:t>
                  </w:r>
                </w:p>
              </w:tc>
            </w:tr>
            <w:tr>
              <w:tc>
                <w:tcPr>
                  <w:tcW w:type="dxa" w:w="851"/>
                </w:tcPr>
                <w:p>
                  <w:pPr>
                    <w:pStyle w:val="null3"/>
                  </w:pPr>
                  <w:r>
                    <w:rPr>
                      <w:rFonts w:ascii="仿宋_GB2312" w:hAnsi="仿宋_GB2312" w:cs="仿宋_GB2312" w:eastAsia="仿宋_GB2312"/>
                    </w:rPr>
                    <w:t>业务档案编目著录</w:t>
                  </w:r>
                </w:p>
              </w:tc>
              <w:tc>
                <w:tcPr>
                  <w:tcW w:type="dxa" w:w="851"/>
                </w:tcPr>
                <w:p>
                  <w:pPr>
                    <w:pStyle w:val="null3"/>
                  </w:pPr>
                  <w:r>
                    <w:rPr>
                      <w:rFonts w:ascii="仿宋_GB2312" w:hAnsi="仿宋_GB2312" w:cs="仿宋_GB2312" w:eastAsia="仿宋_GB2312"/>
                    </w:rPr>
                    <w:t>条</w:t>
                  </w:r>
                </w:p>
              </w:tc>
              <w:tc>
                <w:tcPr>
                  <w:tcW w:type="dxa" w:w="851"/>
                </w:tcPr>
                <w:p>
                  <w:pPr>
                    <w:pStyle w:val="null3"/>
                  </w:pPr>
                  <w:r>
                    <w:rPr>
                      <w:rFonts w:ascii="仿宋_GB2312" w:hAnsi="仿宋_GB2312" w:cs="仿宋_GB2312" w:eastAsia="仿宋_GB2312"/>
                    </w:rPr>
                    <w:t>0.52</w:t>
                  </w:r>
                </w:p>
              </w:tc>
            </w:tr>
            <w:tr>
              <w:tc>
                <w:tcPr>
                  <w:tcW w:type="dxa" w:w="851"/>
                </w:tcPr>
                <w:p>
                  <w:pPr>
                    <w:pStyle w:val="null3"/>
                  </w:pPr>
                  <w:r>
                    <w:rPr>
                      <w:rFonts w:ascii="仿宋_GB2312" w:hAnsi="仿宋_GB2312" w:cs="仿宋_GB2312" w:eastAsia="仿宋_GB2312"/>
                    </w:rPr>
                    <w:t>装订及归档</w:t>
                  </w:r>
                </w:p>
              </w:tc>
              <w:tc>
                <w:tcPr>
                  <w:tcW w:type="dxa" w:w="851"/>
                </w:tcPr>
                <w:p>
                  <w:pPr>
                    <w:pStyle w:val="null3"/>
                  </w:pPr>
                  <w:r>
                    <w:rPr>
                      <w:rFonts w:ascii="仿宋_GB2312" w:hAnsi="仿宋_GB2312" w:cs="仿宋_GB2312" w:eastAsia="仿宋_GB2312"/>
                    </w:rPr>
                    <w:t>卷</w:t>
                  </w:r>
                </w:p>
              </w:tc>
              <w:tc>
                <w:tcPr>
                  <w:tcW w:type="dxa" w:w="851"/>
                </w:tcPr>
                <w:p>
                  <w:pPr>
                    <w:pStyle w:val="null3"/>
                  </w:pPr>
                  <w:r>
                    <w:rPr>
                      <w:rFonts w:ascii="仿宋_GB2312" w:hAnsi="仿宋_GB2312" w:cs="仿宋_GB2312" w:eastAsia="仿宋_GB2312"/>
                    </w:rPr>
                    <w:t>3.00</w:t>
                  </w:r>
                </w:p>
              </w:tc>
            </w:tr>
            <w:tr>
              <w:tc>
                <w:tcPr>
                  <w:tcW w:type="dxa" w:w="851"/>
                </w:tcPr>
                <w:p>
                  <w:pPr>
                    <w:pStyle w:val="null3"/>
                  </w:pPr>
                  <w:r>
                    <w:rPr>
                      <w:rFonts w:ascii="仿宋_GB2312" w:hAnsi="仿宋_GB2312" w:cs="仿宋_GB2312" w:eastAsia="仿宋_GB2312"/>
                    </w:rPr>
                    <w:t>数据备份</w:t>
                  </w:r>
                </w:p>
              </w:tc>
              <w:tc>
                <w:tcPr>
                  <w:tcW w:type="dxa" w:w="851"/>
                </w:tcPr>
                <w:p>
                  <w:pPr>
                    <w:pStyle w:val="null3"/>
                  </w:pPr>
                  <w:r>
                    <w:rPr>
                      <w:rFonts w:ascii="仿宋_GB2312" w:hAnsi="仿宋_GB2312" w:cs="仿宋_GB2312" w:eastAsia="仿宋_GB2312"/>
                    </w:rPr>
                    <w:t xml:space="preserve"> </w:t>
                  </w:r>
                </w:p>
              </w:tc>
              <w:tc>
                <w:tcPr>
                  <w:tcW w:type="dxa" w:w="851"/>
                </w:tcPr>
                <w:p>
                  <w:pPr>
                    <w:pStyle w:val="null3"/>
                  </w:pPr>
                  <w:r>
                    <w:rPr>
                      <w:rFonts w:ascii="仿宋_GB2312" w:hAnsi="仿宋_GB2312" w:cs="仿宋_GB2312" w:eastAsia="仿宋_GB2312"/>
                    </w:rPr>
                    <w:t>9312.00</w:t>
                  </w:r>
                </w:p>
              </w:tc>
            </w:tr>
          </w:tbl>
          <w:p>
            <w:pPr>
              <w:pStyle w:val="null3"/>
            </w:pPr>
            <w:r>
              <w:rPr>
                <w:rFonts w:ascii="仿宋_GB2312" w:hAnsi="仿宋_GB2312" w:cs="仿宋_GB2312" w:eastAsia="仿宋_GB2312"/>
              </w:rPr>
              <w:t>注：最终以实际加工数量×单价计算金额。</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rPr>
              <w:t>二、技术要求</w:t>
            </w:r>
          </w:p>
          <w:p>
            <w:pPr>
              <w:pStyle w:val="null3"/>
            </w:pPr>
            <w:r>
              <w:rPr>
                <w:rFonts w:ascii="仿宋_GB2312" w:hAnsi="仿宋_GB2312" w:cs="仿宋_GB2312" w:eastAsia="仿宋_GB2312"/>
              </w:rPr>
              <w:t>依据或参照行业的有关标准规范进行项目实施，具体如下：</w:t>
            </w:r>
          </w:p>
          <w:p>
            <w:pPr>
              <w:pStyle w:val="null3"/>
            </w:pPr>
            <w:r>
              <w:rPr>
                <w:rFonts w:ascii="仿宋_GB2312" w:hAnsi="仿宋_GB2312" w:cs="仿宋_GB2312" w:eastAsia="仿宋_GB2312"/>
              </w:rPr>
              <w:t>符合《档案数字化外包服务规范》（DA/T 68-2020）、《纸质档案数字化技术规范》（DA/T 31-2017）等国家及行业相关标准，确保数字化成果通过招标人及相关主管部门验收。</w:t>
            </w:r>
          </w:p>
          <w:p>
            <w:pPr>
              <w:pStyle w:val="null3"/>
            </w:pPr>
            <w:r>
              <w:rPr>
                <w:rFonts w:ascii="仿宋_GB2312" w:hAnsi="仿宋_GB2312" w:cs="仿宋_GB2312" w:eastAsia="仿宋_GB2312"/>
              </w:rPr>
              <w:t>（一）加工流程</w:t>
            </w:r>
          </w:p>
          <w:p>
            <w:pPr>
              <w:pStyle w:val="null3"/>
            </w:pPr>
            <w:r>
              <w:rPr>
                <w:rFonts w:ascii="仿宋_GB2312" w:hAnsi="仿宋_GB2312" w:cs="仿宋_GB2312" w:eastAsia="仿宋_GB2312"/>
              </w:rPr>
              <w:t>文档领取—文档分类、整理—拆卷—原文高速扫描—图像处理—质量检查—文档数据挂接—原件整理装订—文档归还—扫描文件刻盘。</w:t>
            </w:r>
          </w:p>
          <w:p>
            <w:pPr>
              <w:pStyle w:val="null3"/>
            </w:pPr>
            <w:r>
              <w:rPr>
                <w:rFonts w:ascii="仿宋_GB2312" w:hAnsi="仿宋_GB2312" w:cs="仿宋_GB2312" w:eastAsia="仿宋_GB2312"/>
              </w:rPr>
              <w:t>（二）加工标准</w:t>
            </w:r>
          </w:p>
          <w:tbl>
            <w:tblPr>
              <w:tblBorders>
                <w:top w:val="single"/>
                <w:left w:val="single"/>
                <w:bottom w:val="single"/>
                <w:right w:val="single"/>
                <w:insideH w:val="single"/>
                <w:insideV w:val="single"/>
              </w:tblBorders>
            </w:tblPr>
            <w:tblGrid>
              <w:gridCol w:w="851"/>
              <w:gridCol w:w="851"/>
              <w:gridCol w:w="851"/>
            </w:tblGrid>
            <w:tr>
              <w:tc>
                <w:tcPr>
                  <w:tcW w:type="dxa" w:w="851"/>
                </w:tcPr>
                <w:p>
                  <w:pPr>
                    <w:pStyle w:val="null3"/>
                  </w:pPr>
                  <w:r>
                    <w:rPr>
                      <w:rFonts w:ascii="仿宋_GB2312" w:hAnsi="仿宋_GB2312" w:cs="仿宋_GB2312" w:eastAsia="仿宋_GB2312"/>
                    </w:rPr>
                    <w:t>1</w:t>
                  </w:r>
                </w:p>
              </w:tc>
              <w:tc>
                <w:tcPr>
                  <w:tcW w:type="dxa" w:w="851"/>
                </w:tcPr>
                <w:p>
                  <w:pPr>
                    <w:pStyle w:val="null3"/>
                  </w:pPr>
                  <w:r>
                    <w:rPr>
                      <w:rFonts w:ascii="仿宋_GB2312" w:hAnsi="仿宋_GB2312" w:cs="仿宋_GB2312" w:eastAsia="仿宋_GB2312"/>
                    </w:rPr>
                    <w:t>领卷</w:t>
                  </w:r>
                </w:p>
              </w:tc>
              <w:tc>
                <w:tcPr>
                  <w:tcW w:type="dxa" w:w="851"/>
                </w:tcPr>
                <w:p>
                  <w:pPr>
                    <w:pStyle w:val="null3"/>
                  </w:pPr>
                  <w:r>
                    <w:rPr>
                      <w:rFonts w:ascii="仿宋_GB2312" w:hAnsi="仿宋_GB2312" w:cs="仿宋_GB2312" w:eastAsia="仿宋_GB2312"/>
                    </w:rPr>
                    <w:t>领卷数量清点准确，每卷页数无误差，并清点移交重要珍贵档案，无误差</w:t>
                  </w:r>
                </w:p>
              </w:tc>
            </w:tr>
            <w:tr>
              <w:tc>
                <w:tcPr>
                  <w:tcW w:type="dxa" w:w="851"/>
                </w:tcPr>
                <w:p>
                  <w:pPr>
                    <w:pStyle w:val="null3"/>
                  </w:pPr>
                  <w:r>
                    <w:rPr>
                      <w:rFonts w:ascii="仿宋_GB2312" w:hAnsi="仿宋_GB2312" w:cs="仿宋_GB2312" w:eastAsia="仿宋_GB2312"/>
                    </w:rPr>
                    <w:t>2</w:t>
                  </w:r>
                </w:p>
              </w:tc>
              <w:tc>
                <w:tcPr>
                  <w:tcW w:type="dxa" w:w="851"/>
                </w:tcPr>
                <w:p>
                  <w:pPr>
                    <w:pStyle w:val="null3"/>
                  </w:pPr>
                  <w:r>
                    <w:rPr>
                      <w:rFonts w:ascii="仿宋_GB2312" w:hAnsi="仿宋_GB2312" w:cs="仿宋_GB2312" w:eastAsia="仿宋_GB2312"/>
                    </w:rPr>
                    <w:t>全文扫描</w:t>
                  </w:r>
                </w:p>
              </w:tc>
              <w:tc>
                <w:tcPr>
                  <w:tcW w:type="dxa" w:w="851"/>
                </w:tcPr>
                <w:p>
                  <w:pPr>
                    <w:pStyle w:val="null3"/>
                  </w:pPr>
                  <w:r>
                    <w:rPr>
                      <w:rFonts w:ascii="仿宋_GB2312" w:hAnsi="仿宋_GB2312" w:cs="仿宋_GB2312" w:eastAsia="仿宋_GB2312"/>
                    </w:rPr>
                    <w:t>采用300dpi彩色模式扫描，要求内容清晰可读。</w:t>
                  </w:r>
                </w:p>
              </w:tc>
            </w:tr>
            <w:tr>
              <w:tc>
                <w:tcPr>
                  <w:tcW w:type="dxa" w:w="851"/>
                </w:tcPr>
                <w:p>
                  <w:pPr>
                    <w:pStyle w:val="null3"/>
                  </w:pPr>
                  <w:r>
                    <w:rPr>
                      <w:rFonts w:ascii="仿宋_GB2312" w:hAnsi="仿宋_GB2312" w:cs="仿宋_GB2312" w:eastAsia="仿宋_GB2312"/>
                    </w:rPr>
                    <w:t>3</w:t>
                  </w:r>
                </w:p>
              </w:tc>
              <w:tc>
                <w:tcPr>
                  <w:tcW w:type="dxa" w:w="851"/>
                </w:tcPr>
                <w:p>
                  <w:pPr>
                    <w:pStyle w:val="null3"/>
                  </w:pPr>
                  <w:r>
                    <w:rPr>
                      <w:rFonts w:ascii="仿宋_GB2312" w:hAnsi="仿宋_GB2312" w:cs="仿宋_GB2312" w:eastAsia="仿宋_GB2312"/>
                    </w:rPr>
                    <w:t>影像处理</w:t>
                  </w:r>
                </w:p>
              </w:tc>
              <w:tc>
                <w:tcPr>
                  <w:tcW w:type="dxa" w:w="851"/>
                </w:tcPr>
                <w:p>
                  <w:pPr>
                    <w:pStyle w:val="null3"/>
                  </w:pPr>
                  <w:r>
                    <w:rPr>
                      <w:rFonts w:ascii="仿宋_GB2312" w:hAnsi="仿宋_GB2312" w:cs="仿宋_GB2312" w:eastAsia="仿宋_GB2312"/>
                    </w:rPr>
                    <w:t>页面干净，无黑边，倾斜不得超过1度。正确率：99%以上。</w:t>
                  </w:r>
                </w:p>
              </w:tc>
            </w:tr>
            <w:tr>
              <w:tc>
                <w:tcPr>
                  <w:tcW w:type="dxa" w:w="851"/>
                </w:tcPr>
                <w:p>
                  <w:pPr>
                    <w:pStyle w:val="null3"/>
                  </w:pPr>
                  <w:r>
                    <w:rPr>
                      <w:rFonts w:ascii="仿宋_GB2312" w:hAnsi="仿宋_GB2312" w:cs="仿宋_GB2312" w:eastAsia="仿宋_GB2312"/>
                    </w:rPr>
                    <w:t>4</w:t>
                  </w:r>
                </w:p>
              </w:tc>
              <w:tc>
                <w:tcPr>
                  <w:tcW w:type="dxa" w:w="851"/>
                </w:tcPr>
                <w:p>
                  <w:pPr>
                    <w:pStyle w:val="null3"/>
                  </w:pPr>
                  <w:r>
                    <w:rPr>
                      <w:rFonts w:ascii="仿宋_GB2312" w:hAnsi="仿宋_GB2312" w:cs="仿宋_GB2312" w:eastAsia="仿宋_GB2312"/>
                    </w:rPr>
                    <w:t>数据挂接</w:t>
                  </w:r>
                </w:p>
              </w:tc>
              <w:tc>
                <w:tcPr>
                  <w:tcW w:type="dxa" w:w="851"/>
                </w:tcPr>
                <w:p>
                  <w:pPr>
                    <w:pStyle w:val="null3"/>
                  </w:pPr>
                  <w:r>
                    <w:rPr>
                      <w:rFonts w:ascii="仿宋_GB2312" w:hAnsi="仿宋_GB2312" w:cs="仿宋_GB2312" w:eastAsia="仿宋_GB2312"/>
                    </w:rPr>
                    <w:t>影像与文件目录一一对应。正确率：100%</w:t>
                  </w:r>
                </w:p>
              </w:tc>
            </w:tr>
            <w:tr>
              <w:tc>
                <w:tcPr>
                  <w:tcW w:type="dxa" w:w="851"/>
                </w:tcPr>
                <w:p>
                  <w:pPr>
                    <w:pStyle w:val="null3"/>
                  </w:pPr>
                  <w:r>
                    <w:rPr>
                      <w:rFonts w:ascii="仿宋_GB2312" w:hAnsi="仿宋_GB2312" w:cs="仿宋_GB2312" w:eastAsia="仿宋_GB2312"/>
                    </w:rPr>
                    <w:t>5</w:t>
                  </w:r>
                </w:p>
              </w:tc>
              <w:tc>
                <w:tcPr>
                  <w:tcW w:type="dxa" w:w="851"/>
                </w:tcPr>
                <w:p>
                  <w:pPr>
                    <w:pStyle w:val="null3"/>
                  </w:pPr>
                  <w:r>
                    <w:rPr>
                      <w:rFonts w:ascii="仿宋_GB2312" w:hAnsi="仿宋_GB2312" w:cs="仿宋_GB2312" w:eastAsia="仿宋_GB2312"/>
                    </w:rPr>
                    <w:t>数据审核</w:t>
                  </w:r>
                </w:p>
              </w:tc>
              <w:tc>
                <w:tcPr>
                  <w:tcW w:type="dxa" w:w="851"/>
                </w:tcPr>
                <w:p>
                  <w:pPr>
                    <w:pStyle w:val="null3"/>
                  </w:pPr>
                  <w:r>
                    <w:rPr>
                      <w:rFonts w:ascii="仿宋_GB2312" w:hAnsi="仿宋_GB2312" w:cs="仿宋_GB2312" w:eastAsia="仿宋_GB2312"/>
                    </w:rPr>
                    <w:t>目录文字正确率98%以上；影响无遗漏、无重复；挂接正确率100%。</w:t>
                  </w:r>
                </w:p>
              </w:tc>
            </w:tr>
            <w:tr>
              <w:tc>
                <w:tcPr>
                  <w:tcW w:type="dxa" w:w="851"/>
                </w:tcPr>
                <w:p>
                  <w:pPr>
                    <w:pStyle w:val="null3"/>
                  </w:pPr>
                  <w:r>
                    <w:rPr>
                      <w:rFonts w:ascii="仿宋_GB2312" w:hAnsi="仿宋_GB2312" w:cs="仿宋_GB2312" w:eastAsia="仿宋_GB2312"/>
                    </w:rPr>
                    <w:t>6</w:t>
                  </w:r>
                </w:p>
              </w:tc>
              <w:tc>
                <w:tcPr>
                  <w:tcW w:type="dxa" w:w="851"/>
                </w:tcPr>
                <w:p>
                  <w:pPr>
                    <w:pStyle w:val="null3"/>
                  </w:pPr>
                  <w:r>
                    <w:rPr>
                      <w:rFonts w:ascii="仿宋_GB2312" w:hAnsi="仿宋_GB2312" w:cs="仿宋_GB2312" w:eastAsia="仿宋_GB2312"/>
                    </w:rPr>
                    <w:t>装订</w:t>
                  </w:r>
                </w:p>
              </w:tc>
              <w:tc>
                <w:tcPr>
                  <w:tcW w:type="dxa" w:w="851"/>
                </w:tcPr>
                <w:p>
                  <w:pPr>
                    <w:pStyle w:val="null3"/>
                  </w:pPr>
                  <w:r>
                    <w:rPr>
                      <w:rFonts w:ascii="仿宋_GB2312" w:hAnsi="仿宋_GB2312" w:cs="仿宋_GB2312" w:eastAsia="仿宋_GB2312"/>
                    </w:rPr>
                    <w:t>扫描工作完成后，拆除过装订物的档案应按档案保管的要求重新装订。恢复装订时，应注意保持档案的排列顺序不变，做到安全、准确、无遗漏，合格率达99%。</w:t>
                  </w:r>
                </w:p>
              </w:tc>
            </w:tr>
            <w:tr>
              <w:tc>
                <w:tcPr>
                  <w:tcW w:type="dxa" w:w="851"/>
                </w:tcPr>
                <w:p>
                  <w:pPr>
                    <w:pStyle w:val="null3"/>
                  </w:pPr>
                  <w:r>
                    <w:rPr>
                      <w:rFonts w:ascii="仿宋_GB2312" w:hAnsi="仿宋_GB2312" w:cs="仿宋_GB2312" w:eastAsia="仿宋_GB2312"/>
                    </w:rPr>
                    <w:t>7</w:t>
                  </w:r>
                </w:p>
              </w:tc>
              <w:tc>
                <w:tcPr>
                  <w:tcW w:type="dxa" w:w="851"/>
                </w:tcPr>
                <w:p>
                  <w:pPr>
                    <w:pStyle w:val="null3"/>
                  </w:pPr>
                  <w:r>
                    <w:rPr>
                      <w:rFonts w:ascii="仿宋_GB2312" w:hAnsi="仿宋_GB2312" w:cs="仿宋_GB2312" w:eastAsia="仿宋_GB2312"/>
                    </w:rPr>
                    <w:t>验收归库</w:t>
                  </w:r>
                </w:p>
              </w:tc>
              <w:tc>
                <w:tcPr>
                  <w:tcW w:type="dxa" w:w="851"/>
                </w:tcPr>
                <w:p>
                  <w:pPr>
                    <w:pStyle w:val="null3"/>
                  </w:pPr>
                  <w:r>
                    <w:rPr>
                      <w:rFonts w:ascii="仿宋_GB2312" w:hAnsi="仿宋_GB2312" w:cs="仿宋_GB2312" w:eastAsia="仿宋_GB2312"/>
                    </w:rPr>
                    <w:t>详细登记档案案卷及重要档案数量，甲方验收，办理交接手续，做到准确无误。</w:t>
                  </w:r>
                </w:p>
              </w:tc>
            </w:tr>
            <w:tr>
              <w:tc>
                <w:tcPr>
                  <w:tcW w:type="dxa" w:w="851"/>
                </w:tcPr>
                <w:p>
                  <w:pPr>
                    <w:pStyle w:val="null3"/>
                  </w:pPr>
                  <w:r>
                    <w:rPr>
                      <w:rFonts w:ascii="仿宋_GB2312" w:hAnsi="仿宋_GB2312" w:cs="仿宋_GB2312" w:eastAsia="仿宋_GB2312"/>
                    </w:rPr>
                    <w:t>8</w:t>
                  </w:r>
                </w:p>
              </w:tc>
              <w:tc>
                <w:tcPr>
                  <w:tcW w:type="dxa" w:w="851"/>
                </w:tcPr>
                <w:p>
                  <w:pPr>
                    <w:pStyle w:val="null3"/>
                  </w:pPr>
                  <w:r>
                    <w:rPr>
                      <w:rFonts w:ascii="仿宋_GB2312" w:hAnsi="仿宋_GB2312" w:cs="仿宋_GB2312" w:eastAsia="仿宋_GB2312"/>
                    </w:rPr>
                    <w:t>扫描挂接</w:t>
                  </w:r>
                </w:p>
              </w:tc>
              <w:tc>
                <w:tcPr>
                  <w:tcW w:type="dxa" w:w="851"/>
                </w:tcPr>
                <w:p>
                  <w:pPr>
                    <w:pStyle w:val="null3"/>
                  </w:pPr>
                  <w:r>
                    <w:rPr>
                      <w:rFonts w:ascii="仿宋_GB2312" w:hAnsi="仿宋_GB2312" w:cs="仿宋_GB2312" w:eastAsia="仿宋_GB2312"/>
                    </w:rPr>
                    <w:t>定期提交扫描全宗号、卷号、卷数、页数及挂接数量。</w:t>
                  </w:r>
                </w:p>
              </w:tc>
            </w:tr>
          </w:tbl>
          <w:p>
            <w:pPr>
              <w:pStyle w:val="null3"/>
            </w:pPr>
            <w:r>
              <w:rPr>
                <w:rFonts w:ascii="仿宋_GB2312" w:hAnsi="仿宋_GB2312" w:cs="仿宋_GB2312" w:eastAsia="仿宋_GB2312"/>
              </w:rPr>
              <w:t>（三）具体工作要求</w:t>
            </w:r>
          </w:p>
          <w:p>
            <w:pPr>
              <w:pStyle w:val="null3"/>
            </w:pPr>
            <w:r>
              <w:rPr>
                <w:rFonts w:ascii="仿宋_GB2312" w:hAnsi="仿宋_GB2312" w:cs="仿宋_GB2312" w:eastAsia="仿宋_GB2312"/>
              </w:rPr>
              <w:t>1.数字化技术要求</w:t>
            </w:r>
          </w:p>
          <w:p>
            <w:pPr>
              <w:pStyle w:val="null3"/>
            </w:pPr>
            <w:r>
              <w:rPr>
                <w:rFonts w:ascii="仿宋_GB2312" w:hAnsi="仿宋_GB2312" w:cs="仿宋_GB2312" w:eastAsia="仿宋_GB2312"/>
              </w:rPr>
              <w:t>1-1扫描模式：一般纸张均扫描黑白二值图像，保存为G4压缩的TIFF格式，内容不清晰无法辨识内容的材料扫描为灰度图像，保存为G4压缩的JPEG格式。手印、图章、票据及彩页须进行彩色模式扫描。</w:t>
            </w:r>
          </w:p>
          <w:p>
            <w:pPr>
              <w:pStyle w:val="null3"/>
            </w:pPr>
            <w:r>
              <w:rPr>
                <w:rFonts w:ascii="仿宋_GB2312" w:hAnsi="仿宋_GB2312" w:cs="仿宋_GB2312" w:eastAsia="仿宋_GB2312"/>
              </w:rPr>
              <w:t>1-2图像存储格式为Jpg/TIFF，扫描分辨率不低于300dpi（应满足实际浏览、打印需要）</w:t>
            </w:r>
          </w:p>
          <w:p>
            <w:pPr>
              <w:pStyle w:val="null3"/>
            </w:pPr>
            <w:r>
              <w:rPr>
                <w:rFonts w:ascii="仿宋_GB2312" w:hAnsi="仿宋_GB2312" w:cs="仿宋_GB2312" w:eastAsia="仿宋_GB2312"/>
              </w:rPr>
              <w:t>1-3扫描图像应清晰、完整，且图像内容与档案实体内容相符，不能丢失或任意增加信息（标识符除外），不能有明显黑边、污点等，页面端正，不能有明显倾斜、卷曲、折痕。</w:t>
            </w:r>
          </w:p>
          <w:p>
            <w:pPr>
              <w:pStyle w:val="null3"/>
            </w:pPr>
            <w:r>
              <w:rPr>
                <w:rFonts w:ascii="仿宋_GB2312" w:hAnsi="仿宋_GB2312" w:cs="仿宋_GB2312" w:eastAsia="仿宋_GB2312"/>
              </w:rPr>
              <w:t>1-4扫描的实际画幅数应与前处理登记的应扫画幅数一致，不能漏扫、重扫或多扫。</w:t>
            </w:r>
          </w:p>
          <w:p>
            <w:pPr>
              <w:pStyle w:val="null3"/>
            </w:pPr>
            <w:r>
              <w:rPr>
                <w:rFonts w:ascii="仿宋_GB2312" w:hAnsi="仿宋_GB2312" w:cs="仿宋_GB2312" w:eastAsia="仿宋_GB2312"/>
              </w:rPr>
              <w:t>1-5避免纸张褶皱、撕裂、破损等情况的发生。</w:t>
            </w:r>
          </w:p>
          <w:p>
            <w:pPr>
              <w:pStyle w:val="null3"/>
            </w:pPr>
            <w:r>
              <w:rPr>
                <w:rFonts w:ascii="仿宋_GB2312" w:hAnsi="仿宋_GB2312" w:cs="仿宋_GB2312" w:eastAsia="仿宋_GB2312"/>
              </w:rPr>
              <w:t>1-6老档案纸张质地脆弱，扫描时加衬纸。遇小张纸质材料时，粘帖编页后进行扫描。</w:t>
            </w:r>
          </w:p>
          <w:p>
            <w:pPr>
              <w:pStyle w:val="null3"/>
            </w:pPr>
            <w:r>
              <w:rPr>
                <w:rFonts w:ascii="仿宋_GB2312" w:hAnsi="仿宋_GB2312" w:cs="仿宋_GB2312" w:eastAsia="仿宋_GB2312"/>
              </w:rPr>
              <w:t>1-7如遇到档案纸张质地脆弱，不适合反复拆装订的档案，须采用不拆卷扫描设备和方式进行扫描（选用该种扫描方式的档案，须报请采购人书面同意才能进行扫描），须提出具体扫描方案、扫描设备参数和功能介绍，否则该项为不响应。扫描时，应根据纸张质地、底色、薄厚程度等因素，设置最佳的扫描参数，保证图像扫描效果。</w:t>
            </w:r>
          </w:p>
          <w:p>
            <w:pPr>
              <w:pStyle w:val="null3"/>
            </w:pPr>
            <w:r>
              <w:rPr>
                <w:rFonts w:ascii="仿宋_GB2312" w:hAnsi="仿宋_GB2312" w:cs="仿宋_GB2312" w:eastAsia="仿宋_GB2312"/>
              </w:rPr>
              <w:t>2.数据挂接要求</w:t>
            </w:r>
          </w:p>
          <w:p>
            <w:pPr>
              <w:pStyle w:val="null3"/>
            </w:pPr>
            <w:r>
              <w:rPr>
                <w:rFonts w:ascii="仿宋_GB2312" w:hAnsi="仿宋_GB2312" w:cs="仿宋_GB2312" w:eastAsia="仿宋_GB2312"/>
              </w:rPr>
              <w:t>2-1数据批量挂接。图像数据验收合格后，使用专门程序或软件，将扫描所得的一个或多个图像文件，与档案目录数据建立起一一对应的关联关系，实现档案目录数据库与图像文件的批量挂接。</w:t>
            </w:r>
          </w:p>
          <w:p>
            <w:pPr>
              <w:pStyle w:val="null3"/>
            </w:pPr>
            <w:r>
              <w:rPr>
                <w:rFonts w:ascii="仿宋_GB2312" w:hAnsi="仿宋_GB2312" w:cs="仿宋_GB2312" w:eastAsia="仿宋_GB2312"/>
              </w:rPr>
              <w:t>2-2数据挂接准确。必须保证目录数据库与图像文件的一一对应关系，不得错挂、漏挂。</w:t>
            </w:r>
          </w:p>
          <w:p>
            <w:pPr>
              <w:pStyle w:val="null3"/>
            </w:pPr>
            <w:r>
              <w:rPr>
                <w:rFonts w:ascii="仿宋_GB2312" w:hAnsi="仿宋_GB2312" w:cs="仿宋_GB2312" w:eastAsia="仿宋_GB2312"/>
              </w:rPr>
              <w:t>2-3边扫描边挂接，把每天完成的成品数据上传挂接到位，保证上传挂接的及时性。</w:t>
            </w:r>
          </w:p>
          <w:p>
            <w:pPr>
              <w:pStyle w:val="null3"/>
            </w:pPr>
            <w:r>
              <w:rPr>
                <w:rFonts w:ascii="仿宋_GB2312" w:hAnsi="仿宋_GB2312" w:cs="仿宋_GB2312" w:eastAsia="仿宋_GB2312"/>
              </w:rPr>
              <w:t>2-4将加工处理完成的档案数据上传至省法院服务器。</w:t>
            </w:r>
          </w:p>
          <w:p>
            <w:pPr>
              <w:pStyle w:val="null3"/>
            </w:pPr>
            <w:r>
              <w:rPr>
                <w:rFonts w:ascii="仿宋_GB2312" w:hAnsi="仿宋_GB2312" w:cs="仿宋_GB2312" w:eastAsia="仿宋_GB2312"/>
              </w:rPr>
              <w:t>3.数字化信息长期保存原数据封装要求</w:t>
            </w:r>
          </w:p>
          <w:p>
            <w:pPr>
              <w:pStyle w:val="null3"/>
            </w:pPr>
            <w:r>
              <w:rPr>
                <w:rFonts w:ascii="仿宋_GB2312" w:hAnsi="仿宋_GB2312" w:cs="仿宋_GB2312" w:eastAsia="仿宋_GB2312"/>
              </w:rPr>
              <w:t>3-1依据国家《基于XML的电子文件封装规范》（DA/T48-2009）开展数字化文件信息的封装工作。</w:t>
            </w:r>
          </w:p>
          <w:p>
            <w:pPr>
              <w:pStyle w:val="null3"/>
            </w:pPr>
            <w:r>
              <w:rPr>
                <w:rFonts w:ascii="仿宋_GB2312" w:hAnsi="仿宋_GB2312" w:cs="仿宋_GB2312" w:eastAsia="仿宋_GB2312"/>
              </w:rPr>
              <w:t>3-2提供数字化信息封装元数据的利用方法，同时具备数字化元数据向档案管理系统恢复的功能。</w:t>
            </w:r>
          </w:p>
          <w:p>
            <w:pPr>
              <w:pStyle w:val="null3"/>
            </w:pPr>
            <w:r>
              <w:rPr>
                <w:rFonts w:ascii="仿宋_GB2312" w:hAnsi="仿宋_GB2312" w:cs="仿宋_GB2312" w:eastAsia="仿宋_GB2312"/>
              </w:rPr>
              <w:t>3-3数字化信息元数据封装包的保存采用移动硬盘。</w:t>
            </w:r>
          </w:p>
          <w:p>
            <w:pPr>
              <w:pStyle w:val="null3"/>
            </w:pPr>
            <w:r>
              <w:rPr>
                <w:rFonts w:ascii="仿宋_GB2312" w:hAnsi="仿宋_GB2312" w:cs="仿宋_GB2312" w:eastAsia="仿宋_GB2312"/>
              </w:rPr>
              <w:t>4.档案数字化信息数据备份与存储</w:t>
            </w:r>
          </w:p>
          <w:p>
            <w:pPr>
              <w:pStyle w:val="null3"/>
            </w:pPr>
            <w:r>
              <w:rPr>
                <w:rFonts w:ascii="仿宋_GB2312" w:hAnsi="仿宋_GB2312" w:cs="仿宋_GB2312" w:eastAsia="仿宋_GB2312"/>
              </w:rPr>
              <w:t>4-1通过数据挂接后，按全宗管理原则备份Jpg/TIFF格式原始数据移动硬盘，并编制纸质目录。</w:t>
            </w:r>
          </w:p>
          <w:p>
            <w:pPr>
              <w:pStyle w:val="null3"/>
            </w:pPr>
            <w:r>
              <w:rPr>
                <w:rFonts w:ascii="仿宋_GB2312" w:hAnsi="仿宋_GB2312" w:cs="仿宋_GB2312" w:eastAsia="仿宋_GB2312"/>
              </w:rPr>
              <w:t>4-2数据备份移动硬盘由采购人提供。数据信息中严禁带有计算机病毒及黑客程序等有害信息和与档案无关的信息（下同）。</w:t>
            </w:r>
          </w:p>
          <w:p>
            <w:pPr>
              <w:pStyle w:val="null3"/>
            </w:pPr>
            <w:r>
              <w:rPr>
                <w:rFonts w:ascii="仿宋_GB2312" w:hAnsi="仿宋_GB2312" w:cs="仿宋_GB2312" w:eastAsia="仿宋_GB2312"/>
              </w:rPr>
              <w:t>4-3移动硬盘必须加贴标签，标签的内容必须完整、准确。标识内容：年度、类别、编号、硬盘容量大小和数据实际所占大小。</w:t>
            </w:r>
          </w:p>
          <w:p>
            <w:pPr>
              <w:pStyle w:val="null3"/>
            </w:pPr>
            <w:r>
              <w:rPr>
                <w:rFonts w:ascii="仿宋_GB2312" w:hAnsi="仿宋_GB2312" w:cs="仿宋_GB2312" w:eastAsia="仿宋_GB2312"/>
              </w:rPr>
              <w:t>4-4扫描完成后，按年度类别进行移动硬盘数据备份，并编制纸质目录。</w:t>
            </w:r>
          </w:p>
          <w:p>
            <w:pPr>
              <w:pStyle w:val="null3"/>
            </w:pPr>
            <w:r>
              <w:rPr>
                <w:rFonts w:ascii="仿宋_GB2312" w:hAnsi="仿宋_GB2312" w:cs="仿宋_GB2312" w:eastAsia="仿宋_GB2312"/>
              </w:rPr>
              <w:t>4-5备份内容：扫描原图、目录，挂接后运行的数据。</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rPr>
              <w:t>三、服务要求</w:t>
            </w:r>
          </w:p>
          <w:p>
            <w:pPr>
              <w:pStyle w:val="null3"/>
            </w:pPr>
            <w:r>
              <w:rPr>
                <w:rFonts w:ascii="仿宋_GB2312" w:hAnsi="仿宋_GB2312" w:cs="仿宋_GB2312" w:eastAsia="仿宋_GB2312"/>
              </w:rPr>
              <w:t>1.总则：严格管理，明确责任，落实安全保密管理机制质量管理机制，确保档案原件和数字化档案信息的安全，确保各环节工作符合质量要求，建立完整、规范的工作记录。加工标准按照档案整理及数字化相关标准规范。</w:t>
            </w:r>
          </w:p>
          <w:p>
            <w:pPr>
              <w:pStyle w:val="null3"/>
            </w:pPr>
            <w:r>
              <w:rPr>
                <w:rFonts w:ascii="仿宋_GB2312" w:hAnsi="仿宋_GB2312" w:cs="仿宋_GB2312" w:eastAsia="仿宋_GB2312"/>
              </w:rPr>
              <w:t>2.档案交接：由加工人员从档案馆库房管理人员处领取待加工档案，根据工作进度安排按规定领取，领取时需要对档案数量进行清点，并填写交接登记表。</w:t>
            </w:r>
          </w:p>
          <w:p>
            <w:pPr>
              <w:pStyle w:val="null3"/>
            </w:pPr>
            <w:r>
              <w:rPr>
                <w:rFonts w:ascii="仿宋_GB2312" w:hAnsi="仿宋_GB2312" w:cs="仿宋_GB2312" w:eastAsia="仿宋_GB2312"/>
              </w:rPr>
              <w:t>3.档案扫描</w:t>
            </w:r>
          </w:p>
          <w:p>
            <w:pPr>
              <w:pStyle w:val="null3"/>
            </w:pPr>
            <w:r>
              <w:rPr>
                <w:rFonts w:ascii="仿宋_GB2312" w:hAnsi="仿宋_GB2312" w:cs="仿宋_GB2312" w:eastAsia="仿宋_GB2312"/>
              </w:rPr>
              <w:t>档案扫描采用（300dpi）彩色或黑白扫描，均保持原档方向，最终转成PDF格式文件。</w:t>
            </w:r>
          </w:p>
          <w:p>
            <w:pPr>
              <w:pStyle w:val="null3"/>
            </w:pPr>
            <w:r>
              <w:rPr>
                <w:rFonts w:ascii="仿宋_GB2312" w:hAnsi="仿宋_GB2312" w:cs="仿宋_GB2312" w:eastAsia="仿宋_GB2312"/>
              </w:rPr>
              <w:t>扫描时，应根据纸张质地、底色、薄厚程序等因素，设置最佳的扫描明暗度、对比度设置，保证原始扫描图像效果与原件吻合。根据档案幅面的大小和纸张状况，选择相应扫描仪，对于档案纸张质量较好适合高速扫描的选择高速扫描仪，大于A4幅面的采用平板扫描仪扫描。扫描时应在《纸质档案扫描工作流程表》上认真登记扫描的页码和页数，并核对每份文件的扫描页码、页数与实际的文件页码、页数是否一致，不一致时应注明具体原因和处理方法。</w:t>
            </w:r>
          </w:p>
          <w:p>
            <w:pPr>
              <w:pStyle w:val="null3"/>
            </w:pPr>
            <w:r>
              <w:rPr>
                <w:rFonts w:ascii="仿宋_GB2312" w:hAnsi="仿宋_GB2312" w:cs="仿宋_GB2312" w:eastAsia="仿宋_GB2312"/>
              </w:rPr>
              <w:t>4.图像处理：应对扫描后的图像进行逐页纠偏、去污、图像拼接、裁边处理和排列顺序调整，保证图像符合正常的阅读习惯。图像偏度不得大于1度，图像拼接处信息要完整，不能缺少任何信息。图像深浅不一时，采用平衡功能，高速图像深浅一致。</w:t>
            </w:r>
          </w:p>
          <w:p>
            <w:pPr>
              <w:pStyle w:val="null3"/>
            </w:pPr>
            <w:r>
              <w:rPr>
                <w:rFonts w:ascii="仿宋_GB2312" w:hAnsi="仿宋_GB2312" w:cs="仿宋_GB2312" w:eastAsia="仿宋_GB2312"/>
              </w:rPr>
              <w:t>5.条目著录：目录著录准确度要达到90%以上，条目要求符合国家《纸质档案著录规则》要求。</w:t>
            </w:r>
          </w:p>
          <w:p>
            <w:pPr>
              <w:pStyle w:val="null3"/>
            </w:pPr>
            <w:r>
              <w:rPr>
                <w:rFonts w:ascii="仿宋_GB2312" w:hAnsi="仿宋_GB2312" w:cs="仿宋_GB2312" w:eastAsia="仿宋_GB2312"/>
              </w:rPr>
              <w:t>6.档案归还：档案著录完成以后，对档案进行清点后装盒，并移交给档案库房管理人员，并填制交接登记表。</w:t>
            </w:r>
          </w:p>
          <w:p>
            <w:pPr>
              <w:pStyle w:val="null3"/>
            </w:pPr>
            <w:r>
              <w:rPr>
                <w:rFonts w:ascii="仿宋_GB2312" w:hAnsi="仿宋_GB2312" w:cs="仿宋_GB2312" w:eastAsia="仿宋_GB2312"/>
              </w:rPr>
              <w:t>7.文件存储：以目录数据库内该文件档号对扫描图像建立文件夹。数据光盘内文件电子影像存储格式为JPG格式。扫描后的电子文件需要提交硬盘存储和光盘存储做备份之用，对光盘质量标准如下：</w:t>
            </w:r>
          </w:p>
          <w:p>
            <w:pPr>
              <w:pStyle w:val="null3"/>
            </w:pPr>
            <w:r>
              <w:rPr>
                <w:rFonts w:ascii="仿宋_GB2312" w:hAnsi="仿宋_GB2312" w:cs="仿宋_GB2312" w:eastAsia="仿宋_GB2312"/>
              </w:rPr>
              <w:t xml:space="preserve">   （1）光盘片制作两份，制作成影像存储格式为单页JPG的数据光盘和转换文件（PDF）数据DVD光盘各1份。</w:t>
            </w:r>
          </w:p>
          <w:p>
            <w:pPr>
              <w:pStyle w:val="null3"/>
            </w:pPr>
            <w:r>
              <w:rPr>
                <w:rFonts w:ascii="仿宋_GB2312" w:hAnsi="仿宋_GB2312" w:cs="仿宋_GB2312" w:eastAsia="仿宋_GB2312"/>
              </w:rPr>
              <w:t>（2）同一份文件，不跨越二片DVD片号。</w:t>
            </w:r>
          </w:p>
          <w:p>
            <w:pPr>
              <w:pStyle w:val="null3"/>
            </w:pPr>
            <w:r>
              <w:rPr>
                <w:rFonts w:ascii="仿宋_GB2312" w:hAnsi="仿宋_GB2312" w:cs="仿宋_GB2312" w:eastAsia="仿宋_GB2312"/>
              </w:rPr>
              <w:t>（3）文件影像存于符合标准的光盘片。</w:t>
            </w:r>
          </w:p>
          <w:p>
            <w:pPr>
              <w:pStyle w:val="null3"/>
            </w:pPr>
            <w:r>
              <w:rPr>
                <w:rFonts w:ascii="仿宋_GB2312" w:hAnsi="仿宋_GB2312" w:cs="仿宋_GB2312" w:eastAsia="仿宋_GB2312"/>
              </w:rPr>
              <w:t>（4）光盘表面标示光盘片编号并注明光盘内目录索引信息。</w:t>
            </w:r>
          </w:p>
          <w:p>
            <w:pPr>
              <w:pStyle w:val="null3"/>
            </w:pPr>
            <w:r>
              <w:rPr>
                <w:rFonts w:ascii="仿宋_GB2312" w:hAnsi="仿宋_GB2312" w:cs="仿宋_GB2312" w:eastAsia="仿宋_GB2312"/>
              </w:rPr>
              <w:t>（5）在光盘片刻完成后，与影像系统进行比对一次，以确保档案资料无遗漏及正确性。</w:t>
            </w:r>
          </w:p>
          <w:p>
            <w:pPr>
              <w:pStyle w:val="null3"/>
            </w:pPr>
            <w:r>
              <w:rPr>
                <w:rFonts w:ascii="仿宋_GB2312" w:hAnsi="仿宋_GB2312" w:cs="仿宋_GB2312" w:eastAsia="仿宋_GB2312"/>
              </w:rPr>
              <w:t>（6）光盘记录人员对于所有光盘片序号进行管理与记录。</w:t>
            </w:r>
          </w:p>
          <w:p>
            <w:pPr>
              <w:pStyle w:val="null3"/>
            </w:pPr>
            <w:r>
              <w:rPr>
                <w:rFonts w:ascii="仿宋_GB2312" w:hAnsi="仿宋_GB2312" w:cs="仿宋_GB2312" w:eastAsia="仿宋_GB2312"/>
              </w:rPr>
              <w:t>8.质量自检：加工单位必须建立严格的质量检测体系，对加工的数据进行自检，自检达到数据质量标准的，才能递交采购人验收。</w:t>
            </w:r>
          </w:p>
          <w:p>
            <w:pPr>
              <w:pStyle w:val="null3"/>
            </w:pPr>
            <w:r>
              <w:rPr>
                <w:rFonts w:ascii="仿宋_GB2312" w:hAnsi="仿宋_GB2312" w:cs="仿宋_GB2312" w:eastAsia="仿宋_GB2312"/>
              </w:rPr>
              <w:t>9.验收：著录完成的目录数据，由加工单位数据自检合格后，递交档案室验收。要求档案数字化文件级目录与档案原件文件级目录一致、准确完整。条目著录准确率为98%。</w:t>
            </w:r>
          </w:p>
          <w:p>
            <w:pPr>
              <w:pStyle w:val="null3"/>
            </w:pPr>
            <w:r>
              <w:rPr>
                <w:rFonts w:ascii="仿宋_GB2312" w:hAnsi="仿宋_GB2312" w:cs="仿宋_GB2312" w:eastAsia="仿宋_GB2312"/>
              </w:rPr>
              <w:t>10.数据挂接：扫描图像文件应与目前使用的用户的档案管理系统目录数据进行挂接。</w:t>
            </w:r>
          </w:p>
          <w:p>
            <w:pPr>
              <w:pStyle w:val="null3"/>
            </w:pPr>
            <w:r>
              <w:rPr>
                <w:rFonts w:ascii="仿宋_GB2312" w:hAnsi="仿宋_GB2312" w:cs="仿宋_GB2312" w:eastAsia="仿宋_GB2312"/>
              </w:rPr>
              <w:t>11.供应商须专业的项目团队，熟练高速扫描、熟悉数字化扫描流程、档案装订及归档、保密规定。</w:t>
            </w:r>
          </w:p>
          <w:p>
            <w:pPr>
              <w:pStyle w:val="null3"/>
            </w:pPr>
            <w:r>
              <w:rPr>
                <w:rFonts w:ascii="仿宋_GB2312" w:hAnsi="仿宋_GB2312" w:cs="仿宋_GB2312" w:eastAsia="仿宋_GB2312"/>
              </w:rPr>
              <w:t>12.档案存储须符合国家标准。</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rPr>
              <w:t>四、商务要求</w:t>
            </w:r>
          </w:p>
          <w:p>
            <w:pPr>
              <w:pStyle w:val="null3"/>
            </w:pPr>
            <w:r>
              <w:rPr>
                <w:rFonts w:ascii="仿宋_GB2312" w:hAnsi="仿宋_GB2312" w:cs="仿宋_GB2312" w:eastAsia="仿宋_GB2312"/>
              </w:rPr>
              <w:t>1.服务地点：采购人指定地点。</w:t>
            </w:r>
          </w:p>
          <w:p>
            <w:pPr>
              <w:pStyle w:val="null3"/>
            </w:pPr>
            <w:r>
              <w:rPr>
                <w:rFonts w:ascii="仿宋_GB2312" w:hAnsi="仿宋_GB2312" w:cs="仿宋_GB2312" w:eastAsia="仿宋_GB2312"/>
              </w:rPr>
              <w:t>2.服务期：自合同签订之日起一年。</w:t>
            </w:r>
          </w:p>
          <w:p>
            <w:pPr>
              <w:pStyle w:val="null3"/>
            </w:pPr>
            <w:r>
              <w:rPr>
                <w:rFonts w:ascii="仿宋_GB2312" w:hAnsi="仿宋_GB2312" w:cs="仿宋_GB2312" w:eastAsia="仿宋_GB2312"/>
              </w:rPr>
              <w:t>3.成交供应商不得将项目转包或分包给第三方。</w:t>
            </w:r>
          </w:p>
          <w:p>
            <w:pPr>
              <w:pStyle w:val="null3"/>
            </w:pPr>
            <w:r>
              <w:rPr>
                <w:rFonts w:ascii="仿宋_GB2312" w:hAnsi="仿宋_GB2312" w:cs="仿宋_GB2312" w:eastAsia="仿宋_GB2312"/>
              </w:rPr>
              <w:t>4.付款方式：①合同签订后，供应商完成总体工作量的30%，项目验收由乙方提出书面申请，甲方验收合格，签字确认后10个工作日内据实结算该部分款项。</w:t>
            </w:r>
          </w:p>
          <w:p>
            <w:pPr>
              <w:pStyle w:val="null3"/>
            </w:pPr>
            <w:r>
              <w:rPr>
                <w:rFonts w:ascii="仿宋_GB2312" w:hAnsi="仿宋_GB2312" w:cs="仿宋_GB2312" w:eastAsia="仿宋_GB2312"/>
              </w:rPr>
              <w:t>②供应商完成总体工作量的40%，项目验收由乙方提出书面申请，甲方验收合格，签字确认后10个工作日内据实结算该部分款项。</w:t>
            </w:r>
          </w:p>
          <w:p>
            <w:pPr>
              <w:pStyle w:val="null3"/>
            </w:pPr>
            <w:r>
              <w:rPr>
                <w:rFonts w:ascii="仿宋_GB2312" w:hAnsi="仿宋_GB2312" w:cs="仿宋_GB2312" w:eastAsia="仿宋_GB2312"/>
              </w:rPr>
              <w:t>③供应商完成总体工作量的30%，项目验收由乙方提出书面申请，甲方验收合格，签字确认后10个工作日内据实结算该部分款项。</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供应商根据服务要求自行响应</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供应商根据服务要求自行响应</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1.符合现行国家、行业“合格”标准，符合采购人要求。 2.采购人进行验收，若认为验收不合格，供应商应重新调整且进行重新验收。 3.验收依据： ①本项目磋商文件、磋商响应文件； ②本合同及附件文本； ③合同签订时国家及行业现行的标准和技术规范。 ④供应商应向采购人提交项目实施过程中的所有资料，以便采购人日后整理汇总。</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进度款，合同签订后，供应商完成总体工作量的30%，项目验收由乙方提出书面申请，甲方验收合格，签字确认后10个工作日内据实结算该部分款项。，达到付款条件起10个工作日内，支付合同总金额的30.0%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进度款，供应商完成总体工作量的40%，项目验收由乙方提出书面申请，甲方验收合格，签字确认后10个工作日内据实结算该部分款项。，达到付款条件起10个工作日内，支付合同总金额的40.0%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进度款，供应商完成总体工作量的30%，项目验收由乙方提出书面申请，甲方验收合格，签字确认后10个工作日内据实结算该部分款项。，达到付款条件起10个工作日内，支付合同总金额的30.0%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1.按《中华人民共和国民法典》中的相关条款和本合同的约定执行。2.未按合同或磋商文件要求提供服务质量不能满足甲方技术要求，甲方有权终止合同，甚至对乙方违约行为进行追究。解决争议的方法：合同执行中发生争议的，当事人双方应协商解决。协商不一致时，向西安仲裁委员会申请仲裁。</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1.本项目专门面向中小企业，供应商应为中小微企业或监狱企业或残疾人福利性单位。 2.本项目属性为服务。 3.本项目合同包1采购标的所属行业为：租赁和商务服务业； 4.本项目是否属于信用担保试点范围：否。 5.本项目为固定单价合同。 6.磋商中出现下列情形之一的，磋商小组应当启动异常低价投标(响应)审查程序：（1）投标(响应)报价低于全部通过符合性审查供应商投标(响应)报价平均值50%的，即投标(响应)报价〈全部通过符合性审查供应商投标(响应)报价平均值X50%；（2）投标(响应)报价低于通过符合性审查的次低报价供应商投标(响应)报价50%的，即投标(响应)报价〈通过符合性审查的次低报价供应商投标(响应)报价X50%；（3）投标(响应)报价低于采购项目最高限价45%的，即投标(响应)报价&lt;采购项目最高限价X45%；（4）磋商小组基于专业判断，认为供应商报价过低，有可能影响产品质量或者不能诚信履约的其他情形。磋商小组启动异常低价投标(响应)审查后，属于前述第1项至第4项情形的，应当要求相关供应商在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磋商小组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磋商小组应当将其作为无效投标(响应)处理。 磋商小组借助互联网等渠道查询相关信息的，应当严格遵守评审工作纪律，不得实施影响评审公正的行为。异常低价投标(响应)审查的启动原因、审查意见和审查结果应当在评审报告中记录，并随供应商提供的相关书面说明及证明材料，以及磋商小组有关互联网浏览、查询历史一并归档。</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法人、其他组织或自然人，并出具合法有效的营业执照或事业单位法人证书等国家规定的相关证明，自然人参与的提供其身份证明；2.提供2026年02月至今已缴纳的至少一个月的纳税证明或完税证明（任意税种），依法免税的单位应提供相关证明材料；3.提供2026年02月至今已缴存的至少一个月的社会保障资金缴存单据或社保机构开具的社会保险参保缴费情况证明，依法不需要缴纳社会保障资金的单位应提供相关证明材料；4.提供具有履行合同所必需的设备和专业技术能力的承诺；5.参加政府采购活动前三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的经审计的财务会计报告（成立时间至提交磋商响应文件截止时间不足一年的可提供成立后任意时段的资产负债表），或开标日期前三个月内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法定代表人授权书（附法定代表人、被授权人身份证复印件及被授权人开标前三个月内任意一个月在本单位的社保缴纳证明），法定代表人直接参加磋商，须提供法定代表人身份证明；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w:t>
            </w:r>
          </w:p>
        </w:tc>
        <w:tc>
          <w:tcPr>
            <w:tcW w:type="dxa" w:w="3322"/>
          </w:tcPr>
          <w:p>
            <w:pPr>
              <w:pStyle w:val="null3"/>
            </w:pPr>
            <w:r>
              <w:rPr>
                <w:rFonts w:ascii="仿宋_GB2312" w:hAnsi="仿宋_GB2312" w:cs="仿宋_GB2312" w:eastAsia="仿宋_GB2312"/>
              </w:rPr>
              <w:t>供应商须具备《国家秘密载体印制资质》乙级及以上资质（内容包含“涉密档案数字化加工”类）；外省企业须在陕西省国家保密局备案证明（甲级资质无需备案）；</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s：//zxgk.court.gov.cn/shixi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依据财库〔2026〕2号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磋商响应文件上法定代表人或其授权代表人的签字齐全并加盖公章</w:t>
            </w:r>
          </w:p>
        </w:tc>
        <w:tc>
          <w:tcPr>
            <w:tcW w:type="dxa" w:w="1661"/>
          </w:tcPr>
          <w:p>
            <w:pPr>
              <w:pStyle w:val="null3"/>
            </w:pPr>
            <w:r>
              <w:rPr>
                <w:rFonts w:ascii="仿宋_GB2312" w:hAnsi="仿宋_GB2312" w:cs="仿宋_GB2312" w:eastAsia="仿宋_GB2312"/>
              </w:rPr>
              <w:t>供应商参加政府采购活动承诺书.docx 业绩.docx 中小企业声明函 报价表 资格证明文件.docx 其他说明.docx 响应文件封面 残疾人福利性单位声明函 标的清单 磋商分项报价表.docx 响应函 商务条款偏离表.docx 监狱企业的证明文件 磋商方案.docx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是否专门面向中小企业</w:t>
            </w:r>
          </w:p>
        </w:tc>
        <w:tc>
          <w:tcPr>
            <w:tcW w:type="dxa" w:w="3322"/>
          </w:tcPr>
          <w:p>
            <w:pPr>
              <w:pStyle w:val="null3"/>
            </w:pPr>
            <w:r>
              <w:rPr>
                <w:rFonts w:ascii="仿宋_GB2312" w:hAnsi="仿宋_GB2312" w:cs="仿宋_GB2312" w:eastAsia="仿宋_GB2312"/>
              </w:rPr>
              <w:t>本项目专门面向中小企业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应符合“磋商响应文件格式”要求</w:t>
            </w:r>
          </w:p>
        </w:tc>
        <w:tc>
          <w:tcPr>
            <w:tcW w:type="dxa" w:w="1661"/>
          </w:tcPr>
          <w:p>
            <w:pPr>
              <w:pStyle w:val="null3"/>
            </w:pPr>
            <w:r>
              <w:rPr>
                <w:rFonts w:ascii="仿宋_GB2312" w:hAnsi="仿宋_GB2312" w:cs="仿宋_GB2312" w:eastAsia="仿宋_GB2312"/>
              </w:rPr>
              <w:t>供应商参加政府采购活动承诺书.docx 业绩.docx 中小企业声明函 报价表 资格证明文件.docx 其他说明.docx 响应文件封面 残疾人福利性单位声明函 标的清单 磋商分项报价表.docx 响应函 商务条款偏离表.docx 监狱企业的证明文件 磋商方案.docx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磋商响应文件内容齐全、无遗漏（除评审因素外）</w:t>
            </w:r>
          </w:p>
        </w:tc>
        <w:tc>
          <w:tcPr>
            <w:tcW w:type="dxa" w:w="1661"/>
          </w:tcPr>
          <w:p>
            <w:pPr>
              <w:pStyle w:val="null3"/>
            </w:pPr>
            <w:r>
              <w:rPr>
                <w:rFonts w:ascii="仿宋_GB2312" w:hAnsi="仿宋_GB2312" w:cs="仿宋_GB2312" w:eastAsia="仿宋_GB2312"/>
              </w:rPr>
              <w:t>响应函 商务条款偏离表.docx 其他说明.docx 磋商方案.docx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响应函 商务条款偏离表.docx 其他说明.docx 磋商方案.docx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应满足磋商文件中要求的服务期</w:t>
            </w:r>
          </w:p>
        </w:tc>
        <w:tc>
          <w:tcPr>
            <w:tcW w:type="dxa" w:w="1661"/>
          </w:tcPr>
          <w:p>
            <w:pPr>
              <w:pStyle w:val="null3"/>
            </w:pPr>
            <w:r>
              <w:rPr>
                <w:rFonts w:ascii="仿宋_GB2312" w:hAnsi="仿宋_GB2312" w:cs="仿宋_GB2312" w:eastAsia="仿宋_GB2312"/>
              </w:rPr>
              <w:t>响应函 商务条款偏离表.docx 其他说明.docx 磋商方案.docx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 商务条款偏离表.docx 其他说明.docx 磋商方案.docx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服务⽅案</w:t>
            </w:r>
          </w:p>
        </w:tc>
        <w:tc>
          <w:tcPr>
            <w:tcW w:type="dxa" w:w="2492"/>
          </w:tcPr>
          <w:p>
            <w:pPr>
              <w:pStyle w:val="null3"/>
            </w:pPr>
            <w:r>
              <w:rPr>
                <w:rFonts w:ascii="仿宋_GB2312" w:hAnsi="仿宋_GB2312" w:cs="仿宋_GB2312" w:eastAsia="仿宋_GB2312"/>
              </w:rPr>
              <w:t>一、评审内容 针对本项目提供相应的服务方案，包括但不限于：①档案整理⽅案；②档案扫描⽅案；③图像处理⽅案；④数据录⼊⽅案；⑤档案装订⽅案；⑥档案交接⽅案；⑦项⽬验收⽅案；⑧重难点分析及解决思路等。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0.5分，未提供得0分，满分24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其他说明.docx</w:t>
            </w:r>
          </w:p>
        </w:tc>
      </w:tr>
      <w:tr>
        <w:tc>
          <w:tcPr>
            <w:tcW w:type="dxa" w:w="831"/>
            <w:vMerge/>
          </w:tcPr>
          <w:p/>
        </w:tc>
        <w:tc>
          <w:tcPr>
            <w:tcW w:type="dxa" w:w="1661"/>
          </w:tcPr>
          <w:p>
            <w:pPr>
              <w:pStyle w:val="null3"/>
            </w:pPr>
            <w:r>
              <w:rPr>
                <w:rFonts w:ascii="仿宋_GB2312" w:hAnsi="仿宋_GB2312" w:cs="仿宋_GB2312" w:eastAsia="仿宋_GB2312"/>
              </w:rPr>
              <w:t>内部管理制度</w:t>
            </w:r>
          </w:p>
        </w:tc>
        <w:tc>
          <w:tcPr>
            <w:tcW w:type="dxa" w:w="2492"/>
          </w:tcPr>
          <w:p>
            <w:pPr>
              <w:pStyle w:val="null3"/>
            </w:pPr>
            <w:r>
              <w:rPr>
                <w:rFonts w:ascii="仿宋_GB2312" w:hAnsi="仿宋_GB2312" w:cs="仿宋_GB2312" w:eastAsia="仿宋_GB2312"/>
              </w:rPr>
              <w:t>一、评审内容 针对本项目内部管理制度，包括但不限于：①⽇常⼯作管理制度；②⼈员组织管理制度；③档案验收制度；④服务质量自检及整改制度等。 二、评审标准 1.完整性：方案须全面，对评审内容中的各项要求有详细描述及说明； 2.可实施性：切合本项目实际情况，实施步骤清晰、合理； 3.针对性：方案能够紧扣项目实际情况，内容科学合理。 三、赋分标准 完整性和可实施性评审内容，每完全满足一项评审标准得1分，上述评审内容每有一处缺陷扣0.5分；针对性评审内容，每完全满足一项评审标准得0.5分，上述评审内容每有一处缺陷扣0.2分；未提供得0分，满分10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其他说明.docx</w:t>
            </w:r>
          </w:p>
        </w:tc>
      </w:tr>
      <w:tr>
        <w:tc>
          <w:tcPr>
            <w:tcW w:type="dxa" w:w="831"/>
            <w:vMerge/>
          </w:tcPr>
          <w:p/>
        </w:tc>
        <w:tc>
          <w:tcPr>
            <w:tcW w:type="dxa" w:w="1661"/>
          </w:tcPr>
          <w:p>
            <w:pPr>
              <w:pStyle w:val="null3"/>
            </w:pPr>
            <w:r>
              <w:rPr>
                <w:rFonts w:ascii="仿宋_GB2312" w:hAnsi="仿宋_GB2312" w:cs="仿宋_GB2312" w:eastAsia="仿宋_GB2312"/>
              </w:rPr>
              <w:t>安全保障措施</w:t>
            </w:r>
          </w:p>
        </w:tc>
        <w:tc>
          <w:tcPr>
            <w:tcW w:type="dxa" w:w="2492"/>
          </w:tcPr>
          <w:p>
            <w:pPr>
              <w:pStyle w:val="null3"/>
            </w:pPr>
            <w:r>
              <w:rPr>
                <w:rFonts w:ascii="仿宋_GB2312" w:hAnsi="仿宋_GB2312" w:cs="仿宋_GB2312" w:eastAsia="仿宋_GB2312"/>
              </w:rPr>
              <w:t>一、评审内容 针对本项目安全保障措施，包括但不限于：①档案信息安全保障措施；②档案[电⼦、纸质]安全保障措施等。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0.5分，未提供得0分，满分6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其他说明.docx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针对本项目采购需求中的内容，制定项目团队人员配置方案； 1.拟派项目负责人具有档案中级或以上职称证，得2分；具有档案培训证书，得2分；具有保密培训证书的，得1分。 2.项目组成人员（除项目负责人外）具有档案培训及保密培训证书的，每提供一人,得1分，最高可得5分； 注：需提供职称证书、档案培训及保密培训证书情况及本单位的社保缴纳证明，未提供或提供不全的不得分。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其他说明.docx</w:t>
            </w:r>
          </w:p>
        </w:tc>
      </w:tr>
      <w:tr>
        <w:tc>
          <w:tcPr>
            <w:tcW w:type="dxa" w:w="831"/>
            <w:vMerge/>
          </w:tcPr>
          <w:p/>
        </w:tc>
        <w:tc>
          <w:tcPr>
            <w:tcW w:type="dxa" w:w="1661"/>
          </w:tcPr>
          <w:p>
            <w:pPr>
              <w:pStyle w:val="null3"/>
            </w:pPr>
            <w:r>
              <w:rPr>
                <w:rFonts w:ascii="仿宋_GB2312" w:hAnsi="仿宋_GB2312" w:cs="仿宋_GB2312" w:eastAsia="仿宋_GB2312"/>
              </w:rPr>
              <w:t>培训</w:t>
            </w:r>
          </w:p>
        </w:tc>
        <w:tc>
          <w:tcPr>
            <w:tcW w:type="dxa" w:w="2492"/>
          </w:tcPr>
          <w:p>
            <w:pPr>
              <w:pStyle w:val="null3"/>
            </w:pPr>
            <w:r>
              <w:rPr>
                <w:rFonts w:ascii="仿宋_GB2312" w:hAnsi="仿宋_GB2312" w:cs="仿宋_GB2312" w:eastAsia="仿宋_GB2312"/>
              </w:rPr>
              <w:t>供应商需提供培训计划方案，方案包括但不限于：①培训内容；②培训方式、培训目标。每提供一项内容得1.5分；满分3分。不提供不得分。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其他说明.docx</w:t>
            </w:r>
          </w:p>
        </w:tc>
      </w:tr>
      <w:tr>
        <w:tc>
          <w:tcPr>
            <w:tcW w:type="dxa" w:w="831"/>
            <w:vMerge/>
          </w:tcPr>
          <w:p/>
        </w:tc>
        <w:tc>
          <w:tcPr>
            <w:tcW w:type="dxa" w:w="1661"/>
          </w:tcPr>
          <w:p>
            <w:pPr>
              <w:pStyle w:val="null3"/>
            </w:pPr>
            <w:r>
              <w:rPr>
                <w:rFonts w:ascii="仿宋_GB2312" w:hAnsi="仿宋_GB2312" w:cs="仿宋_GB2312" w:eastAsia="仿宋_GB2312"/>
              </w:rPr>
              <w:t>反馈</w:t>
            </w:r>
          </w:p>
        </w:tc>
        <w:tc>
          <w:tcPr>
            <w:tcW w:type="dxa" w:w="2492"/>
          </w:tcPr>
          <w:p>
            <w:pPr>
              <w:pStyle w:val="null3"/>
            </w:pPr>
            <w:r>
              <w:rPr>
                <w:rFonts w:ascii="仿宋_GB2312" w:hAnsi="仿宋_GB2312" w:cs="仿宋_GB2312" w:eastAsia="仿宋_GB2312"/>
              </w:rPr>
              <w:t>供应商针对本项目提供①定期回访安排；②意⻅反馈机制，每提供一项内容得2分，满分4分。不提供不得分。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其他说明.docx</w:t>
            </w:r>
          </w:p>
        </w:tc>
      </w:tr>
      <w:tr>
        <w:tc>
          <w:tcPr>
            <w:tcW w:type="dxa" w:w="831"/>
            <w:vMerge/>
          </w:tcPr>
          <w:p/>
        </w:tc>
        <w:tc>
          <w:tcPr>
            <w:tcW w:type="dxa" w:w="1661"/>
          </w:tcPr>
          <w:p>
            <w:pPr>
              <w:pStyle w:val="null3"/>
            </w:pPr>
            <w:r>
              <w:rPr>
                <w:rFonts w:ascii="仿宋_GB2312" w:hAnsi="仿宋_GB2312" w:cs="仿宋_GB2312" w:eastAsia="仿宋_GB2312"/>
              </w:rPr>
              <w:t>廉洁保密方案</w:t>
            </w:r>
          </w:p>
        </w:tc>
        <w:tc>
          <w:tcPr>
            <w:tcW w:type="dxa" w:w="2492"/>
          </w:tcPr>
          <w:p>
            <w:pPr>
              <w:pStyle w:val="null3"/>
            </w:pPr>
            <w:r>
              <w:rPr>
                <w:rFonts w:ascii="仿宋_GB2312" w:hAnsi="仿宋_GB2312" w:cs="仿宋_GB2312" w:eastAsia="仿宋_GB2312"/>
              </w:rPr>
              <w:t>针对本项目提供：①保密组织机构及责任制健全；②保密宣传教育工作完备；③职业道德准则；④廉洁从业措施；每提供一项内容得2分，满分8分。不提供不得分。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其他说明.docx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针对本次服务过程中可能遇到的突发事件及分析，并提供针对突发事件的响应时间、对策，每提供一项合理详细有可行性的应急方案得2分，满分10分。不提供不得分。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其他说明.docx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对本项目服务工作中的常见问题进行梳理，具有良好的解决方案并及时向采购人提出合理化建议，每提供一条有效的建议得1分，满分5分。不提供不得分。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其他说明.docx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供应商2023年01月01日至今类似项目业绩，每提供1份得2分，最高得10分； 业绩证明（以合同（协议）或中标（成交）通知书为准，须在磋商响应文件中附合同（协议）或中标（成交）通知书的扫描件加盖单位公章）弄虚作假者，取消其成交资格。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对符合政策性扣减的供应商的有效磋商价格进行政策性扣减，并依据扣减后的价格（评审价格）进行价格评审。2.满足磋商文件实质性要求且最终报价最低的供应商的价格为磋商基准价，其价格分10分。3.磋商报价得分=（磋商基准价/最终磋商报价）×10的公式计算得分。4.磋商报价不完整的，不进入磋商基准价的计算，本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详见附件：磋商分项报价表.docx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详见附件：磋商方案.docx</w:t>
      </w:r>
    </w:p>
    <w:p>
      <w:pPr>
        <w:pStyle w:val="null3"/>
        <w:ind w:firstLine="960"/>
      </w:pPr>
      <w:r>
        <w:rPr>
          <w:rFonts w:ascii="仿宋_GB2312" w:hAnsi="仿宋_GB2312" w:cs="仿宋_GB2312" w:eastAsia="仿宋_GB2312"/>
        </w:rPr>
        <w:t>详见附件：供应商参加政府采购活动承诺书.docx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详见附件：其他说明.docx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详见附件：西安市公安局碑林分局碑林分局档案数字化项目采购合同.docx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