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版本号：YC26001017(CGR)20260625001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警察业务用房维修工程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YC26001017(CGR)</w:t>
      </w:r>
      <w:r>
        <w:br/>
      </w:r>
      <w:r>
        <w:br/>
      </w:r>
      <w:r>
        <w:br/>
      </w:r>
    </w:p>
    <w:p>
      <w:pPr>
        <w:pStyle w:val="null3"/>
        <w:jc w:val="center"/>
        <w:outlineLvl w:val="2"/>
      </w:pPr>
      <w:r>
        <w:rPr>
          <w:rFonts w:ascii="仿宋_GB2312" w:hAnsi="仿宋_GB2312" w:cs="仿宋_GB2312" w:eastAsia="仿宋_GB2312"/>
          <w:sz w:val="28"/>
          <w:b/>
        </w:rPr>
        <w:t>陕西省庄里监狱</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陕西省庄里监狱</w:t>
      </w:r>
      <w:r>
        <w:rPr>
          <w:rFonts w:ascii="仿宋_GB2312" w:hAnsi="仿宋_GB2312" w:cs="仿宋_GB2312" w:eastAsia="仿宋_GB2312"/>
        </w:rPr>
        <w:t>委托，拟对</w:t>
      </w:r>
      <w:r>
        <w:rPr>
          <w:rFonts w:ascii="仿宋_GB2312" w:hAnsi="仿宋_GB2312" w:cs="仿宋_GB2312" w:eastAsia="仿宋_GB2312"/>
        </w:rPr>
        <w:t>警察业务用房维修工程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YC26001017(CGR)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警察业务用房维修工程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内容：卫生间、淋浴间维修，室内墙面及天棚涂料、室内新增墙体、门洞封堵、室内走道吊顶、室内部分瓷砖地面、断桥铝合金窗更换、室内套装木门（含门套）、室内卫生间及淋浴间铝合金门、铝合金外门、外墙面真石漆、室内水电暖系统、屋面及雨棚防水维修（4mm SBS卷材防水）及雨水管、业务楼四周散水、室外给排水维修、 拆除及垃圾外运等。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采购包1（警察业务用房维修工程）：属于专门面向中小企业采购。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1、有效的主体资格证明：供应商为具有独立承担民事责任能力的法人、其他组织或自然人。并提供合法有效的营业执照（统一社会信用代码证）或自然人身份证明或其他合法证明文件；</w:t>
      </w:r>
    </w:p>
    <w:p>
      <w:pPr>
        <w:pStyle w:val="null3"/>
      </w:pPr>
      <w:r>
        <w:rPr>
          <w:rFonts w:ascii="仿宋_GB2312" w:hAnsi="仿宋_GB2312" w:cs="仿宋_GB2312" w:eastAsia="仿宋_GB2312"/>
        </w:rPr>
        <w:t>2、法定代表人授权委托书或法定代表人身份证明：被授权人参与磋商的，需提供法定代表人授权委托书及加盖公章的被授权人身份证扫描件；法定代表人直接参与磋商的，需提供法定代表人身份证明及法定代表人身份证扫描件；</w:t>
      </w:r>
    </w:p>
    <w:p>
      <w:pPr>
        <w:pStyle w:val="null3"/>
      </w:pPr>
      <w:r>
        <w:rPr>
          <w:rFonts w:ascii="仿宋_GB2312" w:hAnsi="仿宋_GB2312" w:cs="仿宋_GB2312" w:eastAsia="仿宋_GB2312"/>
        </w:rPr>
        <w:t>3、企业资质：供应商须具备建设行政主管部门核发的建筑工程施工总承包三级及以上（含三级）资质证书，同时具有合格有效的安全生产许可证；</w:t>
      </w:r>
    </w:p>
    <w:p>
      <w:pPr>
        <w:pStyle w:val="null3"/>
      </w:pPr>
      <w:r>
        <w:rPr>
          <w:rFonts w:ascii="仿宋_GB2312" w:hAnsi="仿宋_GB2312" w:cs="仿宋_GB2312" w:eastAsia="仿宋_GB2312"/>
        </w:rPr>
        <w:t>4、拟派项目经理：拟委派的项目经理须具备建筑工程专业二级及以上（含二级）注册建造师资格，具有安全生产考核合格B证，在本单位注册，且未担任其他在建工程项目经理；</w:t>
      </w:r>
    </w:p>
    <w:p>
      <w:pPr>
        <w:pStyle w:val="null3"/>
      </w:pPr>
      <w:r>
        <w:rPr>
          <w:rFonts w:ascii="仿宋_GB2312" w:hAnsi="仿宋_GB2312" w:cs="仿宋_GB2312" w:eastAsia="仿宋_GB2312"/>
        </w:rPr>
        <w:t>5、财务状况报告：供应商须提供2024或2025年度经审计的财务审计报告（依据财政部、国务院国资委、金融监管总局印发的《关于加强审计报告查验工作的通知》（财会〔2023〕15号）文件的要求，财务审计报告须在“注册会计师行业统一监管平台”备案赋码且二维码清晰可查），或提供在提交首次响应文件截止时间前6个月内其基本存款账户出具的资信证明，其他组织或自然人提供银行出具的资信证明或财务报表；</w:t>
      </w:r>
    </w:p>
    <w:p>
      <w:pPr>
        <w:pStyle w:val="null3"/>
      </w:pPr>
      <w:r>
        <w:rPr>
          <w:rFonts w:ascii="仿宋_GB2312" w:hAnsi="仿宋_GB2312" w:cs="仿宋_GB2312" w:eastAsia="仿宋_GB2312"/>
        </w:rPr>
        <w:t>6、税收缴纳证明：供应商提供2025年05月至今任意一个月的纳税证明或完税证明或无欠税证明，依法免税的投标人应提供相关文件证明；</w:t>
      </w:r>
    </w:p>
    <w:p>
      <w:pPr>
        <w:pStyle w:val="null3"/>
      </w:pPr>
      <w:r>
        <w:rPr>
          <w:rFonts w:ascii="仿宋_GB2312" w:hAnsi="仿宋_GB2312" w:cs="仿宋_GB2312" w:eastAsia="仿宋_GB2312"/>
        </w:rPr>
        <w:t>7、社会保障资金缴纳证明：供应商提供2025年05月至今已缴存的至少一个月的社会保障资金缴存单据或社保机构开具的社会保险参保缴费情况证明，依法不需要缴纳社会保障资金的单位应提供相关证明材料；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8、书面声明：供应商提供参加本次政府采购活动前三年内在经营活动中没有重大违法记录的书面声明；</w:t>
      </w:r>
    </w:p>
    <w:p>
      <w:pPr>
        <w:pStyle w:val="null3"/>
      </w:pPr>
      <w:r>
        <w:rPr>
          <w:rFonts w:ascii="仿宋_GB2312" w:hAnsi="仿宋_GB2312" w:cs="仿宋_GB2312" w:eastAsia="仿宋_GB2312"/>
        </w:rPr>
        <w:t>9、信用信息：供应商不得为“信用中国”网站（www.creditchina.gov.cn）列入“失信被执行人”（页面跳转至“中国执行信息公开网”（https://zxgk.court.gov.cn/shixin/））、重大税收违法失信主体的供应商；不处于中国政府采购网（https://www.ccgp.gov.cn/index.shtml）“政府采购严重违法失信行为信息记录”中的禁止参加政府采购活动期间；</w:t>
      </w:r>
    </w:p>
    <w:p>
      <w:pPr>
        <w:pStyle w:val="null3"/>
      </w:pPr>
      <w:r>
        <w:rPr>
          <w:rFonts w:ascii="仿宋_GB2312" w:hAnsi="仿宋_GB2312" w:cs="仿宋_GB2312" w:eastAsia="仿宋_GB2312"/>
        </w:rPr>
        <w:t>10、供应商设备和专业技术能力：供应商具有履行合同所必需的设备和专业技术能力；</w:t>
      </w:r>
    </w:p>
    <w:p>
      <w:pPr>
        <w:pStyle w:val="null3"/>
      </w:pPr>
      <w:r>
        <w:rPr>
          <w:rFonts w:ascii="仿宋_GB2312" w:hAnsi="仿宋_GB2312" w:cs="仿宋_GB2312" w:eastAsia="仿宋_GB2312"/>
        </w:rPr>
        <w:t>11、企业关联关系的声明函：单位负责人为同一人或者存在直接控股、管理关系的不同供应商，不得同时参加本项目磋商（提供声明函）；</w:t>
      </w:r>
    </w:p>
    <w:p>
      <w:pPr>
        <w:pStyle w:val="null3"/>
      </w:pPr>
      <w:r>
        <w:rPr>
          <w:rFonts w:ascii="仿宋_GB2312" w:hAnsi="仿宋_GB2312" w:cs="仿宋_GB2312" w:eastAsia="仿宋_GB2312"/>
        </w:rPr>
        <w:t>12、中小企业：本项目专门面向中小企业采购；</w:t>
      </w:r>
    </w:p>
    <w:p>
      <w:pPr>
        <w:pStyle w:val="null3"/>
      </w:pPr>
      <w:r>
        <w:rPr>
          <w:rFonts w:ascii="仿宋_GB2312" w:hAnsi="仿宋_GB2312" w:cs="仿宋_GB2312" w:eastAsia="仿宋_GB2312"/>
        </w:rPr>
        <w:t>13、联合体：本项目不允许联合体参与磋商。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陕西省庄里监狱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陕西省渭南市富平县庄里镇建材路3号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陕西省庄里监狱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0913-8621082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董海龙、赵醒文、赵利科、崔芮菁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029-68683878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布的《招标代理服务收费管理暂行办法》（计价格[2002]1980号）中的收费标准下浮20%计取。工程造价咨询费用依据《陕西省物价局住房和城乡建设厅关于我省工程造价咨询服务收费管理有关问题的通知》（陕价行发[2014]88号）中规定下浮20%计取。供应商在领取成交通知书前一次性向代理机构支付以上费用。</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陕西省庄里监狱</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陕西省庄里监狱</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陕西省庄里监狱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工程质量符合国家GB50300-2013《建筑工程质量统一验收标准》合格等级标准。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联系人：董海龙、崔芮菁</w:t>
      </w:r>
    </w:p>
    <w:p>
      <w:pPr>
        <w:pStyle w:val="null3"/>
      </w:pPr>
      <w:r>
        <w:rPr>
          <w:rFonts w:ascii="仿宋_GB2312" w:hAnsi="仿宋_GB2312" w:cs="仿宋_GB2312" w:eastAsia="仿宋_GB2312"/>
        </w:rPr>
        <w:t>联系电话：029-68683878</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2,310,000.00</w:t>
      </w:r>
    </w:p>
    <w:p>
      <w:pPr>
        <w:pStyle w:val="null3"/>
      </w:pPr>
      <w:r>
        <w:rPr>
          <w:rFonts w:ascii="仿宋_GB2312" w:hAnsi="仿宋_GB2312" w:cs="仿宋_GB2312" w:eastAsia="仿宋_GB2312"/>
        </w:rPr>
        <w:t>采购包最高限价（元）: 2,174,563.73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一、工程概况</w:t>
            </w:r>
          </w:p>
          <w:p>
            <w:pPr>
              <w:pStyle w:val="null3"/>
              <w:jc w:val="both"/>
            </w:pPr>
            <w:r>
              <w:rPr>
                <w:rFonts w:ascii="仿宋_GB2312" w:hAnsi="仿宋_GB2312" w:cs="仿宋_GB2312" w:eastAsia="仿宋_GB2312"/>
                <w:sz w:val="21"/>
              </w:rPr>
              <w:t>项目主要内容：卫生间、淋浴间维修，室内墙面及天棚涂料、室内新增墙体、门洞封堵、室内走道吊顶、室内部分瓷砖地面、断桥铝合金窗更换、室内套装木门（含门套）、室内卫生间及淋浴间铝合金门、铝合金外门、外墙面真石漆、室内水电暖系统、屋面及雨棚防水维修（</w:t>
            </w:r>
            <w:r>
              <w:rPr>
                <w:rFonts w:ascii="仿宋_GB2312" w:hAnsi="仿宋_GB2312" w:cs="仿宋_GB2312" w:eastAsia="仿宋_GB2312"/>
                <w:sz w:val="21"/>
              </w:rPr>
              <w:t>4mm SBS</w:t>
            </w:r>
            <w:r>
              <w:rPr>
                <w:rFonts w:ascii="仿宋_GB2312" w:hAnsi="仿宋_GB2312" w:cs="仿宋_GB2312" w:eastAsia="仿宋_GB2312"/>
                <w:sz w:val="21"/>
              </w:rPr>
              <w:t>卷材防水）及雨水管、业务楼四周散水、室外给排水维修、拆除及垃圾外运等。</w:t>
            </w:r>
          </w:p>
          <w:p>
            <w:pPr>
              <w:pStyle w:val="null3"/>
              <w:jc w:val="both"/>
            </w:pPr>
            <w:r>
              <w:rPr>
                <w:rFonts w:ascii="仿宋_GB2312" w:hAnsi="仿宋_GB2312" w:cs="仿宋_GB2312" w:eastAsia="仿宋_GB2312"/>
                <w:sz w:val="21"/>
              </w:rPr>
              <w:t>二、工程量清单（见附件）</w:t>
            </w:r>
          </w:p>
          <w:p>
            <w:pPr>
              <w:pStyle w:val="null3"/>
              <w:jc w:val="both"/>
            </w:pPr>
            <w:r>
              <w:rPr>
                <w:rFonts w:ascii="仿宋_GB2312" w:hAnsi="仿宋_GB2312" w:cs="仿宋_GB2312" w:eastAsia="仿宋_GB2312"/>
                <w:sz w:val="21"/>
              </w:rPr>
              <w:t>三、关于核心产品：不适用。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华人民共和国建筑法》、《建设工程质量管理条例》、《建筑工程施工质量验收统一标准》和《房屋建筑工程质量保修办法》(建设部令第80号)以及相关规定。供应商应严格按照国家颁发的施工技术验收规范进行施工，质量应达到国家质量检验评定的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3.3.1本项目计划工期：100日历天。 3.3.2合同履约地点：陕西省庄里监狱。 3.3.3付款方式：合同签订后支付30%预付款，按照实际工程量价款的85%进行结算支付，工程款（含工程预付款和进度款）累计支付至合同款项的80%时暂停付款，待竣工验收合格后一周内支付至合同总价的85%（含工程预付款和进度款），工程结算审计后60日历天内支付至审计结算总价的97%，剩余3%工程款到质量保修期后30天内无质量问题一次付清，质量保质期为壹年。 3.3.4质量保修期：执行《房屋建筑工程质量保修办法》(建设部令第80号)及本项目承发包合同，工程的质量保修期以采购人和供应商签订的工程质量保修责任书为准。 3.3.5工程量清单编制软件为广联达云计GCCP7.0(7.5000.23.3)版本 3.3.6预算中列入暂列金费用：招标及造价咨询费25000元；审计费12000元；预备费30000元。以上价格均为不可竞争费，供应商报价时须按以上价格各自单独计入总报价且不得调整。否则投标无效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供应商须提供2024或2025年度经审计的财务审计报告（依据财政部、国务院国资委、金融监管总局印发的《关于加强审计报告查验工作的通知》（财会〔2023〕15号）文件的要求，财务审计报告须在“注册会计师行业统一监管平台”备案赋码且二维码清晰可查），或提供在提交首次响应文件截止时间前6个月内其基本存款账户出具的资信证明，其他组织或自然人提供银行出具的资信证明或财务报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供商应提交的相关资格证明材料（警察业务用房维修工程）.docx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供应商为具有独立承担民事责任能力的法人、其他组织或自然人。并提供合法有效的营业执照（统一社会信用代码证）或自然人身份证明或其他合法证明文件；</w:t>
            </w:r>
          </w:p>
        </w:tc>
        <w:tc>
          <w:tcPr>
            <w:tcW w:type="dxa" w:w="1661"/>
          </w:tcPr>
          <w:p>
            <w:pPr>
              <w:pStyle w:val="null3"/>
            </w:pPr>
            <w:r>
              <w:rPr>
                <w:rFonts w:ascii="仿宋_GB2312" w:hAnsi="仿宋_GB2312" w:cs="仿宋_GB2312" w:eastAsia="仿宋_GB2312"/>
              </w:rPr>
              <w:t>供商应提交的相关资格证明材料（警察业务用房维修工程）.docx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法定代表人授权委托书或法定代表人身份证明</w:t>
            </w:r>
          </w:p>
        </w:tc>
        <w:tc>
          <w:tcPr>
            <w:tcW w:type="dxa" w:w="3322"/>
          </w:tcPr>
          <w:p>
            <w:pPr>
              <w:pStyle w:val="null3"/>
            </w:pPr>
            <w:r>
              <w:rPr>
                <w:rFonts w:ascii="仿宋_GB2312" w:hAnsi="仿宋_GB2312" w:cs="仿宋_GB2312" w:eastAsia="仿宋_GB2312"/>
              </w:rPr>
              <w:t>被授权人参与磋商的，需提供法定代表人授权委托书及加盖公章的被授权人身份证扫描件；法定代表人直接参与磋商的，需提供法定代表人身份证明及法定代表人身份证扫描件；</w:t>
            </w:r>
          </w:p>
        </w:tc>
        <w:tc>
          <w:tcPr>
            <w:tcW w:type="dxa" w:w="1661"/>
          </w:tcPr>
          <w:p>
            <w:pPr>
              <w:pStyle w:val="null3"/>
            </w:pPr>
            <w:r>
              <w:rPr>
                <w:rFonts w:ascii="仿宋_GB2312" w:hAnsi="仿宋_GB2312" w:cs="仿宋_GB2312" w:eastAsia="仿宋_GB2312"/>
              </w:rPr>
              <w:t>供商应提交的相关资格证明材料（警察业务用房维修工程）.docx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供应商须具备建设行政主管部门核发的建筑工程施工总承包三级及以上（含三级）资质证书，同时具有合格有效的安全生产许可证；</w:t>
            </w:r>
          </w:p>
        </w:tc>
        <w:tc>
          <w:tcPr>
            <w:tcW w:type="dxa" w:w="1661"/>
          </w:tcPr>
          <w:p>
            <w:pPr>
              <w:pStyle w:val="null3"/>
            </w:pPr>
            <w:r>
              <w:rPr>
                <w:rFonts w:ascii="仿宋_GB2312" w:hAnsi="仿宋_GB2312" w:cs="仿宋_GB2312" w:eastAsia="仿宋_GB2312"/>
              </w:rPr>
              <w:t>供商应提交的相关资格证明材料（警察业务用房维修工程）.docx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拟委派的项目经理须具备建筑工程专业二级及以上（含二级）注册建造师资格，具有安全生产考核合格B证，在本单位注册，且未担任其他在建工程项目经理；</w:t>
            </w:r>
          </w:p>
        </w:tc>
        <w:tc>
          <w:tcPr>
            <w:tcW w:type="dxa" w:w="1661"/>
          </w:tcPr>
          <w:p>
            <w:pPr>
              <w:pStyle w:val="null3"/>
            </w:pPr>
            <w:r>
              <w:rPr>
                <w:rFonts w:ascii="仿宋_GB2312" w:hAnsi="仿宋_GB2312" w:cs="仿宋_GB2312" w:eastAsia="仿宋_GB2312"/>
              </w:rPr>
              <w:t>供商应提交的相关资格证明材料（警察业务用房维修工程）.docx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2024或2025年度经审计的财务审计报告（依据财政部、国务院国资委、金融监管总局印发的《关于加强审计报告查验工作的通知》（财会〔2023〕15号）文件的要求，财务审计报告须在“注册会计师行业统一监管平台”备案赋码且二维码清晰可查），或提供在提交首次响应文件截止时间前6个月内其基本存款账户出具的资信证明，其他组织或自然人提供银行出具的资信证明或财务报表；</w:t>
            </w:r>
          </w:p>
        </w:tc>
        <w:tc>
          <w:tcPr>
            <w:tcW w:type="dxa" w:w="1661"/>
          </w:tcPr>
          <w:p>
            <w:pPr>
              <w:pStyle w:val="null3"/>
            </w:pPr>
            <w:r>
              <w:rPr>
                <w:rFonts w:ascii="仿宋_GB2312" w:hAnsi="仿宋_GB2312" w:cs="仿宋_GB2312" w:eastAsia="仿宋_GB2312"/>
              </w:rPr>
              <w:t>供商应提交的相关资格证明材料（警察业务用房维修工程）.docx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供应商提供2025年05月至今任意一个月的纳税证明或完税证明或无欠税证明，依法免税的投标人应提供相关文件证明；</w:t>
            </w:r>
          </w:p>
        </w:tc>
        <w:tc>
          <w:tcPr>
            <w:tcW w:type="dxa" w:w="1661"/>
          </w:tcPr>
          <w:p>
            <w:pPr>
              <w:pStyle w:val="null3"/>
            </w:pPr>
            <w:r>
              <w:rPr>
                <w:rFonts w:ascii="仿宋_GB2312" w:hAnsi="仿宋_GB2312" w:cs="仿宋_GB2312" w:eastAsia="仿宋_GB2312"/>
              </w:rPr>
              <w:t>供商应提交的相关资格证明材料（警察业务用房维修工程）.docx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供商应提交的相关资格证明材料（警察业务用房维修工程）.docx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供商应提交的相关资格证明材料（警察业务用房维修工程）.docx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s://zxgk.court.gov.cn/shixin/））、重大税收违法失信主体的供应商；不处于中国政府采购网（https://www.ccgp.gov.cn/index.shtml）“政府采购严重违法失信行为信息记录”中的禁止参加政府采购活动期间；</w:t>
            </w:r>
          </w:p>
        </w:tc>
        <w:tc>
          <w:tcPr>
            <w:tcW w:type="dxa" w:w="1661"/>
          </w:tcPr>
          <w:p>
            <w:pPr>
              <w:pStyle w:val="null3"/>
            </w:pPr>
            <w:r>
              <w:rPr>
                <w:rFonts w:ascii="仿宋_GB2312" w:hAnsi="仿宋_GB2312" w:cs="仿宋_GB2312" w:eastAsia="仿宋_GB2312"/>
              </w:rPr>
              <w:t>供商应提交的相关资格证明材料（警察业务用房维修工程）.docx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供应商设备和专业技术能力</w:t>
            </w:r>
          </w:p>
        </w:tc>
        <w:tc>
          <w:tcPr>
            <w:tcW w:type="dxa" w:w="3322"/>
          </w:tcPr>
          <w:p>
            <w:pPr>
              <w:pStyle w:val="null3"/>
            </w:pPr>
            <w:r>
              <w:rPr>
                <w:rFonts w:ascii="仿宋_GB2312" w:hAnsi="仿宋_GB2312" w:cs="仿宋_GB2312" w:eastAsia="仿宋_GB2312"/>
              </w:rPr>
              <w:t>供应商具有履行合同所必需的设备和专业技术能力；</w:t>
            </w:r>
          </w:p>
        </w:tc>
        <w:tc>
          <w:tcPr>
            <w:tcW w:type="dxa" w:w="1661"/>
          </w:tcPr>
          <w:p>
            <w:pPr>
              <w:pStyle w:val="null3"/>
            </w:pPr>
            <w:r>
              <w:rPr>
                <w:rFonts w:ascii="仿宋_GB2312" w:hAnsi="仿宋_GB2312" w:cs="仿宋_GB2312" w:eastAsia="仿宋_GB2312"/>
              </w:rPr>
              <w:t>供商应提交的相关资格证明材料（警察业务用房维修工程）.docx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企业关联关系的声明函</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单位负责人为同一人或者存在直接控股、管理关系的不同供应商，不得同时参加本项目磋商（提供声明函）；</w:t>
            </w:r>
          </w:p>
        </w:tc>
        <w:tc>
          <w:tcPr>
            <w:tcW w:type="dxa" w:w="1661"/>
          </w:tcPr>
          <w:p>
            <w:pPr>
              <w:pStyle w:val="null3"/>
            </w:pPr>
            <w:r>
              <w:rPr>
                <w:rFonts w:ascii="仿宋_GB2312" w:hAnsi="仿宋_GB2312" w:cs="仿宋_GB2312" w:eastAsia="仿宋_GB2312"/>
              </w:rPr>
              <w:t>供商应提交的相关资格证明材料（警察业务用房维修工程）.docx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本项目不允许联合体参与磋商。</w:t>
            </w:r>
          </w:p>
        </w:tc>
        <w:tc>
          <w:tcPr>
            <w:tcW w:type="dxa" w:w="1661"/>
          </w:tcPr>
          <w:p>
            <w:pPr>
              <w:pStyle w:val="null3"/>
            </w:pPr>
            <w:r>
              <w:rPr>
                <w:rFonts w:ascii="仿宋_GB2312" w:hAnsi="仿宋_GB2312" w:cs="仿宋_GB2312" w:eastAsia="仿宋_GB2312"/>
              </w:rPr>
              <w:t>供商应提交的相关资格证明材料（警察业务用房维修工程）.docx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供商应提交的相关资格证明材料（警察业务用房维修工程）.docx 强制优先采购产品承诺函 响应文件封面 项目管理机构组成表 残疾人福利性单位声明函 报价函 标的清单 供应商类似项目业绩一览表 响应函 主要人员简历表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符合磋商文件的要求，且不少于90天</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供商应提交的相关资格证明材料（警察业务用房维修工程）.docx 强制优先采购产品承诺函 响应文件封面 项目管理机构组成表 残疾人福利性单位声明函 报价函 标的清单 供应商类似项目业绩一览表 响应函 主要人员简历表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或最高限价；（4）供应商报价包含：招标及造价、审计费、预备费，且按以上价格单独计入并不得调整；（5）符合《报价函》、《已标价工程量清单》及《标的清单》的填报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以及《合同文本》条款的要求，且未有采购人不能接受的附加条件的。结合磋商文件第3章“磋商项目技术、服务、商务要求”及第8章“拟签订合同文本”的实质性要求且没有负偏离。</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供商应提交的相关资格证明材料（警察业务用房维修工程）.docx 强制优先采购产品承诺函 响应文件封面 项目管理机构组成表 残疾人福利性单位声明函 报价函 标的清单 供应商类似项目业绩一览表 响应函 主要人员简历表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符合磋商文件第七章 响应文件格式的格式要求。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供商应提交的相关资格证明材料（警察业务用房维修工程）.docx 强制优先采购产品承诺函 响应文件封面 项目管理机构组成表 残疾人福利性单位声明函 报价函 标的清单 供应商类似项目业绩一览表 响应函 主要人员简历表 监狱企业的证明文件 采购供应商拒绝政府采购领域商业贿赂承诺书.docx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内容全面详尽、针对性强、切实可行得10分；方案内容较全面、针对性较强、可行性较强得8分；方案内容有缺漏、针对性一般、可行性一般得6分；方案内容有缺漏、针对性较差、可行性较差得4分；方案内容严重缺失、内容宽泛、不符合本项目具体情况得2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确保工程质量的技术组织措施全面、针对性强、切实可行得5分；措施较全面、针对性较强、可行性较强得4分；措施有缺漏、针对性一般、可行性一般得3分；措施有缺漏、针对性较差、可行性较差得2分；措施内容严重缺失、内容宽泛、不符合本项目具体情况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确保安全生产的技术组织措施全面、针对性强、切实可行得5分；措施较全面、针对性较强、可行性较强得4分；措施有缺漏、针对性一般、可行性一般得3分；措施有缺漏、针对性较差、可行性较差得2分；措施内容严重缺失、内容宽泛、不符合本项目具体情况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确保文明施工的技术组织和环境保护措施</w:t>
            </w:r>
          </w:p>
        </w:tc>
        <w:tc>
          <w:tcPr>
            <w:tcW w:type="dxa" w:w="2492"/>
          </w:tcPr>
          <w:p>
            <w:pPr>
              <w:pStyle w:val="null3"/>
            </w:pPr>
            <w:r>
              <w:rPr>
                <w:rFonts w:ascii="仿宋_GB2312" w:hAnsi="仿宋_GB2312" w:cs="仿宋_GB2312" w:eastAsia="仿宋_GB2312"/>
              </w:rPr>
              <w:t>确保文明施工的技术组织措施和环境保护措施全面、针对性强、切实可行得5分；措施较全面、针对性较强、可行性较强得4分；措施有缺漏、针对性一般、可行性一般得3分；措施有缺漏、针对性较差、可行性较差得2分；措施内容严重缺失、内容宽泛、不符合本项目具体情况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全面、针对性强、切实可行得5分；措施较全面、针对性较强、可行性较强得4分；措施有缺漏、针对性一般、可行性一般得3分；措施有缺漏、针对性较差、可行性较差得2分；措施内容严重缺失、内容宽泛、不符合本项目具体情况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项目组织管理人员构成</w:t>
            </w:r>
          </w:p>
        </w:tc>
        <w:tc>
          <w:tcPr>
            <w:tcW w:type="dxa" w:w="2492"/>
          </w:tcPr>
          <w:p>
            <w:pPr>
              <w:pStyle w:val="null3"/>
            </w:pPr>
            <w:r>
              <w:rPr>
                <w:rFonts w:ascii="仿宋_GB2312" w:hAnsi="仿宋_GB2312" w:cs="仿宋_GB2312" w:eastAsia="仿宋_GB2312"/>
              </w:rPr>
              <w:t>项目组织管理人员构成（附人员身份证、资格证等相关证明文件）充足、构成合理，能够完全满足本工程需求得5分；组织管理人员较充足、构成较为合理，基本满足本工程得4分；组织管理人员较少、构成较不合理得3分；组织管理人员稀少、构成不合理，实施有困难的得2分；组织管理人员稀少，不满足本工程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施工机械配备投入计划：主要机械设备配置和材料投入能满足施工需要，根据本项目实际情况材料设备配套齐全、合理，提供机械设备配置清单；材料设备种类齐全，完全满足施工要求，得5分；材料设备种类齐全，基本满足施工要求，得4分；材料设备种类较少，基本满足施工要求但实施有难度，得3分；材料设备种类不齐，实施难度大得2分；材料设备种类不齐，无法满足施工要求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表或施工网络图：安排合理，能保证本工程进度，得5分；安排较合理，不影响本工程进度得4分；安排不够详尽本工程进度基本不受影响，得3分；安排不够详尽，实施有难度，得2分；安排不符合本工程实际需求，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劳动力安排计划表</w:t>
            </w:r>
          </w:p>
        </w:tc>
        <w:tc>
          <w:tcPr>
            <w:tcW w:type="dxa" w:w="2492"/>
          </w:tcPr>
          <w:p>
            <w:pPr>
              <w:pStyle w:val="null3"/>
            </w:pPr>
            <w:r>
              <w:rPr>
                <w:rFonts w:ascii="仿宋_GB2312" w:hAnsi="仿宋_GB2312" w:cs="仿宋_GB2312" w:eastAsia="仿宋_GB2312"/>
              </w:rPr>
              <w:t>劳动力安排计划表：安排合理，满足工程施工要求，得5分；计划安排较详尽，不影响本工程进度得4分；计划安排不够详尽，实施基本不受影响，得3分；安排不够详尽，实施有难度，得2分；安排不符合本工程实际需求，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施工部署及现场总平面布置图</w:t>
            </w:r>
          </w:p>
        </w:tc>
        <w:tc>
          <w:tcPr>
            <w:tcW w:type="dxa" w:w="2492"/>
          </w:tcPr>
          <w:p>
            <w:pPr>
              <w:pStyle w:val="null3"/>
            </w:pPr>
            <w:r>
              <w:rPr>
                <w:rFonts w:ascii="仿宋_GB2312" w:hAnsi="仿宋_GB2312" w:cs="仿宋_GB2312" w:eastAsia="仿宋_GB2312"/>
              </w:rPr>
              <w:t>施工部署及现场总平面布置图：施工部署及现场布置合理、可行得5分；施工部署及现场布置基本满足项目实施需求得4分；施工部署及现场布置一般得3分；施工部署及现场布置较差，实施有难度得2分；施工部署及现场布置差，不符合本工程实际需求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投标人业绩</w:t>
            </w:r>
          </w:p>
        </w:tc>
        <w:tc>
          <w:tcPr>
            <w:tcW w:type="dxa" w:w="2492"/>
          </w:tcPr>
          <w:p>
            <w:pPr>
              <w:pStyle w:val="null3"/>
            </w:pPr>
            <w:r>
              <w:rPr>
                <w:rFonts w:ascii="仿宋_GB2312" w:hAnsi="仿宋_GB2312" w:cs="仿宋_GB2312" w:eastAsia="仿宋_GB2312"/>
              </w:rPr>
              <w:t>投标人提供自2023年4月1日至今类似项目业绩，每提供1项业绩得3分；本项合计最高得9分。 评审依据：附合同或中标（成交）通知书扫描件并加盖投标人公章，时间以合同签订时间或中标（成交）通知书落款时间为准。缺少资料或未按照上述要求提供的，均按照0分计入。</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1、拟派项目经理的职称（3分） 拟派项目经理具备中级及以上工程师技术职称的，得3分；其余情况不得分。 评审依据：评审时以投标人提供的加盖投标人公章的拟派项目经理最高职称证书的扫描件为准，提供多个职称证明材料的，以最高职称材料为准，未提供的不得分。 2、拟派项目经理的业绩（3分） 拟派项目经理具备自2023年4月1日至今类似项目业绩，每提供1项业绩得3分；本项合计最高得3分。 评审依据：附合同或中标（成交）通知书扫描件并加盖投标人公章，时间以合同签订时间或中标（成交）通知书落款时间为准。缺少资料或未按照上述要求提供的，均按照0分计入。 注：企业业绩及项目经理业绩可重复计算。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单位的价格为磋商基准价，其价格分为满分。其他响应单位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详见附件：供商应提交的相关资格证明材料（警察业务用房维修工程）.docx</w:t>
      </w:r>
    </w:p>
    <w:p>
      <w:pPr>
        <w:pStyle w:val="null3"/>
        <w:ind w:firstLine="960"/>
      </w:pPr>
      <w:r>
        <w:rPr>
          <w:rFonts w:ascii="仿宋_GB2312" w:hAnsi="仿宋_GB2312" w:cs="仿宋_GB2312" w:eastAsia="仿宋_GB2312"/>
        </w:rPr>
        <w:t>详见附件：采购供应商拒绝政府采购领域商业贿赂承诺书.docx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