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B7F30B">
      <w:pPr>
        <w:pStyle w:val="13"/>
        <w:jc w:val="center"/>
        <w:outlineLvl w:val="1"/>
        <w:rPr>
          <w:rFonts w:hint="default"/>
        </w:rPr>
      </w:pPr>
      <w:r>
        <w:rPr>
          <w:rFonts w:ascii="仿宋_GB2312" w:hAnsi="仿宋_GB2312" w:eastAsia="仿宋_GB2312" w:cs="仿宋_GB2312"/>
          <w:b/>
          <w:sz w:val="36"/>
        </w:rPr>
        <w:t>拟签订采购合同文本</w:t>
      </w:r>
    </w:p>
    <w:p w14:paraId="7DD04380">
      <w:pPr>
        <w:pStyle w:val="2"/>
        <w:rPr>
          <w:sz w:val="24"/>
          <w:szCs w:val="36"/>
        </w:rPr>
      </w:pPr>
      <w:r>
        <w:rPr>
          <w:rFonts w:hint="eastAsia"/>
          <w:sz w:val="28"/>
          <w:szCs w:val="36"/>
        </w:rPr>
        <w:t>（参考，最终以双方签订的正式合同为准）</w:t>
      </w:r>
    </w:p>
    <w:p w14:paraId="2DD7B7B6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一、合同内容及金额：即中标人的投标内容及其中标总金额，合同总价一次包死，不受市场价变化的影响。</w:t>
      </w:r>
    </w:p>
    <w:p w14:paraId="5A53F105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二、产品技术规格、数量：即交付的产品技术规格、型号、数量与投标文件所指明的，或者与本合同所指明的产品技术规格及型号相一致。</w:t>
      </w:r>
    </w:p>
    <w:p w14:paraId="1F487707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三、知识产权：即中标人应保证采购人在使用中标货物时，不承担任何涉及知识产权法律诉讼的责任。</w:t>
      </w:r>
    </w:p>
    <w:p w14:paraId="413CEB89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 xml:space="preserve">四、交货期：文件规定时间                                 </w:t>
      </w:r>
    </w:p>
    <w:p w14:paraId="497575AA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中标人未征得采购人同意和谅解而单方面延迟交货，将按违约终止合同。</w:t>
      </w:r>
    </w:p>
    <w:p w14:paraId="32011AA2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中标人遇到可能妨碍按时交货和提供服务的情况，应当及时以书面形式通知采购人，说明原由、拖延的期限等；采购人、采购代理机构在收到通知后，尽快进行情况评估并确定是否通过修改合同，酌情延长交货时间或者通过协商加收误期赔偿金。</w:t>
      </w:r>
    </w:p>
    <w:p w14:paraId="6F5D4211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五、交货地点：采购人指定地点。</w:t>
      </w:r>
    </w:p>
    <w:p w14:paraId="7C41E2E9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六、结算方式：详见第三章支付方式</w:t>
      </w:r>
    </w:p>
    <w:p w14:paraId="79B2EF85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七、包装：包装必须适应货物特性和交通运输要求，以及国家有关标准或企业标准或合同要求。中标人应承担于包装、防护措施不妥引起的所有损失的责任和费用。</w:t>
      </w:r>
    </w:p>
    <w:p w14:paraId="0E68F7C5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八、运输：中标人可根据交货期、运输条件自行选择运输方式（另有规定的除外），承担一切运输费用。</w:t>
      </w:r>
    </w:p>
    <w:p w14:paraId="6AF810F7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九、技术保障：中标人应随同货物提供相应的中文技术文件（包括产品合格证、装箱清单、检测报告等资料）。</w:t>
      </w:r>
    </w:p>
    <w:p w14:paraId="63B798CF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十、质量保证</w:t>
      </w:r>
    </w:p>
    <w:p w14:paraId="0FBE5189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1、供方提供的产品及材料必须保证质量可靠，进货渠道正常，配置合理齐全，应全面满足需方的要求，磋商文件未明确要求的内容，供方须按招标产品标准配置或以需方的补充要求为准。所供产品工艺质量应严格按国家最新发布的规范标准执行，如发生质量问题由供方承担全部责任。</w:t>
      </w:r>
    </w:p>
    <w:p w14:paraId="1A78F158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2、供方应保证所有产品的完好无损包括配套包装，如有缺漏、损坏，由供方负责调换、补齐或赔偿。</w:t>
      </w:r>
    </w:p>
    <w:p w14:paraId="0136607B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3、产品使用过程中因产品质量、产品缺陷等造成人身伤亡、财产损失的，由供方负责解决并承担全部责任。</w:t>
      </w:r>
    </w:p>
    <w:p w14:paraId="0E7100C5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十一、采购项目执行内容需要调整时，经采购人同意后，可以对相应的原材料进行调整，并协商确定价格差额计算方法和负担办法。</w:t>
      </w:r>
    </w:p>
    <w:p w14:paraId="6AE78403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十二、产品设计变更</w:t>
      </w:r>
    </w:p>
    <w:p w14:paraId="4B16775C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中标后，生产加工产品的设计、数量需要变更、调整时，应办理相应的变更、调整审批手续，并协商确定设计变更、数量调整后的产品价款计算方法和工期顺延等事宜。</w:t>
      </w:r>
    </w:p>
    <w:p w14:paraId="70AD1B27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十三、检验：在交货前，制造商应当对产品的质量、规格、型号、数量等进行准确而全面的检验，出具合格证并封装；货物送达指定地点后，中标人、采购人须在约定的时间和地点共同开箱检验。</w:t>
      </w:r>
    </w:p>
    <w:p w14:paraId="7C4C5E1F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十四、验收：通过检验的货物方可交货，达到使用条件时由采购人负责组织验收或者邀请有关专家、质检机构、采购代理机构共同进行验收；验收合格须交接项目实施的全部资料，并填写政府采购项目验收报告单。验收须以合同、招投标文件、澄清、及国家相应的标准、规范等为依据。</w:t>
      </w:r>
    </w:p>
    <w:p w14:paraId="16EFA8FD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十五、合同争议的解决：合同执行中发生争议的，当事人双方应协商解决，协商达不成一致时，可向人民法院提请诉讼。</w:t>
      </w:r>
    </w:p>
    <w:p w14:paraId="7F21CA09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十六、在发生不可抗力情况下的应对措施和解决办法。</w:t>
      </w:r>
    </w:p>
    <w:p w14:paraId="1C38651C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十七、合同一经签订，不得擅自变更、中止或者终止合同。对确需变更、调整或者中止、终止合同的，应按规定履行相应的手续。</w:t>
      </w:r>
    </w:p>
    <w:p w14:paraId="638E2C83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十八、违约责任：依据《中华人民共和国民法典》、《中华人民共和国政府采购法》的相关条款和本合同约定执行。未按合同要求提供货物、服务或货物、服务质量不能满足合同要求，采购人有权依据《中华人民共和国民法典》有关条款及合同约定终止合同，并要求投标人承担违约责任。中标人未按合同约定的交货日期交货的，每逾期一日，向采购人支付逾期交付货物价款的0.5%的违约金，但不超过合同总金额的10%。中标人支付逾期交货违约金并不免除其交货的责任。如中标人在政府采购合同规定的交货日期后10天内仍未能交货，则视为中标人不能交货，采购人有权解除政府采购合同，中标人除退还已收取的货款外，还应向采购人偿付政府采购合同总金额10%的违约金。如因该产品本身的质量原因而在使用过程中造成的任何事故纠纷，由中标人全额负责赔偿。</w:t>
      </w:r>
    </w:p>
    <w:p w14:paraId="33126FC5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十九、乙方不得进行债权转移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</w:rPr>
        <w:t>。</w:t>
      </w:r>
    </w:p>
    <w:p w14:paraId="7366E75F">
      <w:pPr>
        <w:tabs>
          <w:tab w:val="left" w:pos="980"/>
        </w:tabs>
        <w:spacing w:line="500" w:lineRule="exact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</w:rPr>
        <w:t>二十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、本合同一式拾份，甲方执陆份，乙方、采购代理机构各执贰份。签字盖章后生效，合同执行完毕自动失效。（合同的服务承诺则长期有效）。</w:t>
      </w:r>
    </w:p>
    <w:p w14:paraId="17A1EA54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二十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</w:rPr>
        <w:t>一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、其它（在合同中具体明确）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0"/>
        <w:gridCol w:w="4441"/>
      </w:tblGrid>
      <w:tr w14:paraId="0BD99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5D9C0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甲  方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5EAC3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乙  方</w:t>
            </w:r>
          </w:p>
        </w:tc>
      </w:tr>
      <w:tr w14:paraId="1005F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5E0E0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（盖章）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B138D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成交供应商全称</w:t>
            </w:r>
          </w:p>
          <w:p w14:paraId="48659442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（盖章）</w:t>
            </w:r>
          </w:p>
        </w:tc>
      </w:tr>
      <w:tr w14:paraId="69E27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3F920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地址：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FB1DD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地址：</w:t>
            </w:r>
          </w:p>
        </w:tc>
      </w:tr>
      <w:tr w14:paraId="71F65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17B34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邮编：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392CB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邮编：</w:t>
            </w:r>
          </w:p>
        </w:tc>
      </w:tr>
      <w:tr w14:paraId="2FE68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0F2451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全权代表：（签字）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AA73E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法定代表人：</w:t>
            </w:r>
          </w:p>
        </w:tc>
      </w:tr>
      <w:tr w14:paraId="60B52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0A43F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8B7A1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被授权代表：（签字）</w:t>
            </w:r>
          </w:p>
        </w:tc>
      </w:tr>
      <w:tr w14:paraId="46F49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4ED89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电话：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8D690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电话：</w:t>
            </w:r>
          </w:p>
        </w:tc>
      </w:tr>
      <w:tr w14:paraId="11A22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86AB5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传真：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7A6B9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传真：</w:t>
            </w:r>
          </w:p>
        </w:tc>
      </w:tr>
      <w:tr w14:paraId="6A93D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4A61E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75474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开户银行：</w:t>
            </w:r>
          </w:p>
        </w:tc>
      </w:tr>
      <w:tr w14:paraId="6A289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7604C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6FE36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账号:</w:t>
            </w:r>
          </w:p>
        </w:tc>
      </w:tr>
      <w:tr w14:paraId="5E87B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10718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日期：  年   月   日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7B0DF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日期：  年   月   日</w:t>
            </w:r>
          </w:p>
        </w:tc>
      </w:tr>
    </w:tbl>
    <w:p w14:paraId="5279842C">
      <w:pPr>
        <w:pStyle w:val="13"/>
        <w:rPr>
          <w:rFonts w:hint="default" w:ascii="仿宋_GB2312" w:hAnsi="仿宋_GB2312" w:eastAsia="仿宋_GB2312" w:cs="仿宋_GB2312"/>
        </w:rPr>
      </w:pPr>
    </w:p>
    <w:p w14:paraId="11C80AD1">
      <w:pPr>
        <w:pStyle w:val="13"/>
        <w:rPr>
          <w:rFonts w:hint="default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</w:p>
    <w:p w14:paraId="1287F7A2"/>
    <w:p w14:paraId="3A83F271">
      <w:pPr>
        <w:pStyle w:val="13"/>
        <w:rPr>
          <w:rFonts w:hint="default"/>
        </w:rPr>
      </w:pPr>
    </w:p>
    <w:p w14:paraId="0A6764F1">
      <w:pPr>
        <w:pStyle w:val="13"/>
        <w:rPr>
          <w:rFonts w:hint="default"/>
        </w:rPr>
      </w:pPr>
    </w:p>
    <w:p w14:paraId="549830CC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2DBD23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0855E8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- 3 -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90855E8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- 3 -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C6716C">
    <w:pPr>
      <w:pStyle w:val="7"/>
      <w:pBdr>
        <w:bottom w:val="single" w:color="auto" w:sz="6" w:space="2"/>
      </w:pBdr>
      <w:jc w:val="left"/>
      <w:rPr>
        <w:rFonts w:hint="eastAsia"/>
        <w:color w:val="FF0000"/>
      </w:rPr>
    </w:pPr>
    <w:r>
      <w:rPr>
        <w:rFonts w:hint="eastAsia"/>
        <w:color w:val="FF0000"/>
      </w:rPr>
      <w:t xml:space="preserve">  </w:t>
    </w:r>
    <w:r>
      <w:rPr>
        <w:color w:val="FF0000"/>
      </w:rPr>
      <w:t xml:space="preserve"> </w:t>
    </w:r>
    <w:r>
      <w:rPr>
        <w:rFonts w:hint="eastAsia"/>
        <w:color w:val="FF0000"/>
      </w:rPr>
      <w:t xml:space="preserve">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B044A14"/>
    <w:rsid w:val="1EC56EFA"/>
    <w:rsid w:val="46240560"/>
    <w:rsid w:val="46A32A9E"/>
    <w:rsid w:val="47C2344D"/>
    <w:rsid w:val="519B5A52"/>
    <w:rsid w:val="636869CC"/>
    <w:rsid w:val="6C15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1"/>
    <w:unhideWhenUsed/>
    <w:qFormat/>
    <w:uiPriority w:val="99"/>
    <w:pPr>
      <w:jc w:val="left"/>
    </w:pPr>
    <w:rPr>
      <w:rFonts w:ascii="Arial" w:hAnsi="Arial" w:eastAsia="黑体"/>
      <w:b/>
      <w:sz w:val="32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9">
    <w:name w:val="Body Text First Indent"/>
    <w:basedOn w:val="4"/>
    <w:next w:val="1"/>
    <w:qFormat/>
    <w:uiPriority w:val="99"/>
    <w:pPr>
      <w:spacing w:beforeLines="50" w:afterLines="50" w:line="360" w:lineRule="auto"/>
      <w:ind w:firstLine="200" w:firstLineChars="200"/>
    </w:pPr>
    <w:rPr>
      <w:color w:val="auto"/>
      <w:kern w:val="0"/>
      <w:sz w:val="30"/>
      <w:szCs w:val="20"/>
    </w:rPr>
  </w:style>
  <w:style w:type="table" w:styleId="11">
    <w:name w:val="Table Grid"/>
    <w:basedOn w:val="10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5">
    <w:name w:val="列出段落2"/>
    <w:basedOn w:val="1"/>
    <w:qFormat/>
    <w:uiPriority w:val="0"/>
    <w:pPr>
      <w:spacing w:line="240" w:lineRule="auto"/>
      <w:ind w:firstLine="420" w:firstLineChars="200"/>
    </w:p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table" w:customStyle="1" w:styleId="17">
    <w:name w:val="Table Normal"/>
    <w:semiHidden/>
    <w:unhideWhenUsed/>
    <w:qFormat/>
    <w:uiPriority w:val="0"/>
    <w:rPr>
      <w:rFonts w:ascii="Arial" w:hAnsi="Arial" w:cs="Arial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6535</Words>
  <Characters>6820</Characters>
  <Lines>0</Lines>
  <Paragraphs>0</Paragraphs>
  <TotalTime>0</TotalTime>
  <ScaleCrop>false</ScaleCrop>
  <LinksUpToDate>false</LinksUpToDate>
  <CharactersWithSpaces>7057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2024-09-10T03:01:00Z</dcterms:created>
  <dc:creator>Administrator</dc:creator>
  <cp:lastModifiedBy>国创招标</cp:lastModifiedBy>
  <dcterms:modified xsi:type="dcterms:W3CDTF">2026-07-31T08:24:30Z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25B0ED1896A1426882AFAC9C21B5A880_12</vt:lpwstr>
  </property>
  <property fmtid="{D5CDD505-2E9C-101B-9397-08002B2CF9AE}" pid="4" name="KSOTemplateDocerSaveRecord">
    <vt:lpwstr>eyJoZGlkIjoiNzFmZTUzNTgxYzEzYTRhMWM4ODc2MTE5ZjVmNzIzNDEiLCJ1c2VySWQiOiIxMTQ2NDU0OTA0In0=</vt:lpwstr>
  </property>
</Properties>
</file>