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57F89">
      <w:pPr>
        <w:pStyle w:val="7"/>
        <w:spacing w:line="560" w:lineRule="exact"/>
        <w:ind w:firstLine="643" w:firstLineChars="200"/>
        <w:jc w:val="center"/>
        <w:rPr>
          <w:rFonts w:hint="eastAsia" w:hAnsi="宋体"/>
          <w:b/>
          <w:bCs/>
          <w:sz w:val="30"/>
          <w:szCs w:val="30"/>
        </w:rPr>
      </w:pPr>
      <w:r>
        <w:rPr>
          <w:rStyle w:val="19"/>
          <w:rFonts w:hint="eastAsia"/>
        </w:rPr>
        <w:t>商务及合同主要条款</w:t>
      </w:r>
    </w:p>
    <w:p w14:paraId="7D77FF77">
      <w:pPr>
        <w:jc w:val="center"/>
        <w:rPr>
          <w:rFonts w:hint="eastAsia" w:ascii="宋体" w:hAnsi="宋体"/>
          <w:b/>
          <w:bCs/>
        </w:rPr>
      </w:pPr>
      <w:r>
        <w:rPr>
          <w:rStyle w:val="19"/>
          <w:rFonts w:hint="eastAsia"/>
        </w:rPr>
        <w:t>（本合同仅供参考，最终以双方签订合同为准）</w:t>
      </w:r>
    </w:p>
    <w:p w14:paraId="33B56F85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一、合同内容及金额：即成交供应商的响应内容及其成交总金额。</w:t>
      </w:r>
    </w:p>
    <w:p w14:paraId="7CB72659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二、知识产权：即成交供应商应保证采购人在使用成交服务时，不承担任何涉及知识产权法律诉讼的责任。</w:t>
      </w:r>
    </w:p>
    <w:p w14:paraId="0D6E24D5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三、服务期：</w:t>
      </w:r>
      <w:r>
        <w:rPr>
          <w:rFonts w:hint="eastAsia" w:ascii="宋体" w:hAnsi="宋体"/>
          <w:color w:val="000000"/>
          <w:kern w:val="0"/>
          <w:sz w:val="24"/>
          <w:shd w:val="clear" w:color="auto" w:fill="FFFFFF"/>
        </w:rPr>
        <w:t>文件</w:t>
      </w:r>
      <w:r>
        <w:rPr>
          <w:rFonts w:ascii="宋体" w:hAnsi="宋体"/>
          <w:color w:val="000000"/>
          <w:kern w:val="0"/>
          <w:sz w:val="24"/>
          <w:shd w:val="clear" w:color="auto" w:fill="FFFFFF"/>
        </w:rPr>
        <w:t>要求时间</w:t>
      </w:r>
    </w:p>
    <w:p w14:paraId="5172CC63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成交供应商未征得采购人同意和谅解而单方面延迟服务期，将按违约终止合同。</w:t>
      </w:r>
    </w:p>
    <w:p w14:paraId="5984FAE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成交供应商遇到可能妨碍提供服务的情况，应当及时以书面形式通知采购人，说明原由、拖延的期限等</w:t>
      </w:r>
      <w:r>
        <w:rPr>
          <w:rFonts w:hint="eastAsia" w:ascii="宋体" w:hAnsi="宋体"/>
          <w:sz w:val="24"/>
        </w:rPr>
        <w:t>；采购人、采购代理机构在收到通知后，尽快进行情况评估并确定是否通过修改合同，酌情延长服务期限或者通过协商加收误期赔偿金。</w:t>
      </w:r>
    </w:p>
    <w:p w14:paraId="0725E5B4">
      <w:pPr>
        <w:spacing w:line="360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sz w:val="24"/>
        </w:rPr>
        <w:t>四、项目实施地点：采购</w:t>
      </w:r>
      <w:r>
        <w:rPr>
          <w:rFonts w:hint="eastAsia" w:ascii="宋体" w:hAnsi="宋体"/>
          <w:color w:val="auto"/>
          <w:sz w:val="24"/>
        </w:rPr>
        <w:t>人指定</w:t>
      </w:r>
      <w:r>
        <w:rPr>
          <w:rFonts w:hint="eastAsia" w:ascii="宋体" w:hAnsi="宋体"/>
          <w:color w:val="auto"/>
          <w:sz w:val="24"/>
          <w:highlight w:val="none"/>
        </w:rPr>
        <w:t>地点</w:t>
      </w:r>
    </w:p>
    <w:p w14:paraId="39DFFBBC">
      <w:pPr>
        <w:spacing w:line="360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五、结算方式：</w:t>
      </w:r>
    </w:p>
    <w:p w14:paraId="3E8063B6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1、结算单位：采购人结算。  </w:t>
      </w:r>
    </w:p>
    <w:p w14:paraId="554242AE">
      <w:pPr>
        <w:spacing w:line="360" w:lineRule="auto"/>
        <w:ind w:firstLine="480" w:firstLineChars="200"/>
        <w:rPr>
          <w:rFonts w:hint="eastAsia" w:ascii="宋体" w:hAnsi="宋体" w:cs="宋体" w:eastAsia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2、付款方式：全部电子资源安装、调试、试运行并验收合格后，乙方按国家有关财税规定向甲方开具全额完税销售发票，甲方支付合同货款。达到付款条件起 10个工作日内，支付合同总金额的 100.00%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。</w:t>
      </w:r>
    </w:p>
    <w:p w14:paraId="10515584">
      <w:pPr>
        <w:spacing w:line="360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六、服务质量</w:t>
      </w:r>
    </w:p>
    <w:p w14:paraId="6248DAB0">
      <w:pPr>
        <w:spacing w:line="360" w:lineRule="auto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highlight w:val="none"/>
        </w:rPr>
        <w:t>1、在服务期限内，如果发现任何一项不符，采购人应在最短</w:t>
      </w:r>
      <w:r>
        <w:rPr>
          <w:rFonts w:hint="eastAsia" w:ascii="宋体" w:hAnsi="宋体"/>
          <w:color w:val="auto"/>
          <w:sz w:val="24"/>
        </w:rPr>
        <w:t>时间内，以书面形式向成交供应商提出索赔。同时通告采购代理机构。</w:t>
      </w:r>
    </w:p>
    <w:p w14:paraId="2B0FFAD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color w:val="auto"/>
          <w:sz w:val="24"/>
        </w:rPr>
        <w:t>2、服务期限内，项目所产生的</w:t>
      </w:r>
      <w:r>
        <w:rPr>
          <w:rFonts w:hint="eastAsia" w:ascii="宋体" w:hAnsi="宋体"/>
          <w:sz w:val="24"/>
        </w:rPr>
        <w:t>费用均由成交供应商承担。</w:t>
      </w:r>
    </w:p>
    <w:p w14:paraId="636E2D8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七、采购项目执行内容需要调整时，经采购人同意后，可以对相应的内容进行调整，并协商确定价格差额计算方法和负担办法。</w:t>
      </w:r>
    </w:p>
    <w:p w14:paraId="658AB31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八、合同争议的解决：合同执行中发生争议的，当事人双方应协商解决，协商达不成一致时，可向人民法院提请诉讼。</w:t>
      </w:r>
    </w:p>
    <w:p w14:paraId="2C5BDBC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九、在发生不可抗力情况下的应对措施和解决办法。</w:t>
      </w:r>
    </w:p>
    <w:p w14:paraId="6E4D103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十、合同一经签订，不得擅自变更、中止或者终止合同。对确需变更、调整或者中止、终止合同的，应按规定履行相应的手续。</w:t>
      </w:r>
    </w:p>
    <w:p w14:paraId="6C4063B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十一、违约责任：依据《中华人民共和国民法典》、《中华人民共和国政府采购法》的相关条款和本合同约定，成交供应商未全面履行合同义务或者发生违约，采购人会同采购代理机构有权终止合同，依法向成交供应商进行经济索赔，并报请采购监督管理机关进行相应的行政处罚。采购人违约的，应当赔偿给成交供应商造成的经济损失。</w:t>
      </w:r>
    </w:p>
    <w:p w14:paraId="01CF0108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十二、本合同一式陆份，甲方</w:t>
      </w:r>
      <w:r>
        <w:rPr>
          <w:rFonts w:hint="eastAsia" w:ascii="宋体" w:hAnsi="宋体"/>
          <w:sz w:val="24"/>
          <w:lang w:val="en-US" w:eastAsia="zh-CN"/>
        </w:rPr>
        <w:t>四份</w:t>
      </w:r>
      <w:r>
        <w:rPr>
          <w:rFonts w:hint="eastAsia" w:ascii="宋体" w:hAnsi="宋体"/>
          <w:sz w:val="24"/>
        </w:rPr>
        <w:t>、乙方执贰份。签字盖章后生效，合同执行完毕自动失效（合同的服务承诺则长期有效）。</w:t>
      </w:r>
    </w:p>
    <w:p w14:paraId="21E3893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十三、其它（在合同中具体明确）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14C45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FDA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1CD2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乙  方</w:t>
            </w:r>
          </w:p>
        </w:tc>
      </w:tr>
      <w:tr w14:paraId="30C70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54B5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0684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成交供应商全称</w:t>
            </w:r>
          </w:p>
          <w:p w14:paraId="6B19F9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</w:tr>
      <w:tr w14:paraId="743E3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52B8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F55A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</w:tr>
      <w:tr w14:paraId="559E9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1E20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B981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</w:tr>
      <w:tr w14:paraId="5BD96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480D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171B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</w:t>
            </w:r>
          </w:p>
        </w:tc>
      </w:tr>
      <w:tr w14:paraId="4DF07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6C1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99EC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被授权代表：（签字）</w:t>
            </w:r>
          </w:p>
        </w:tc>
      </w:tr>
      <w:tr w14:paraId="7C844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4FFE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B4F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</w:tr>
      <w:tr w14:paraId="62C62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4527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516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</w:tr>
      <w:tr w14:paraId="64B8B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D194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A1C8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</w:tc>
      </w:tr>
      <w:tr w14:paraId="3B2CA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F89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58DF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账号:</w:t>
            </w:r>
          </w:p>
        </w:tc>
      </w:tr>
      <w:tr w14:paraId="6FF11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587A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2C2D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</w:tr>
    </w:tbl>
    <w:p w14:paraId="0C26DAFF">
      <w:pPr>
        <w:pStyle w:val="20"/>
        <w:rPr>
          <w:rFonts w:hint="eastAsia"/>
          <w:lang w:val="en-US" w:eastAsia="zh-Hans"/>
        </w:rPr>
      </w:pPr>
    </w:p>
    <w:p w14:paraId="203370B0"/>
    <w:p w14:paraId="70895191">
      <w:pPr>
        <w:pStyle w:val="20"/>
        <w:rPr>
          <w:rFonts w:hint="eastAsia"/>
          <w:lang w:val="en-US" w:eastAsia="zh-Hans"/>
        </w:rPr>
      </w:pPr>
    </w:p>
    <w:p w14:paraId="1E85F6D4">
      <w:pPr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5FC33">
    <w:pPr>
      <w:pStyle w:val="10"/>
      <w:pBdr>
        <w:bottom w:val="single" w:color="auto" w:sz="6" w:space="2"/>
      </w:pBdr>
      <w:jc w:val="left"/>
      <w:rPr>
        <w:rFonts w:hint="eastAsia"/>
        <w:color w:val="FF0000"/>
      </w:rPr>
    </w:pPr>
    <w:r>
      <w:rPr>
        <w:rFonts w:hint="eastAsia"/>
      </w:rPr>
      <w:t xml:space="preserve">  </w:t>
    </w:r>
    <w:r>
      <w:rPr>
        <w:rFonts w:hint="eastAsia"/>
        <w:lang w:val="en-US" w:eastAsia="zh-CN"/>
      </w:rPr>
      <w:t xml:space="preserve">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2A9F2F"/>
    <w:multiLevelType w:val="multilevel"/>
    <w:tmpl w:val="A22A9F2F"/>
    <w:lvl w:ilvl="0" w:tentative="0">
      <w:start w:val="1"/>
      <w:numFmt w:val="chineseCounting"/>
      <w:pStyle w:val="3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iM2Q2YTNkZTc1Mjk4ODRhOWVjZTc0YTFmYTE5NzcifQ=="/>
  </w:docVars>
  <w:rsids>
    <w:rsidRoot w:val="00000000"/>
    <w:rsid w:val="043546EB"/>
    <w:rsid w:val="0780761F"/>
    <w:rsid w:val="0C833AFC"/>
    <w:rsid w:val="0D644DF8"/>
    <w:rsid w:val="108C1CB0"/>
    <w:rsid w:val="22102DD2"/>
    <w:rsid w:val="22E8305F"/>
    <w:rsid w:val="24FB07BE"/>
    <w:rsid w:val="31AF5794"/>
    <w:rsid w:val="35883D35"/>
    <w:rsid w:val="3626024B"/>
    <w:rsid w:val="3D510A70"/>
    <w:rsid w:val="48B84D92"/>
    <w:rsid w:val="53F20D8F"/>
    <w:rsid w:val="55B160F8"/>
    <w:rsid w:val="5BA32664"/>
    <w:rsid w:val="64C41181"/>
    <w:rsid w:val="678E4708"/>
    <w:rsid w:val="68A55E8B"/>
    <w:rsid w:val="767B20DE"/>
    <w:rsid w:val="7CDB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tabs>
        <w:tab w:val="left" w:pos="480"/>
      </w:tabs>
      <w:spacing w:line="360" w:lineRule="auto"/>
    </w:pPr>
    <w:rPr>
      <w:rFonts w:ascii="Calibri" w:hAnsi="Calibri" w:eastAsia="仿宋_GB2312" w:cs="Times New Roman"/>
      <w:sz w:val="28"/>
      <w:szCs w:val="24"/>
      <w:lang w:val="en-US" w:eastAsia="en-US" w:bidi="en-US"/>
    </w:rPr>
  </w:style>
  <w:style w:type="paragraph" w:styleId="3">
    <w:name w:val="heading 1"/>
    <w:basedOn w:val="1"/>
    <w:next w:val="1"/>
    <w:link w:val="19"/>
    <w:qFormat/>
    <w:uiPriority w:val="9"/>
    <w:pPr>
      <w:keepNext/>
      <w:numPr>
        <w:ilvl w:val="0"/>
        <w:numId w:val="1"/>
      </w:numPr>
      <w:spacing w:before="240" w:after="60"/>
      <w:ind w:left="432" w:hanging="432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5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6">
    <w:name w:val="Block Text"/>
    <w:basedOn w:val="1"/>
    <w:qFormat/>
    <w:uiPriority w:val="0"/>
    <w:pPr>
      <w:adjustRightInd w:val="0"/>
      <w:ind w:left="420" w:right="33"/>
      <w:textAlignment w:val="baseline"/>
    </w:pPr>
    <w:rPr>
      <w:sz w:val="24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  <w:tab w:val="clear" w:pos="480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  <w:tab w:val="clear" w:pos="480"/>
      </w:tabs>
      <w:snapToGrid w:val="0"/>
      <w:spacing w:line="240" w:lineRule="auto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12">
    <w:name w:val="Title"/>
    <w:basedOn w:val="1"/>
    <w:next w:val="1"/>
    <w:qFormat/>
    <w:uiPriority w:val="10"/>
    <w:pPr>
      <w:spacing w:before="400" w:after="200" w:line="360" w:lineRule="auto"/>
      <w:ind w:firstLine="200" w:firstLineChars="200"/>
      <w:jc w:val="center"/>
      <w:outlineLvl w:val="0"/>
    </w:pPr>
    <w:rPr>
      <w:rFonts w:ascii="Arial" w:hAnsi="Arial" w:eastAsia="宋体" w:cs="Times New Roman"/>
      <w:b/>
      <w:bCs/>
      <w:sz w:val="36"/>
      <w:szCs w:val="32"/>
    </w:rPr>
  </w:style>
  <w:style w:type="paragraph" w:styleId="13">
    <w:name w:val="Body Text First Indent"/>
    <w:basedOn w:val="2"/>
    <w:qFormat/>
    <w:uiPriority w:val="0"/>
    <w:pPr>
      <w:spacing w:beforeLines="50" w:afterLines="50" w:line="360" w:lineRule="auto"/>
      <w:ind w:firstLine="200" w:firstLineChars="200"/>
    </w:pPr>
    <w:rPr>
      <w:rFonts w:asciiTheme="minorHAnsi" w:hAnsiTheme="minorHAnsi" w:eastAsiaTheme="minorEastAsia" w:cstheme="minorBidi"/>
      <w:kern w:val="0"/>
      <w:sz w:val="30"/>
      <w:szCs w:val="20"/>
    </w:rPr>
  </w:style>
  <w:style w:type="paragraph" w:styleId="14">
    <w:name w:val="Body Text First Indent 2"/>
    <w:basedOn w:val="5"/>
    <w:unhideWhenUsed/>
    <w:qFormat/>
    <w:uiPriority w:val="99"/>
    <w:pPr>
      <w:spacing w:after="0" w:line="640" w:lineRule="exact"/>
      <w:ind w:left="0" w:leftChars="0"/>
    </w:pPr>
    <w:rPr>
      <w:rFonts w:ascii="楷体_GB2312" w:eastAsia="楷体_GB2312" w:cs="Times New Roman" w:hAnsiTheme="minorHAnsi"/>
      <w:sz w:val="32"/>
      <w:szCs w:val="24"/>
    </w:rPr>
  </w:style>
  <w:style w:type="table" w:styleId="16">
    <w:name w:val="Table Grid"/>
    <w:basedOn w:val="15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color w:val="000000"/>
      <w:kern w:val="0"/>
      <w:sz w:val="24"/>
      <w:szCs w:val="20"/>
      <w:lang w:val="en-US" w:eastAsia="zh-CN" w:bidi="ar-SA"/>
    </w:rPr>
  </w:style>
  <w:style w:type="character" w:customStyle="1" w:styleId="19">
    <w:name w:val="标题 1 Char"/>
    <w:link w:val="3"/>
    <w:qFormat/>
    <w:uiPriority w:val="0"/>
    <w:rPr>
      <w:rFonts w:ascii="Cambria" w:hAnsi="Cambria" w:eastAsia="宋体"/>
      <w:b/>
      <w:bCs/>
      <w:kern w:val="32"/>
      <w:sz w:val="32"/>
      <w:szCs w:val="32"/>
    </w:rPr>
  </w:style>
  <w:style w:type="paragraph" w:customStyle="1" w:styleId="2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1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22">
    <w:name w:val="列出段落2"/>
    <w:basedOn w:val="1"/>
    <w:qFormat/>
    <w:uiPriority w:val="0"/>
    <w:pPr>
      <w:spacing w:line="240" w:lineRule="auto"/>
      <w:ind w:firstLine="420" w:firstLineChars="200"/>
    </w:pPr>
  </w:style>
  <w:style w:type="paragraph" w:styleId="23">
    <w:name w:val="List Paragraph"/>
    <w:basedOn w:val="1"/>
    <w:next w:val="1"/>
    <w:qFormat/>
    <w:uiPriority w:val="34"/>
    <w:pPr>
      <w:ind w:firstLine="420" w:firstLineChars="200"/>
    </w:pPr>
  </w:style>
  <w:style w:type="paragraph" w:customStyle="1" w:styleId="24">
    <w:name w:val="Heading #2|1"/>
    <w:basedOn w:val="1"/>
    <w:qFormat/>
    <w:uiPriority w:val="0"/>
    <w:pPr>
      <w:widowControl w:val="0"/>
      <w:shd w:val="clear" w:color="auto" w:fill="auto"/>
      <w:spacing w:after="520" w:line="557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25">
    <w:name w:val="Body text|1"/>
    <w:basedOn w:val="1"/>
    <w:qFormat/>
    <w:uiPriority w:val="0"/>
    <w:pPr>
      <w:widowControl w:val="0"/>
      <w:shd w:val="clear" w:color="auto" w:fill="auto"/>
      <w:spacing w:line="394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26">
    <w:name w:val="Body text|5"/>
    <w:basedOn w:val="1"/>
    <w:qFormat/>
    <w:uiPriority w:val="0"/>
    <w:pPr>
      <w:widowControl w:val="0"/>
      <w:shd w:val="clear" w:color="auto" w:fill="auto"/>
      <w:spacing w:line="391" w:lineRule="auto"/>
    </w:pPr>
    <w:rPr>
      <w:sz w:val="30"/>
      <w:szCs w:val="30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1881</Words>
  <Characters>1897</Characters>
  <Lines>0</Lines>
  <Paragraphs>0</Paragraphs>
  <TotalTime>0</TotalTime>
  <ScaleCrop>false</ScaleCrop>
  <LinksUpToDate>false</LinksUpToDate>
  <CharactersWithSpaces>1953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2024-07-16T04:49:00Z</dcterms:created>
  <dc:creator>Administrator</dc:creator>
  <cp:lastModifiedBy>国创招标</cp:lastModifiedBy>
  <dcterms:modified xsi:type="dcterms:W3CDTF">2026-06-23T09:44:57Z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896E69AB191347A886DF4B267DDD3376_12</vt:lpwstr>
  </property>
  <property fmtid="{D5CDD505-2E9C-101B-9397-08002B2CF9AE}" pid="4" name="KSOTemplateDocerSaveRecord">
    <vt:lpwstr>eyJoZGlkIjoiY2JiM2Q2YTNkZTc1Mjk4ODRhOWVjZTc0YTFmYTE5NzciLCJ1c2VySWQiOiIxMTQ2NDU0OTA0In0=</vt:lpwstr>
  </property>
</Properties>
</file>