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版本号：ZXGJ-ZB14-2026-03220260610001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网上信息查询报送服务项目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ZXGJ-ZB14-2026-032</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网上信息查询报送服务项目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ZXGJ-ZB14-2026-032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网上信息查询报送服务项目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应急管理信息监测是现代社会风险治理的重要组成部分，为切实做好涉应急管理、安全生产、防灾减灾救灾网络信息风险监测工作，第一时间掌握网上敏感信息和发展趋势，为领导决策和处置提供有力支撑。按照工作需求，拟通过购买服务的方式开展应急管理信息监测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采购包1（网上信息查询报送服务项目）：属于专门面向中小企业采购。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2、非联合体磋商：本项目不接受联合体磋商。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029-61166235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王超、同秀秀、王涛、白丹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不足捌仟元按捌仟元收取。具体收费金额将在成交公告中公布。请将采购代理服务费汇至下列指定账户：开户名称：中昕国际项目管理有限公司；开户行：中国建设银行股份有限公司西安文景路支行；账号：61050178150000000278。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到期后，成交人向采购人提出验收申请。2.采购人收到险收申请后组织验收，验收时成交人应无条件予以配合并提供验收所需的全部资料，若成交人不配合或者未按合同要求提供服务的，采购人将拒绝验收。3.验收依据:采购文件、响应文件、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联系人：王超、同秀秀</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应急管理信息监测是现代社会风险治理的重要组成部分，为切实做好涉应急管理、安全生产、防灾减灾救灾网络信息风险监测工作，第一时间掌握网上敏感信息和发展趋势，为领导决策和处置提供有力支撑。按照工作需求，拟通过购买服务的方式开展应急管理信息监测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网上信息查询报送服务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标的名称：网上信息查询报送服务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rPr>
              <w:t>一、项目概况</w:t>
            </w:r>
          </w:p>
          <w:p>
            <w:pPr>
              <w:pStyle w:val="null3"/>
              <w:ind w:firstLine="400"/>
              <w:jc w:val="both"/>
            </w:pPr>
            <w:r>
              <w:rPr>
                <w:rFonts w:ascii="仿宋_GB2312" w:hAnsi="仿宋_GB2312" w:cs="仿宋_GB2312" w:eastAsia="仿宋_GB2312"/>
              </w:rPr>
              <w:t>应急管理信息监测是现代社会风险治理的重要组成部分，为切实做好涉应急管理、安全生产、防灾减灾救灾网络信息风险监测工作，第一时间掌握网上敏感信息和发展趋势，为领导决策和处置提供有力支撑。按照工作需求，拟通过购买服务的方式开展应急管理信息监测工作。</w:t>
            </w:r>
          </w:p>
          <w:p>
            <w:pPr>
              <w:pStyle w:val="null3"/>
              <w:ind w:firstLine="400"/>
              <w:jc w:val="both"/>
            </w:pPr>
            <w:r>
              <w:rPr>
                <w:rFonts w:ascii="仿宋_GB2312" w:hAnsi="仿宋_GB2312" w:cs="仿宋_GB2312" w:eastAsia="仿宋_GB2312"/>
              </w:rPr>
              <w:t>二、服务内容</w:t>
            </w:r>
          </w:p>
          <w:tbl>
            <w:tblPr>
              <w:tblBorders>
                <w:top w:val="none" w:color="000000" w:sz="4"/>
                <w:left w:val="none" w:color="000000" w:sz="4"/>
                <w:bottom w:val="none" w:color="000000" w:sz="4"/>
                <w:right w:val="none" w:color="000000" w:sz="4"/>
                <w:insideH w:val="none"/>
                <w:insideV w:val="none"/>
              </w:tblBorders>
            </w:tblPr>
            <w:tblGrid>
              <w:gridCol w:w="279"/>
              <w:gridCol w:w="395"/>
              <w:gridCol w:w="1092"/>
              <w:gridCol w:w="278"/>
              <w:gridCol w:w="405"/>
            </w:tblGrid>
            <w:tr>
              <w:tc>
                <w:tcPr>
                  <w:tcW w:type="dxa" w:w="279"/>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both"/>
                  </w:pPr>
                  <w:r>
                    <w:rPr>
                      <w:rFonts w:ascii="仿宋_GB2312" w:hAnsi="仿宋_GB2312" w:cs="仿宋_GB2312" w:eastAsia="仿宋_GB2312"/>
                      <w:sz w:val="19"/>
                    </w:rPr>
                    <w:t>序号</w:t>
                  </w:r>
                </w:p>
              </w:tc>
              <w:tc>
                <w:tcPr>
                  <w:tcW w:type="dxa" w:w="1487"/>
                  <w:gridSpan w:val="2"/>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服务内容</w:t>
                  </w:r>
                </w:p>
              </w:tc>
              <w:tc>
                <w:tcPr>
                  <w:tcW w:type="dxa" w:w="278"/>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both"/>
                  </w:pPr>
                  <w:r>
                    <w:rPr>
                      <w:rFonts w:ascii="仿宋_GB2312" w:hAnsi="仿宋_GB2312" w:cs="仿宋_GB2312" w:eastAsia="仿宋_GB2312"/>
                      <w:sz w:val="19"/>
                    </w:rPr>
                    <w:t>数量</w:t>
                  </w:r>
                  <w:r>
                    <w:rPr>
                      <w:rFonts w:ascii="仿宋_GB2312" w:hAnsi="仿宋_GB2312" w:cs="仿宋_GB2312" w:eastAsia="仿宋_GB2312"/>
                      <w:sz w:val="19"/>
                    </w:rPr>
                    <w:t>/单位</w:t>
                  </w:r>
                </w:p>
              </w:tc>
              <w:tc>
                <w:tcPr>
                  <w:tcW w:type="dxa" w:w="405"/>
                  <w:tcBorders>
                    <w:top w:val="single" w:color="000000" w:sz="4"/>
                    <w:left w:val="none" w:color="000000" w:sz="4"/>
                    <w:bottom w:val="single" w:color="000000" w:sz="4"/>
                    <w:right w:val="single" w:color="000000" w:sz="4"/>
                  </w:tcBorders>
                  <w:shd w:fill="D7D7D7"/>
                  <w:tcMar>
                    <w:top w:type="dxa" w:w="0"/>
                    <w:left w:type="dxa" w:w="105"/>
                    <w:bottom w:type="dxa" w:w="0"/>
                    <w:right w:type="dxa" w:w="105"/>
                  </w:tcMar>
                  <w:vAlign w:val="top"/>
                </w:tcPr>
                <w:p>
                  <w:pPr>
                    <w:pStyle w:val="null3"/>
                    <w:jc w:val="both"/>
                  </w:pPr>
                  <w:r>
                    <w:rPr>
                      <w:rFonts w:ascii="仿宋_GB2312" w:hAnsi="仿宋_GB2312" w:cs="仿宋_GB2312" w:eastAsia="仿宋_GB2312"/>
                      <w:sz w:val="19"/>
                    </w:rPr>
                    <w:t>备注</w:t>
                  </w:r>
                </w:p>
              </w:tc>
            </w:tr>
            <w:tr>
              <w:tc>
                <w:tcPr>
                  <w:tcW w:type="dxa" w:w="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1</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信息监测系统</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1）系统基础功能：包含总览、全文搜索、系统预警、自定义简报、收藏夹、系统账号、全文搜索、以图搜图等。</w:t>
                  </w:r>
                </w:p>
              </w:tc>
              <w:tc>
                <w:tcPr>
                  <w:tcW w:type="dxa" w:w="2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1套</w:t>
                  </w:r>
                </w:p>
              </w:tc>
              <w:tc>
                <w:tcPr>
                  <w:tcW w:type="dxa" w:w="4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系统</w:t>
                  </w:r>
                  <w:r>
                    <w:rPr>
                      <w:rFonts w:ascii="仿宋_GB2312" w:hAnsi="仿宋_GB2312" w:cs="仿宋_GB2312" w:eastAsia="仿宋_GB2312"/>
                      <w:sz w:val="19"/>
                    </w:rPr>
                    <w:t>7*24实时监测，系统权益包含1个主登录账号，3个子登录账号，6组方案、700个关键字</w:t>
                  </w:r>
                </w:p>
              </w:tc>
            </w:tr>
            <w:tr>
              <w:tc>
                <w:tcPr>
                  <w:tcW w:type="dxa" w:w="279"/>
                  <w:vMerge/>
                  <w:tcBorders>
                    <w:top w:val="none" w:color="000000" w:sz="4"/>
                    <w:left w:val="singl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2）监控方案及个性化设置数据检索</w:t>
                  </w:r>
                </w:p>
              </w:tc>
              <w:tc>
                <w:tcPr>
                  <w:tcW w:type="dxa" w:w="278"/>
                  <w:vMerge/>
                  <w:tcBorders>
                    <w:top w:val="none" w:color="000000" w:sz="4"/>
                    <w:left w:val="none" w:color="000000" w:sz="4"/>
                    <w:bottom w:val="single" w:color="000000" w:sz="4"/>
                    <w:right w:val="single" w:color="000000" w:sz="4"/>
                  </w:tcBorders>
                </w:tcPr>
                <w:p/>
              </w:tc>
              <w:tc>
                <w:tcPr>
                  <w:tcW w:type="dxa" w:w="405"/>
                  <w:vMerge/>
                  <w:tcBorders>
                    <w:top w:val="singl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3）数据采集来源，数据采集速度与微博数据</w:t>
                  </w:r>
                </w:p>
              </w:tc>
              <w:tc>
                <w:tcPr>
                  <w:tcW w:type="dxa" w:w="278"/>
                  <w:vMerge/>
                  <w:tcBorders>
                    <w:top w:val="none" w:color="000000" w:sz="4"/>
                    <w:left w:val="none" w:color="000000" w:sz="4"/>
                    <w:bottom w:val="single" w:color="000000" w:sz="4"/>
                    <w:right w:val="single" w:color="000000" w:sz="4"/>
                  </w:tcBorders>
                </w:tcPr>
                <w:p/>
              </w:tc>
              <w:tc>
                <w:tcPr>
                  <w:tcW w:type="dxa" w:w="405"/>
                  <w:vMerge/>
                  <w:tcBorders>
                    <w:top w:val="singl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4）AI突发事件分析、AI助手、AI报告生成</w:t>
                  </w:r>
                </w:p>
              </w:tc>
              <w:tc>
                <w:tcPr>
                  <w:tcW w:type="dxa" w:w="278"/>
                  <w:vMerge/>
                  <w:tcBorders>
                    <w:top w:val="none" w:color="000000" w:sz="4"/>
                    <w:left w:val="none" w:color="000000" w:sz="4"/>
                    <w:bottom w:val="single" w:color="000000" w:sz="4"/>
                    <w:right w:val="single" w:color="000000" w:sz="4"/>
                  </w:tcBorders>
                </w:tcPr>
                <w:p/>
              </w:tc>
              <w:tc>
                <w:tcPr>
                  <w:tcW w:type="dxa" w:w="405"/>
                  <w:vMerge/>
                  <w:tcBorders>
                    <w:top w:val="singl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5）多形式预警推送：邮件、微信、PC弹窗、APP等多渠道预警下发，方便用户及时接收预警信息</w:t>
                  </w:r>
                </w:p>
              </w:tc>
              <w:tc>
                <w:tcPr>
                  <w:tcW w:type="dxa" w:w="278"/>
                  <w:vMerge/>
                  <w:tcBorders>
                    <w:top w:val="none" w:color="000000" w:sz="4"/>
                    <w:left w:val="none" w:color="000000" w:sz="4"/>
                    <w:bottom w:val="single" w:color="000000" w:sz="4"/>
                    <w:right w:val="single" w:color="000000" w:sz="4"/>
                  </w:tcBorders>
                </w:tcPr>
                <w:p/>
              </w:tc>
              <w:tc>
                <w:tcPr>
                  <w:tcW w:type="dxa" w:w="405"/>
                  <w:vMerge/>
                  <w:tcBorders>
                    <w:top w:val="singl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6）个性化简报制作：可将选中的信息，按照自定义的模板生成专属单位的简报。操作简单，快捷生成</w:t>
                  </w:r>
                </w:p>
              </w:tc>
              <w:tc>
                <w:tcPr>
                  <w:tcW w:type="dxa" w:w="278"/>
                  <w:vMerge/>
                  <w:tcBorders>
                    <w:top w:val="none" w:color="000000" w:sz="4"/>
                    <w:left w:val="none" w:color="000000" w:sz="4"/>
                    <w:bottom w:val="single" w:color="000000" w:sz="4"/>
                    <w:right w:val="single" w:color="000000" w:sz="4"/>
                  </w:tcBorders>
                </w:tcPr>
                <w:p/>
              </w:tc>
              <w:tc>
                <w:tcPr>
                  <w:tcW w:type="dxa" w:w="405"/>
                  <w:vMerge/>
                  <w:tcBorders>
                    <w:top w:val="single" w:color="000000" w:sz="4"/>
                    <w:left w:val="none" w:color="000000" w:sz="4"/>
                    <w:bottom w:val="single" w:color="000000" w:sz="4"/>
                    <w:right w:val="single" w:color="000000" w:sz="4"/>
                  </w:tcBorders>
                </w:tcPr>
                <w:p/>
              </w:tc>
            </w:tr>
            <w:tr>
              <w:tc>
                <w:tcPr>
                  <w:tcW w:type="dxa" w:w="279"/>
                  <w:vMerge/>
                  <w:tcBorders>
                    <w:top w:val="none" w:color="000000" w:sz="4"/>
                    <w:left w:val="singl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7）移动客户端（IOS与Android）：支持在移动客户端上使用对应账号的监测、搜索等系统功能</w:t>
                  </w:r>
                </w:p>
              </w:tc>
              <w:tc>
                <w:tcPr>
                  <w:tcW w:type="dxa" w:w="278"/>
                  <w:vMerge/>
                  <w:tcBorders>
                    <w:top w:val="none" w:color="000000" w:sz="4"/>
                    <w:left w:val="none" w:color="000000" w:sz="4"/>
                    <w:bottom w:val="single" w:color="000000" w:sz="4"/>
                    <w:right w:val="single" w:color="000000" w:sz="4"/>
                  </w:tcBorders>
                </w:tcPr>
                <w:p/>
              </w:tc>
              <w:tc>
                <w:tcPr>
                  <w:tcW w:type="dxa" w:w="405"/>
                  <w:vMerge/>
                  <w:tcBorders>
                    <w:top w:val="single" w:color="000000" w:sz="4"/>
                    <w:left w:val="none" w:color="000000" w:sz="4"/>
                    <w:bottom w:val="single" w:color="000000" w:sz="4"/>
                    <w:right w:val="single" w:color="000000" w:sz="4"/>
                  </w:tcBorders>
                </w:tcPr>
                <w:p/>
              </w:tc>
            </w:tr>
            <w:tr>
              <w:tc>
                <w:tcPr>
                  <w:tcW w:type="dxa" w:w="2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2</w:t>
                  </w:r>
                </w:p>
              </w:tc>
              <w:tc>
                <w:tcPr>
                  <w:tcW w:type="dxa" w:w="3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人工推送与报告服务</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提供专职信息监测员为甲方监测相关网络信息。即时抓取涉及甲方的相关信息，经过监测员再次判断后，分拣出与甲方相关联的敏感信息推送给甲方相关对接人。推送时间：</w:t>
                  </w:r>
                  <w:r>
                    <w:rPr>
                      <w:rFonts w:ascii="仿宋_GB2312" w:hAnsi="仿宋_GB2312" w:cs="仿宋_GB2312" w:eastAsia="仿宋_GB2312"/>
                      <w:sz w:val="19"/>
                    </w:rPr>
                    <w:t>7*24h</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1套</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全年监测（包含节假日）</w:t>
                  </w:r>
                </w:p>
              </w:tc>
            </w:tr>
            <w:tr>
              <w:tc>
                <w:tcPr>
                  <w:tcW w:type="dxa" w:w="279"/>
                  <w:vMerge/>
                  <w:tcBorders>
                    <w:top w:val="none" w:color="000000" w:sz="4"/>
                    <w:left w:val="single" w:color="000000" w:sz="4"/>
                    <w:bottom w:val="single" w:color="000000" w:sz="4"/>
                    <w:right w:val="single" w:color="000000" w:sz="4"/>
                  </w:tcBorders>
                </w:tcPr>
                <w:p/>
              </w:tc>
              <w:tc>
                <w:tcPr>
                  <w:tcW w:type="dxa" w:w="395"/>
                  <w:vMerge/>
                  <w:tcBorders>
                    <w:top w:val="none" w:color="000000" w:sz="4"/>
                    <w:left w:val="none" w:color="000000" w:sz="4"/>
                    <w:bottom w:val="single" w:color="000000" w:sz="4"/>
                    <w:right w:val="single" w:color="000000" w:sz="4"/>
                  </w:tcBorders>
                </w:tcP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报告服务：</w:t>
                  </w:r>
                </w:p>
                <w:p>
                  <w:pPr>
                    <w:pStyle w:val="null3"/>
                    <w:ind w:firstLine="400"/>
                    <w:jc w:val="both"/>
                  </w:pPr>
                  <w:r>
                    <w:rPr>
                      <w:rFonts w:ascii="仿宋_GB2312" w:hAnsi="仿宋_GB2312" w:cs="仿宋_GB2312" w:eastAsia="仿宋_GB2312"/>
                      <w:sz w:val="19"/>
                    </w:rPr>
                    <w:t>日报（全年不定期）：根据单位内的当日需求编写日报；</w:t>
                  </w:r>
                </w:p>
                <w:p>
                  <w:pPr>
                    <w:pStyle w:val="null3"/>
                    <w:ind w:firstLine="400"/>
                    <w:jc w:val="both"/>
                  </w:pPr>
                  <w:r>
                    <w:rPr>
                      <w:rFonts w:ascii="仿宋_GB2312" w:hAnsi="仿宋_GB2312" w:cs="仿宋_GB2312" w:eastAsia="仿宋_GB2312"/>
                      <w:sz w:val="19"/>
                    </w:rPr>
                    <w:t>周报</w:t>
                  </w:r>
                  <w:r>
                    <w:rPr>
                      <w:rFonts w:ascii="仿宋_GB2312" w:hAnsi="仿宋_GB2312" w:cs="仿宋_GB2312" w:eastAsia="仿宋_GB2312"/>
                      <w:sz w:val="19"/>
                    </w:rPr>
                    <w:t>52份：根据单位内地监测方案、以周度系统监测数据为基础人工编写周报</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3）负面事件报告（全年不定期）：根据客户需求，通过数据分析后，由专业信息分析师加工形成分析报告。</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4）年报1份：根据单位内地监测方案、以年度系统监测数据为基础人工编写年报</w:t>
                  </w:r>
                </w:p>
                <w:p>
                  <w:pPr>
                    <w:pStyle w:val="null3"/>
                    <w:ind w:firstLine="400"/>
                    <w:jc w:val="both"/>
                  </w:pPr>
                  <w:r>
                    <w:rPr>
                      <w:rFonts w:ascii="仿宋_GB2312" w:hAnsi="仿宋_GB2312" w:cs="仿宋_GB2312" w:eastAsia="仿宋_GB2312"/>
                      <w:sz w:val="19"/>
                    </w:rPr>
                    <w:t>（</w:t>
                  </w:r>
                  <w:r>
                    <w:rPr>
                      <w:rFonts w:ascii="仿宋_GB2312" w:hAnsi="仿宋_GB2312" w:cs="仿宋_GB2312" w:eastAsia="仿宋_GB2312"/>
                      <w:sz w:val="19"/>
                    </w:rPr>
                    <w:t>5）监测信息顾问服务：针对重大事件提供信息研判咨询相关工作。（允许乙方委托第三方提供）</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1套</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报告最终交付形式以甲方要求为准或双方协商确定</w:t>
                  </w:r>
                </w:p>
              </w:tc>
            </w:tr>
          </w:tbl>
          <w:p>
            <w:pPr>
              <w:pStyle w:val="null3"/>
              <w:ind w:firstLine="400"/>
              <w:jc w:val="both"/>
            </w:pPr>
            <w:r>
              <w:rPr>
                <w:rFonts w:ascii="仿宋_GB2312" w:hAnsi="仿宋_GB2312" w:cs="仿宋_GB2312" w:eastAsia="仿宋_GB2312"/>
              </w:rPr>
              <w:t>三</w:t>
            </w:r>
            <w:r>
              <w:rPr>
                <w:rFonts w:ascii="仿宋_GB2312" w:hAnsi="仿宋_GB2312" w:cs="仿宋_GB2312" w:eastAsia="仿宋_GB2312"/>
              </w:rPr>
              <w:t>、商务要求</w:t>
            </w:r>
          </w:p>
          <w:p>
            <w:pPr>
              <w:pStyle w:val="null3"/>
              <w:ind w:firstLine="400"/>
              <w:jc w:val="both"/>
            </w:pPr>
            <w:r>
              <w:rPr>
                <w:rFonts w:ascii="仿宋_GB2312" w:hAnsi="仿宋_GB2312" w:cs="仿宋_GB2312" w:eastAsia="仿宋_GB2312"/>
              </w:rPr>
              <w:t>1、服务期限：</w:t>
            </w:r>
            <w:r>
              <w:rPr>
                <w:rFonts w:ascii="仿宋_GB2312" w:hAnsi="仿宋_GB2312" w:cs="仿宋_GB2312" w:eastAsia="仿宋_GB2312"/>
              </w:rPr>
              <w:t>自合同签订之日起一年（</w:t>
            </w:r>
            <w:r>
              <w:rPr>
                <w:rFonts w:ascii="仿宋_GB2312" w:hAnsi="仿宋_GB2312" w:cs="仿宋_GB2312" w:eastAsia="仿宋_GB2312"/>
              </w:rPr>
              <w:t>2026年6月25日--2027年6月24日具体以合同时间为准）。</w:t>
            </w:r>
          </w:p>
          <w:p>
            <w:pPr>
              <w:pStyle w:val="null3"/>
              <w:ind w:firstLine="400"/>
              <w:jc w:val="both"/>
            </w:pPr>
            <w:r>
              <w:rPr>
                <w:rFonts w:ascii="仿宋_GB2312" w:hAnsi="仿宋_GB2312" w:cs="仿宋_GB2312" w:eastAsia="仿宋_GB2312"/>
              </w:rPr>
              <w:t>2、服务地点：采购人指定地点。</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、付款方式：甲方在</w:t>
            </w:r>
            <w:r>
              <w:rPr>
                <w:rFonts w:ascii="仿宋_GB2312" w:hAnsi="仿宋_GB2312" w:cs="仿宋_GB2312" w:eastAsia="仿宋_GB2312"/>
              </w:rPr>
              <w:t>合同</w:t>
            </w:r>
            <w:r>
              <w:rPr>
                <w:rFonts w:ascii="仿宋_GB2312" w:hAnsi="仿宋_GB2312" w:cs="仿宋_GB2312" w:eastAsia="仿宋_GB2312"/>
              </w:rPr>
              <w:t>签订后且收到乙方提供的等额、合法、有效的发票之日起</w:t>
            </w:r>
            <w:r>
              <w:rPr>
                <w:rFonts w:ascii="仿宋_GB2312" w:hAnsi="仿宋_GB2312" w:cs="仿宋_GB2312" w:eastAsia="仿宋_GB2312"/>
              </w:rPr>
              <w:t>10</w:t>
            </w:r>
            <w:r>
              <w:rPr>
                <w:rFonts w:ascii="仿宋_GB2312" w:hAnsi="仿宋_GB2312" w:cs="仿宋_GB2312" w:eastAsia="仿宋_GB2312"/>
              </w:rPr>
              <w:t>个工作日内，向乙方账户</w:t>
            </w:r>
            <w:r>
              <w:rPr>
                <w:rFonts w:ascii="仿宋_GB2312" w:hAnsi="仿宋_GB2312" w:cs="仿宋_GB2312" w:eastAsia="仿宋_GB2312"/>
              </w:rPr>
              <w:t>支付合同总金额的</w:t>
            </w:r>
            <w:r>
              <w:rPr>
                <w:rFonts w:ascii="仿宋_GB2312" w:hAnsi="仿宋_GB2312" w:cs="仿宋_GB2312" w:eastAsia="仿宋_GB2312"/>
              </w:rPr>
              <w:t>90％；</w:t>
            </w:r>
            <w:r>
              <w:rPr>
                <w:rFonts w:ascii="仿宋_GB2312" w:hAnsi="仿宋_GB2312" w:cs="仿宋_GB2312" w:eastAsia="仿宋_GB2312"/>
              </w:rPr>
              <w:t>甲方支付剩余</w:t>
            </w:r>
            <w:r>
              <w:rPr>
                <w:rFonts w:ascii="仿宋_GB2312" w:hAnsi="仿宋_GB2312" w:cs="仿宋_GB2312" w:eastAsia="仿宋_GB2312"/>
              </w:rPr>
              <w:t>合同总金额的</w:t>
            </w:r>
            <w:r>
              <w:rPr>
                <w:rFonts w:ascii="仿宋_GB2312" w:hAnsi="仿宋_GB2312" w:cs="仿宋_GB2312" w:eastAsia="仿宋_GB2312"/>
              </w:rPr>
              <w:t>10%服务费前，乙方应向甲方提交合同总金额10%的履约金，合同期满后退回履约金</w:t>
            </w:r>
            <w:r>
              <w:rPr>
                <w:rFonts w:ascii="仿宋_GB2312" w:hAnsi="仿宋_GB2312" w:cs="仿宋_GB2312" w:eastAsia="仿宋_GB2312"/>
              </w:rPr>
              <w:t>，</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w:t>
            </w:r>
            <w:r>
              <w:rPr>
                <w:rFonts w:ascii="仿宋_GB2312" w:hAnsi="仿宋_GB2312" w:cs="仿宋_GB2312" w:eastAsia="仿宋_GB2312"/>
              </w:rPr>
              <w:t>11月25日前甲方向乙方支付剩余</w:t>
            </w:r>
            <w:r>
              <w:rPr>
                <w:rFonts w:ascii="仿宋_GB2312" w:hAnsi="仿宋_GB2312" w:cs="仿宋_GB2312" w:eastAsia="仿宋_GB2312"/>
              </w:rPr>
              <w:t>合同总金额的</w:t>
            </w:r>
            <w:r>
              <w:rPr>
                <w:rFonts w:ascii="仿宋_GB2312" w:hAnsi="仿宋_GB2312" w:cs="仿宋_GB2312" w:eastAsia="仿宋_GB2312"/>
              </w:rPr>
              <w:t>10%服务费。所有款项均以银行转账方式支付</w:t>
            </w:r>
            <w:r>
              <w:rPr>
                <w:rFonts w:ascii="仿宋_GB2312" w:hAnsi="仿宋_GB2312" w:cs="仿宋_GB2312" w:eastAsia="仿宋_GB2312"/>
              </w:rPr>
              <w:t>，</w:t>
            </w:r>
            <w:r>
              <w:rPr>
                <w:rFonts w:ascii="仿宋_GB2312" w:hAnsi="仿宋_GB2312" w:cs="仿宋_GB2312" w:eastAsia="仿宋_GB2312"/>
              </w:rPr>
              <w:t>每次甲方付款前</w:t>
            </w:r>
            <w:r>
              <w:rPr>
                <w:rFonts w:ascii="仿宋_GB2312" w:hAnsi="仿宋_GB2312" w:cs="仿宋_GB2312" w:eastAsia="仿宋_GB2312"/>
              </w:rPr>
              <w:t>乙方应</w:t>
            </w:r>
            <w:r>
              <w:rPr>
                <w:rFonts w:ascii="仿宋_GB2312" w:hAnsi="仿宋_GB2312" w:cs="仿宋_GB2312" w:eastAsia="仿宋_GB2312"/>
              </w:rPr>
              <w:t>开具等额发票给甲方</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四</w:t>
            </w:r>
            <w:r>
              <w:rPr>
                <w:rFonts w:ascii="仿宋_GB2312" w:hAnsi="仿宋_GB2312" w:cs="仿宋_GB2312" w:eastAsia="仿宋_GB2312"/>
              </w:rPr>
              <w:t>、其他要求</w:t>
            </w:r>
          </w:p>
          <w:p>
            <w:pPr>
              <w:pStyle w:val="null3"/>
              <w:ind w:firstLine="400"/>
              <w:jc w:val="both"/>
            </w:pPr>
            <w:r>
              <w:rPr>
                <w:rFonts w:ascii="仿宋_GB2312" w:hAnsi="仿宋_GB2312" w:cs="仿宋_GB2312" w:eastAsia="仿宋_GB2312"/>
              </w:rPr>
              <w:t>1、供应商应保证所提供的服务或其任何一部分均不会侵犯任何第三方的专利权、商标权或著作权。</w:t>
            </w:r>
          </w:p>
          <w:p>
            <w:pPr>
              <w:pStyle w:val="null3"/>
              <w:ind w:firstLine="400"/>
              <w:jc w:val="both"/>
            </w:pPr>
            <w:r>
              <w:rPr>
                <w:rFonts w:ascii="仿宋_GB2312" w:hAnsi="仿宋_GB2312" w:cs="仿宋_GB2312" w:eastAsia="仿宋_GB2312"/>
              </w:rPr>
              <w:t>2、报价要求：（1）成交供应商在项目实施期间，若上级主管部门对本项目的完成时间、工作内容和技术要求有调整和变化的，供应商应无条件按照新要求执行，满足采购人和上级主管部门对本项目的部署与要求，所需一切费用包含在本次磋商报价中。（2）项目总报价应当包括完成本项目可能发生的各项费用的总和，为包干费用，如人工费、成果编制费、</w:t>
            </w:r>
            <w:r>
              <w:rPr>
                <w:rFonts w:ascii="仿宋_GB2312" w:hAnsi="仿宋_GB2312" w:cs="仿宋_GB2312" w:eastAsia="仿宋_GB2312"/>
              </w:rPr>
              <w:t>咨询费</w:t>
            </w:r>
            <w:r>
              <w:rPr>
                <w:rFonts w:ascii="仿宋_GB2312" w:hAnsi="仿宋_GB2312" w:cs="仿宋_GB2312" w:eastAsia="仿宋_GB2312"/>
              </w:rPr>
              <w:t>、招标代理服务费、税金等一切费用的体现，采购文件未列明而供应商认为其他必需的费用也须列入报价内。采购人不再另行支付成交金额以外的其他任何费用。</w:t>
            </w:r>
          </w:p>
          <w:p>
            <w:pPr>
              <w:pStyle w:val="null3"/>
              <w:ind w:firstLine="400"/>
              <w:jc w:val="both"/>
            </w:pPr>
            <w:r>
              <w:rPr>
                <w:rFonts w:ascii="仿宋_GB2312" w:hAnsi="仿宋_GB2312" w:cs="仿宋_GB2312" w:eastAsia="仿宋_GB2312"/>
                <w:sz w:val="21"/>
              </w:rPr>
              <w:t>3、违约责任与解决争议的方法：（1）供应商和采购人必须遵守本合同并执行合同中的各项规定，保证本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解决争议的方法：（1）在执行本合同中发生的或与本合同有关的争端，双方应通过友好协商解决，经协商不能达成协议时，应提交采购人所在地人民法院诉讼解决。（2）在诉讼期间，乙方不得停止服务，并应保证政府采购合同的继续履行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自合同签订之日起一年（2026年6月25日--2027年6月24日具体以合同时间为准）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关于进一步加强政府采购需求和履约验收管理的指导意见》（财库〔2016〕205号）等政府采购相关法律法规的要求组织验收，验收标准按采购文件规定的服务内容及要求、成交供应商的响应文件及承诺、合同约定标准以及行业规范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预付款，甲方在合同签订后且收到乙方提供的等额、合法、有效的发票之日起，达到付款条件起10个工作日内，支付合同总金额的90.0%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进度款，甲方支付剩余合同总金额的10%服务费前，乙方应向甲方提交合同总金额10%的履约金，合同期满后退回履约金，2026年11月25日前甲方向乙方支付，达到付款条件起10个工作日内，支付合同总金额的10.0%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和采购人必须遵守本合同并执行合同中的各项规定，保证本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解决争议的方法：（1）在执行本合同中发生的或与本合同有关的争端，双方应通过友好协商解决，经协商不能达成协议时，应提交采购人所在地人民法院诉讼解决。（2）在诉讼期间，乙方不得停止服务，并应保证政府采购合同的继续履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一、成交供应商在领取成交通知书时提供纸质版投标文件2套，应通过专用制作软件直接打印，确保与电子投标文件保持 一致，不允许修改和补充。提交地点：西安市未央区西安经济技术开发区凤城十二路首创禧悦里25幢A座16层。二、供应商的磋商报价是供应商响应磋商项目要求的全部工作内容的价格体现，包括供应商完成本项目所需的直接费、间接费、利润、税金及其它相关的一切费用。包括但不限于：人工费、设备费、管理费、验收费、采购代理服务费、利润和税金等全部费用。在提供服务的过程中的任何遗漏，均由成交供应商免费提供，采购人将不再支付任何费用。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2.评审过程中，除符合第1条规定情形外，若出现合格供应商少于3家时，采购人应依法重新组织采购活动。 五、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供应商需在项目电子化交易系统中按要求填写《响应函》完成承诺并进行电子签章。（1）供应商的营业执照等证明文件，自然人的身份证明； (2) 法定代表人（单位负责人）参加磋商的，提供本人身份证复印件；法定代表人（单位负责人）授权他人参加磋商的，提供法定代表人（单位负责人）委托授权书并出示被授权代表的身份证复印件； （3）供应商2025年5月至今已缴纳任意一个月任意税种纳税凭证或税务机关开具的完税证明（个人所得税除外），依法免税的应提供相关文件证明；（4）供应商2025年5月至今已缴存的任意一个月的社会保障资金缴存单据或社保机构开具的社会保险参保缴费情况证明，依法不需要缴纳社会保障资金的供应商应提供相关文件证明； （5）具有履行合同所必需的设备和专业技术能力的承诺；（6）参加本次采购前3年内，在经营活动中没有重大违法记录的书面声明。注：1、按照《中华人民共和国政府采购法》有关规定，采购代理机构依法对供应商的资格进行审查，并组建资格审查小组。 2、资格审查小组，由1名采购人代表和2名采购代理机构工作人员3人组成，采购代理机构项目经理担任资格审查小组组长。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财务会计报告或其提交响应文件截止时间前3个月内基本账户开户银行出具的资信证明。（以上形式的资料提供任何一种即可）要求： （1）供应商是企业法人的，应提供2024或2025全年度经审计的供应商财务报告，包括 “四表一注”即《资产负债表》《利润表》《现金流量表》《所有者权益变动表》及其附注，或者提交响应文件截止时间前3个月内基本账户开户银行出具的资信证明（附基本存款账户信息）； （2）供应商是执行《小企业会计准则》的小微企业的，应提供2024或2025全年度经审计的供应商财务报告，至少包括 《资产负债表》《利润表》《现金流量表》及其附注，或者提交响应文件截止时间前3个月内基本账户开户银行出具的资信证明（附基本存款账户信息）； （3）供应商是执行《事业单位会计准则》的事业单位法人的，应提供2024或2025全年度经审计的供应商财务报告，至少包括《资产负债表》《收入支出表或者收入费用表》《财政补助收入支出表》及其附注，或者提交响应文件截止时间前3个月内基本账户开户银行出具的资信证明（附基本存款账户信息）；（4）部分其他组织和自然人，提供提交响应文件截止时间前3个月内基本账户开户银行出具的资信证明（附账户信息）； （5）供应商是民办非企业单位的，应提供2024或2025全年度经审计的供应商财务报告，包括《资产负债表》《业务活动表》《现金流量表》及其附注或者提交响应文件截止时间前3个月内基本账户开户银行出具的资信证明（附账户信息）；（6）供应商成立不到1年（至提交响应文件截止时间）的，提供成立后任意一个月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商务技术部分.pdf 中小企业声明函 残疾人福利性单位声明函 标的清单 报价表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相对应标包最高限价金额。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商务技术部分.pdf 中小企业声明函 残疾人福利性单位声明函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商务技术部分.pdf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需求理解与分析</w:t>
            </w:r>
          </w:p>
        </w:tc>
        <w:tc>
          <w:tcPr>
            <w:tcW w:type="dxa" w:w="2492"/>
          </w:tcPr>
          <w:p>
            <w:pPr>
              <w:pStyle w:val="null3"/>
            </w:pPr>
            <w:r>
              <w:rPr>
                <w:rFonts w:ascii="仿宋_GB2312" w:hAnsi="仿宋_GB2312" w:cs="仿宋_GB2312" w:eastAsia="仿宋_GB2312"/>
              </w:rPr>
              <w:t>供应商针对项目采购需求及需要关注的问题进行分析 1）对本项目的背景、内容及需求理解非常透彻，以及可能注意的问题，提供相关的针对性分析说明，逻辑层次非常清晰、针对性很强、与采购内容完全吻合得8分； 2）对本项目的背景、内容及需求理解较透彻，以及可能注意的问题，提供相关的分析说明，逻辑层次较清晰、针对性较强、与采购内容较吻合得6分； 3）对本项目的背景、内容及需求理解一般，以及可能注意的问题，提供相关的分析说明，逻辑层次一般、针对性一般、与采购内容吻合性一般得4分。 4）对本项目的背景、内容及需求理解片面空泛，以及可能注意的问题，提供相关的分析说明，逻辑层次混乱、针对性弱、与采购内容吻合性弱得2分。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信息监测</w:t>
            </w:r>
          </w:p>
        </w:tc>
        <w:tc>
          <w:tcPr>
            <w:tcW w:type="dxa" w:w="2492"/>
          </w:tcPr>
          <w:p>
            <w:pPr>
              <w:pStyle w:val="null3"/>
            </w:pPr>
            <w:r>
              <w:rPr>
                <w:rFonts w:ascii="仿宋_GB2312" w:hAnsi="仿宋_GB2312" w:cs="仿宋_GB2312" w:eastAsia="仿宋_GB2312"/>
              </w:rPr>
              <w:t>针对本次信息监测系统响应、实施方案的详细说明。 1）系统监测能力指标响应情况， 内容全面、技术响应满足要求、实施方案针对性强得6分； 内容全面、技术响应基本满足要求、实施方案基本有针对性得4分； 内容基本完整、实施方案无针对性得2分。 2）系统技术性能指标响应情况， 内容全面、技术响应满足要求、实施方案针对性强得6分; 内容全面、技术响应基本满足要求、实施方案基本有针对性得4分; 内容基本完整、实施方案无针对性得2分。 3）系统功能实现响应情况， 内容全面、技术响应满足要求、实施方案针对性强得6分; 内容全面、技术响应基本满足要求、实施方案基本有针对性得4分;内容基本完整、实施方案无针对性得2分。 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供应商提供针对本项目的科学、合理可行的服务方案，对系统平台、平台能力、研判与预警、分析报告等有科学合理的服务方案（注包括但不限于以上服务要求）。 1）方案内容极其全面，流程极其清晰，针对性强，且具有创新性得12分; 2）方案内容接近全面，流程接近清晰，针对性强，能够很好地满足需求得9分; 3）方案内容较为全面，流程较为清晰，针对性较强，能够较好地满足需求得7分； 4）方案内容基本完整，流程较为清晰，但针对性一般，可能存在部分内容不够详细得4分； 5）方案内容基本完整，流程基本清晰，但针对性较差得1分；未提供不得分。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根据各供应商对项目服务保障措施评委进行打分，包括但不限于质量保障措施、沟通协调保障措施、人员管理保障措施。 1）完全满足或优于上述要求得8分； 2）满足上述要求，应答较为完整得6分； 3）能够基本满足上述要求，内容较完整得4分； 4）满足上述要求不充分，内容不完整或应答有欠缺得2 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预案处置</w:t>
            </w:r>
          </w:p>
        </w:tc>
        <w:tc>
          <w:tcPr>
            <w:tcW w:type="dxa" w:w="2492"/>
          </w:tcPr>
          <w:p>
            <w:pPr>
              <w:pStyle w:val="null3"/>
            </w:pPr>
            <w:r>
              <w:rPr>
                <w:rFonts w:ascii="仿宋_GB2312" w:hAnsi="仿宋_GB2312" w:cs="仿宋_GB2312" w:eastAsia="仿宋_GB2312"/>
              </w:rPr>
              <w:t>供应商针对信息情况处置措施 1）有丰富的信息监控、分析、处理经验，特殊信息预案说明及风险措施考虑全面科学，处置措施得当得6分; 2）有信息监控、分析、处理经验，特殊信息预案说明及风险措施考虑较科学，处置措施较合理得4分; 3）信息预案说明及风险措施不全面，处置措施较合适2分;未提供不得分。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供应商针对项目安全保密职责提供具体的保密措施 1）保密措施内容详细完整，有针对性且利于项目实施的得6分； 2）保密措施内容较完善，较利于项目实施的得4分； 3）保密措施内容有欠缺，内容空泛，对项目实施含糊得2分；未提供的不得分。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标供应商需要提供本项目的项目负责人 1）项目团队负责人具有本科及以上学历的得2分； 2）项目负责人有互联网信息搜集经验得1 分。（提供相关简历及证明）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执行团队设置</w:t>
            </w:r>
          </w:p>
        </w:tc>
        <w:tc>
          <w:tcPr>
            <w:tcW w:type="dxa" w:w="2492"/>
          </w:tcPr>
          <w:p>
            <w:pPr>
              <w:pStyle w:val="null3"/>
            </w:pPr>
            <w:r>
              <w:rPr>
                <w:rFonts w:ascii="仿宋_GB2312" w:hAnsi="仿宋_GB2312" w:cs="仿宋_GB2312" w:eastAsia="仿宋_GB2312"/>
              </w:rPr>
              <w:t>投标供应商团队人员数量和分工能达到采购方需要，人员执行力强，业务功底扎实。包括：人员配备、人员分工、业务能力（提供相关证明材料）。 提供针对本项目成立专门的执行团队，根据所配备人员的行业经验、专业能力等综合赋分： 1）组织机构设置合理，管理人员及技术人员配备数量充足、人员职责明确、分工清晰合理、相关项目实施经验丰富得6分； 2）组织机构设置较为合理，管理人员及技术人员配备数较充足、职责较明确、分工较清晰合理、相关项目实施经验较丰富得4分； 3）组织机构设置不全，人员配备数量不合理得2分； 4）未提供不得分。 注：需提供身份证扫描件及相关证书复印件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信息报告承诺</w:t>
            </w:r>
          </w:p>
        </w:tc>
        <w:tc>
          <w:tcPr>
            <w:tcW w:type="dxa" w:w="2492"/>
          </w:tcPr>
          <w:p>
            <w:pPr>
              <w:pStyle w:val="null3"/>
            </w:pPr>
            <w:r>
              <w:rPr>
                <w:rFonts w:ascii="仿宋_GB2312" w:hAnsi="仿宋_GB2312" w:cs="仿宋_GB2312" w:eastAsia="仿宋_GB2312"/>
              </w:rPr>
              <w:t>按采购人要求提供人工撰写的信息报告，包括日报、周报、年度报、突发事件专报、重要时间节点报告及指定命题稿件等，提供承诺得3 分，不提供承诺不得分。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人工巡检方案</w:t>
            </w:r>
          </w:p>
        </w:tc>
        <w:tc>
          <w:tcPr>
            <w:tcW w:type="dxa" w:w="2492"/>
          </w:tcPr>
          <w:p>
            <w:pPr>
              <w:pStyle w:val="null3"/>
            </w:pPr>
            <w:r>
              <w:rPr>
                <w:rFonts w:ascii="仿宋_GB2312" w:hAnsi="仿宋_GB2312" w:cs="仿宋_GB2312" w:eastAsia="仿宋_GB2312"/>
              </w:rPr>
              <w:t>供应商提供人工巡查方案。 1）巡检机制非常完善全面，有明确的巡检计划、有专职的巡检团队人员，完全满足甲方需求得8分； 2）巡检机制基本完善，基本满足甲方需求得 6分； 3）巡检机制较完善有部分缺陷，部分满足甲方需求得4分； 4）巡检机制不完善，无法满足甲方需求得2分；未提供不得分。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供应商从2023年1月1日以来（以合同签订日期为准）同类项目业绩，每提供一个1个计3分，最高得12分。 注：响应文件需要同时提供合同首页、服务内容页、盖章页复印件并加盖供应商公章，时间以合同签订时间为准，否则不得分。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提供项目具体成本测算等与报价合理性相关的书面说明及必要的证明材料，包括但不限于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10分。（3）磋商报价得分=（磋商基准价/最终磋商报价）×10 。（4）磋商报价不完整的，不进入磋商基准价的计算，本项得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详见附件：商务技术部分.pdf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