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23DFE516">
      <w:pPr>
        <w:pStyle w:val="8"/>
        <w:pageBreakBefore w:val="0"/>
        <w:kinsoku/>
        <w:wordWrap/>
        <w:overflowPunct/>
        <w:topLinePunct w:val="0"/>
        <w:autoSpaceDE/>
        <w:autoSpaceDN/>
        <w:bidi w:val="0"/>
        <w:spacing w:line="360" w:lineRule="auto"/>
        <w:rPr>
          <w:rFonts w:hint="eastAsia" w:ascii="宋体" w:hAnsi="宋体" w:eastAsia="宋体" w:cs="宋体"/>
          <w:b/>
          <w:bCs/>
          <w:color w:val="auto"/>
          <w:spacing w:val="0"/>
          <w:kern w:val="44"/>
          <w:sz w:val="28"/>
          <w:szCs w:val="28"/>
          <w:highlight w:val="none"/>
          <w:lang w:val="en-US" w:eastAsia="zh-CN" w:bidi="ar-SA"/>
        </w:rPr>
      </w:pPr>
      <w:r>
        <w:rPr>
          <w:rFonts w:hint="eastAsia" w:ascii="宋体" w:hAnsi="宋体" w:eastAsia="宋体" w:cs="宋体"/>
          <w:b/>
          <w:bCs/>
          <w:color w:val="auto"/>
          <w:spacing w:val="0"/>
          <w:kern w:val="44"/>
          <w:sz w:val="28"/>
          <w:szCs w:val="28"/>
          <w:highlight w:val="none"/>
          <w:lang w:val="en-US" w:eastAsia="zh-CN" w:bidi="ar-SA"/>
        </w:rPr>
        <w:t>项目编号：</w:t>
      </w:r>
      <w:r>
        <w:rPr>
          <w:rFonts w:hint="eastAsia" w:ascii="宋体" w:hAnsi="宋体" w:cs="宋体"/>
          <w:b/>
          <w:bCs/>
          <w:color w:val="auto"/>
          <w:spacing w:val="0"/>
          <w:kern w:val="44"/>
          <w:sz w:val="28"/>
          <w:szCs w:val="28"/>
          <w:highlight w:val="none"/>
          <w:lang w:val="en-US" w:eastAsia="zh-CN" w:bidi="ar-SA"/>
        </w:rPr>
        <w:t>ZH2026-0611</w:t>
      </w:r>
    </w:p>
    <w:p w14:paraId="2472BAEA">
      <w:pPr>
        <w:pStyle w:val="8"/>
        <w:pageBreakBefore w:val="0"/>
        <w:kinsoku/>
        <w:wordWrap/>
        <w:overflowPunct/>
        <w:topLinePunct w:val="0"/>
        <w:autoSpaceDE/>
        <w:autoSpaceDN/>
        <w:bidi w:val="0"/>
        <w:spacing w:line="360" w:lineRule="auto"/>
        <w:rPr>
          <w:rFonts w:hint="eastAsia" w:cs="Times New Roman"/>
          <w:b/>
          <w:bCs/>
          <w:color w:val="auto"/>
          <w:spacing w:val="0"/>
          <w:kern w:val="44"/>
          <w:sz w:val="32"/>
          <w:szCs w:val="32"/>
          <w:highlight w:val="none"/>
          <w:lang w:val="en-US" w:eastAsia="zh-CN" w:bidi="ar-SA"/>
        </w:rPr>
      </w:pPr>
    </w:p>
    <w:p w14:paraId="7AC441C1">
      <w:pPr>
        <w:pStyle w:val="12"/>
        <w:pageBreakBefore w:val="0"/>
        <w:kinsoku/>
        <w:wordWrap/>
        <w:overflowPunct/>
        <w:topLinePunct w:val="0"/>
        <w:autoSpaceDE/>
        <w:autoSpaceDN/>
        <w:bidi w:val="0"/>
        <w:spacing w:line="360" w:lineRule="auto"/>
        <w:rPr>
          <w:rFonts w:hint="eastAsia"/>
          <w:color w:val="auto"/>
          <w:spacing w:val="0"/>
          <w:highlight w:val="none"/>
          <w:lang w:val="en-US" w:eastAsia="zh-CN"/>
        </w:rPr>
      </w:pPr>
    </w:p>
    <w:p w14:paraId="27A1BB77">
      <w:pPr>
        <w:pStyle w:val="12"/>
        <w:pageBreakBefore w:val="0"/>
        <w:kinsoku/>
        <w:wordWrap/>
        <w:overflowPunct/>
        <w:topLinePunct w:val="0"/>
        <w:autoSpaceDE/>
        <w:autoSpaceDN/>
        <w:bidi w:val="0"/>
        <w:spacing w:line="360" w:lineRule="auto"/>
        <w:rPr>
          <w:rFonts w:hint="eastAsia"/>
          <w:color w:val="auto"/>
          <w:spacing w:val="0"/>
          <w:highlight w:val="none"/>
          <w:lang w:val="en-US" w:eastAsia="zh-CN"/>
        </w:rPr>
      </w:pPr>
    </w:p>
    <w:p w14:paraId="299A5D5A">
      <w:pPr>
        <w:pStyle w:val="12"/>
        <w:pageBreakBefore w:val="0"/>
        <w:kinsoku/>
        <w:wordWrap/>
        <w:overflowPunct/>
        <w:topLinePunct w:val="0"/>
        <w:autoSpaceDE/>
        <w:autoSpaceDN/>
        <w:bidi w:val="0"/>
        <w:spacing w:line="360" w:lineRule="auto"/>
        <w:jc w:val="center"/>
        <w:outlineLvl w:val="0"/>
        <w:rPr>
          <w:rFonts w:hint="eastAsia" w:ascii="宋体" w:hAnsi="宋体" w:cs="宋体"/>
          <w:b/>
          <w:bCs/>
          <w:color w:val="auto"/>
          <w:spacing w:val="0"/>
          <w:sz w:val="44"/>
          <w:szCs w:val="44"/>
          <w:highlight w:val="none"/>
          <w:lang w:val="en-US" w:eastAsia="zh-CN"/>
        </w:rPr>
      </w:pPr>
      <w:r>
        <w:rPr>
          <w:rFonts w:hint="eastAsia" w:ascii="宋体" w:hAnsi="宋体" w:cs="宋体"/>
          <w:b/>
          <w:bCs/>
          <w:color w:val="auto"/>
          <w:spacing w:val="0"/>
          <w:sz w:val="44"/>
          <w:szCs w:val="44"/>
          <w:highlight w:val="none"/>
          <w:lang w:val="en-US" w:eastAsia="zh-CN"/>
        </w:rPr>
        <w:t>陕西省林业调查规划院（陕西省森林资源监测中心）陕西省基本草原划定省级专项成果技术支撑项目-陕西省草原和湿地省级技术支撑服务项目</w:t>
      </w:r>
    </w:p>
    <w:p w14:paraId="60A22D92">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6797CFD7">
      <w:pPr>
        <w:pStyle w:val="12"/>
        <w:pageBreakBefore w:val="0"/>
        <w:kinsoku/>
        <w:wordWrap/>
        <w:overflowPunct/>
        <w:topLinePunct w:val="0"/>
        <w:autoSpaceDE/>
        <w:autoSpaceDN/>
        <w:bidi w:val="0"/>
        <w:spacing w:line="360" w:lineRule="auto"/>
        <w:jc w:val="center"/>
        <w:outlineLvl w:val="0"/>
        <w:rPr>
          <w:rFonts w:hint="eastAsia" w:ascii="宋体" w:hAnsi="宋体" w:cs="宋体"/>
          <w:b/>
          <w:bCs/>
          <w:color w:val="auto"/>
          <w:spacing w:val="0"/>
          <w:sz w:val="44"/>
          <w:szCs w:val="44"/>
          <w:highlight w:val="none"/>
          <w:lang w:val="en-US" w:eastAsia="zh-CN"/>
        </w:rPr>
      </w:pPr>
      <w:bookmarkStart w:id="0" w:name="_Toc9381"/>
      <w:bookmarkStart w:id="1" w:name="_Toc10178"/>
      <w:bookmarkStart w:id="2" w:name="_Toc11869"/>
      <w:bookmarkStart w:id="3" w:name="_Toc12898"/>
      <w:r>
        <w:rPr>
          <w:rFonts w:hint="eastAsia" w:ascii="宋体" w:hAnsi="宋体" w:cs="宋体"/>
          <w:b/>
          <w:bCs/>
          <w:color w:val="auto"/>
          <w:spacing w:val="0"/>
          <w:sz w:val="44"/>
          <w:szCs w:val="44"/>
          <w:highlight w:val="none"/>
          <w:lang w:val="en-US" w:eastAsia="zh-CN"/>
        </w:rPr>
        <w:t>竞争性磋商文件</w:t>
      </w:r>
      <w:bookmarkEnd w:id="0"/>
      <w:bookmarkEnd w:id="1"/>
      <w:bookmarkEnd w:id="2"/>
      <w:bookmarkEnd w:id="3"/>
    </w:p>
    <w:p w14:paraId="3809F16A">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576432D4">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0975E41E">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7CE86CEB">
      <w:pPr>
        <w:pStyle w:val="12"/>
        <w:pageBreakBefore w:val="0"/>
        <w:kinsoku/>
        <w:wordWrap/>
        <w:overflowPunct/>
        <w:topLinePunct w:val="0"/>
        <w:autoSpaceDE/>
        <w:autoSpaceDN/>
        <w:bidi w:val="0"/>
        <w:spacing w:line="360" w:lineRule="auto"/>
        <w:jc w:val="both"/>
        <w:rPr>
          <w:rFonts w:hint="default" w:ascii="宋体" w:hAnsi="宋体" w:cs="宋体"/>
          <w:b/>
          <w:bCs/>
          <w:color w:val="auto"/>
          <w:spacing w:val="0"/>
          <w:sz w:val="44"/>
          <w:szCs w:val="44"/>
          <w:highlight w:val="none"/>
          <w:lang w:val="en-US" w:eastAsia="zh-CN"/>
        </w:rPr>
      </w:pPr>
    </w:p>
    <w:p w14:paraId="127DF82E">
      <w:pPr>
        <w:pStyle w:val="12"/>
        <w:pageBreakBefore w:val="0"/>
        <w:kinsoku/>
        <w:wordWrap/>
        <w:overflowPunct/>
        <w:topLinePunct w:val="0"/>
        <w:autoSpaceDE/>
        <w:autoSpaceDN/>
        <w:bidi w:val="0"/>
        <w:spacing w:line="360" w:lineRule="auto"/>
        <w:jc w:val="center"/>
        <w:outlineLvl w:val="0"/>
        <w:rPr>
          <w:rFonts w:hint="eastAsia" w:ascii="宋体" w:hAnsi="宋体" w:cs="宋体"/>
          <w:b/>
          <w:bCs/>
          <w:color w:val="auto"/>
          <w:spacing w:val="0"/>
          <w:sz w:val="28"/>
          <w:szCs w:val="28"/>
          <w:highlight w:val="none"/>
          <w:lang w:val="en-US" w:eastAsia="zh-CN"/>
        </w:rPr>
      </w:pPr>
      <w:bookmarkStart w:id="4" w:name="_Toc1760"/>
      <w:bookmarkStart w:id="5" w:name="_Toc27789"/>
      <w:bookmarkStart w:id="6" w:name="_Toc12417"/>
      <w:bookmarkStart w:id="7" w:name="_Toc8333"/>
      <w:r>
        <w:rPr>
          <w:rFonts w:hint="eastAsia" w:ascii="宋体" w:hAnsi="宋体" w:cs="宋体"/>
          <w:b/>
          <w:bCs/>
          <w:color w:val="auto"/>
          <w:spacing w:val="0"/>
          <w:sz w:val="28"/>
          <w:szCs w:val="28"/>
          <w:highlight w:val="none"/>
          <w:lang w:val="en-US" w:eastAsia="zh-CN"/>
        </w:rPr>
        <w:t>采购代理机构：</w:t>
      </w:r>
      <w:bookmarkEnd w:id="4"/>
      <w:bookmarkEnd w:id="5"/>
      <w:bookmarkEnd w:id="6"/>
      <w:bookmarkEnd w:id="7"/>
      <w:r>
        <w:rPr>
          <w:rFonts w:hint="eastAsia" w:ascii="宋体" w:hAnsi="宋体" w:cs="宋体"/>
          <w:b/>
          <w:bCs/>
          <w:color w:val="auto"/>
          <w:spacing w:val="0"/>
          <w:sz w:val="28"/>
          <w:szCs w:val="28"/>
          <w:highlight w:val="none"/>
          <w:lang w:val="en-US" w:eastAsia="zh-CN"/>
        </w:rPr>
        <w:t>陕西中海招标有限公司</w:t>
      </w:r>
    </w:p>
    <w:p w14:paraId="0F4FD776">
      <w:pPr>
        <w:pStyle w:val="12"/>
        <w:pageBreakBefore w:val="0"/>
        <w:kinsoku/>
        <w:wordWrap/>
        <w:overflowPunct/>
        <w:topLinePunct w:val="0"/>
        <w:autoSpaceDE/>
        <w:autoSpaceDN/>
        <w:bidi w:val="0"/>
        <w:spacing w:line="360" w:lineRule="auto"/>
        <w:jc w:val="center"/>
        <w:outlineLvl w:val="0"/>
        <w:rPr>
          <w:rFonts w:hint="default" w:ascii="Times New Roman" w:hAnsi="Times New Roman" w:eastAsia="宋体" w:cs="Times New Roman"/>
          <w:b/>
          <w:bCs/>
          <w:color w:val="auto"/>
          <w:spacing w:val="0"/>
          <w:kern w:val="44"/>
          <w:sz w:val="32"/>
          <w:szCs w:val="32"/>
          <w:highlight w:val="none"/>
          <w:lang w:val="en-US" w:eastAsia="zh-CN" w:bidi="ar-SA"/>
        </w:rPr>
        <w:sectPr>
          <w:pgSz w:w="11906" w:h="16838"/>
          <w:pgMar w:top="1418" w:right="1418" w:bottom="1418" w:left="1418" w:header="964" w:footer="964" w:gutter="0"/>
          <w:pgBorders>
            <w:top w:val="none" w:sz="0" w:space="0"/>
            <w:left w:val="none" w:sz="0" w:space="0"/>
            <w:bottom w:val="none" w:sz="0" w:space="0"/>
            <w:right w:val="none" w:sz="0" w:space="0"/>
          </w:pgBorders>
          <w:pgNumType w:fmt="numberInDash"/>
          <w:cols w:space="720" w:num="1"/>
          <w:docGrid w:linePitch="312" w:charSpace="0"/>
        </w:sectPr>
      </w:pPr>
      <w:bookmarkStart w:id="8" w:name="_Toc16950"/>
      <w:bookmarkStart w:id="9" w:name="_Toc13371"/>
      <w:bookmarkStart w:id="10" w:name="_Toc17753"/>
      <w:bookmarkStart w:id="11" w:name="_Toc14433"/>
      <w:r>
        <w:rPr>
          <w:rFonts w:hint="eastAsia" w:ascii="宋体" w:hAnsi="宋体" w:cs="宋体"/>
          <w:b/>
          <w:bCs/>
          <w:color w:val="auto"/>
          <w:spacing w:val="0"/>
          <w:sz w:val="28"/>
          <w:szCs w:val="28"/>
          <w:highlight w:val="none"/>
          <w:lang w:val="en-US" w:eastAsia="zh-CN"/>
        </w:rPr>
        <w:t>日期：二〇二六年六月</w:t>
      </w:r>
      <w:bookmarkEnd w:id="8"/>
      <w:bookmarkEnd w:id="9"/>
      <w:bookmarkEnd w:id="10"/>
      <w:bookmarkEnd w:id="11"/>
    </w:p>
    <w:p w14:paraId="6E073304">
      <w:pPr>
        <w:pageBreakBefore w:val="0"/>
        <w:kinsoku/>
        <w:wordWrap/>
        <w:overflowPunct/>
        <w:topLinePunct w:val="0"/>
        <w:autoSpaceDE/>
        <w:autoSpaceDN/>
        <w:bidi w:val="0"/>
        <w:spacing w:line="360" w:lineRule="auto"/>
        <w:rPr>
          <w:color w:val="auto"/>
          <w:spacing w:val="0"/>
          <w:sz w:val="24"/>
          <w:szCs w:val="32"/>
          <w:highlight w:val="none"/>
        </w:rPr>
      </w:pPr>
    </w:p>
    <w:p w14:paraId="4D6E8B3F">
      <w:pPr>
        <w:pageBreakBefore w:val="0"/>
        <w:kinsoku/>
        <w:wordWrap/>
        <w:overflowPunct/>
        <w:topLinePunct w:val="0"/>
        <w:autoSpaceDE/>
        <w:autoSpaceDN/>
        <w:bidi w:val="0"/>
        <w:spacing w:before="0" w:beforeLines="0" w:after="0" w:afterLines="0" w:line="360" w:lineRule="auto"/>
        <w:ind w:left="0" w:leftChars="0" w:right="0" w:rightChars="0" w:firstLine="0" w:firstLineChars="0"/>
        <w:jc w:val="center"/>
        <w:rPr>
          <w:rFonts w:ascii="Times New Roman" w:hAnsi="Times New Roman" w:eastAsia="宋体" w:cs="Times New Roman"/>
          <w:color w:val="auto"/>
          <w:kern w:val="2"/>
          <w:sz w:val="28"/>
          <w:szCs w:val="28"/>
          <w:highlight w:val="none"/>
          <w:lang w:val="en-US" w:eastAsia="zh-CN" w:bidi="ar-SA"/>
        </w:rPr>
      </w:pPr>
      <w:r>
        <w:rPr>
          <w:rFonts w:ascii="宋体" w:hAnsi="宋体" w:eastAsia="宋体"/>
          <w:b/>
          <w:bCs/>
          <w:color w:val="auto"/>
          <w:sz w:val="32"/>
          <w:szCs w:val="40"/>
          <w:highlight w:val="none"/>
        </w:rPr>
        <w:t>目</w:t>
      </w:r>
      <w:r>
        <w:rPr>
          <w:rFonts w:hint="eastAsia" w:ascii="宋体" w:hAnsi="宋体"/>
          <w:b/>
          <w:bCs/>
          <w:color w:val="auto"/>
          <w:sz w:val="32"/>
          <w:szCs w:val="40"/>
          <w:highlight w:val="none"/>
          <w:lang w:val="en-US" w:eastAsia="zh-CN"/>
        </w:rPr>
        <w:t xml:space="preserve"> </w:t>
      </w:r>
      <w:r>
        <w:rPr>
          <w:rFonts w:ascii="宋体" w:hAnsi="宋体" w:eastAsia="宋体"/>
          <w:b/>
          <w:bCs/>
          <w:color w:val="auto"/>
          <w:sz w:val="32"/>
          <w:szCs w:val="40"/>
          <w:highlight w:val="none"/>
        </w:rPr>
        <w:t>录</w:t>
      </w: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p>
    <w:p w14:paraId="5DD5092C">
      <w:pPr>
        <w:pStyle w:val="11"/>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_Toc11249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pacing w:val="0"/>
          <w:kern w:val="44"/>
          <w:sz w:val="28"/>
          <w:szCs w:val="28"/>
          <w:highlight w:val="none"/>
          <w:lang w:val="en-US" w:eastAsia="zh-CN" w:bidi="ar-SA"/>
        </w:rPr>
        <w:t>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_Toc11249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BC0824">
      <w:pPr>
        <w:pStyle w:val="11"/>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_Toc17510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pacing w:val="0"/>
          <w:kern w:val="44"/>
          <w:sz w:val="28"/>
          <w:szCs w:val="28"/>
          <w:highlight w:val="none"/>
          <w:lang w:val="en-US" w:eastAsia="zh-CN" w:bidi="ar-SA"/>
        </w:rPr>
        <w:t>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_Toc17510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DC32208">
      <w:pPr>
        <w:pStyle w:val="11"/>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_Toc14683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pacing w:val="0"/>
          <w:kern w:val="44"/>
          <w:sz w:val="28"/>
          <w:szCs w:val="28"/>
          <w:highlight w:val="none"/>
          <w:lang w:val="en-US" w:eastAsia="zh-CN" w:bidi="ar-SA"/>
        </w:rPr>
        <w:t>第三章  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_Toc14683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95EE71">
      <w:pPr>
        <w:pStyle w:val="11"/>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_Toc6500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pacing w:val="0"/>
          <w:kern w:val="44"/>
          <w:sz w:val="28"/>
          <w:szCs w:val="28"/>
          <w:highlight w:val="none"/>
          <w:lang w:val="en-US" w:eastAsia="zh-CN" w:bidi="ar-SA"/>
        </w:rPr>
        <w:t xml:space="preserve">第四章  </w:t>
      </w:r>
      <w:r>
        <w:rPr>
          <w:rFonts w:hint="eastAsia" w:ascii="宋体" w:hAnsi="宋体" w:cs="宋体"/>
          <w:bCs/>
          <w:color w:val="auto"/>
          <w:spacing w:val="0"/>
          <w:kern w:val="44"/>
          <w:sz w:val="28"/>
          <w:szCs w:val="28"/>
          <w:highlight w:val="none"/>
          <w:lang w:val="en-US" w:eastAsia="zh-CN" w:bidi="ar-SA"/>
        </w:rPr>
        <w:t>磋商内容</w:t>
      </w:r>
      <w:r>
        <w:rPr>
          <w:rFonts w:hint="eastAsia" w:ascii="宋体" w:hAnsi="宋体" w:eastAsia="宋体" w:cs="宋体"/>
          <w:bCs/>
          <w:color w:val="auto"/>
          <w:spacing w:val="0"/>
          <w:kern w:val="44"/>
          <w:sz w:val="28"/>
          <w:szCs w:val="28"/>
          <w:highlight w:val="none"/>
          <w:lang w:val="en-US" w:eastAsia="zh-CN" w:bidi="ar-SA"/>
        </w:rPr>
        <w:t>及要求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_Toc6500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817163">
      <w:pPr>
        <w:pStyle w:val="11"/>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_Toc32384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val="en-US" w:eastAsia="zh-CN"/>
        </w:rPr>
        <w:t>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_Toc32384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7836557">
      <w:pPr>
        <w:pStyle w:val="11"/>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_Toc6654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pacing w:val="0"/>
          <w:kern w:val="44"/>
          <w:sz w:val="28"/>
          <w:szCs w:val="28"/>
          <w:highlight w:val="none"/>
          <w:lang w:val="en-US" w:eastAsia="zh-CN" w:bidi="ar-SA"/>
        </w:rPr>
        <w:t>第六章  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_Toc6654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700A008">
      <w:pPr>
        <w:pageBreakBefore w:val="0"/>
        <w:kinsoku/>
        <w:wordWrap/>
        <w:overflowPunct/>
        <w:topLinePunct w:val="0"/>
        <w:autoSpaceDE/>
        <w:autoSpaceDN/>
        <w:bidi w:val="0"/>
        <w:spacing w:before="0" w:beforeLines="0" w:after="0" w:afterLines="0" w:line="360" w:lineRule="auto"/>
        <w:ind w:left="0" w:leftChars="0" w:right="0" w:rightChars="0" w:firstLine="0" w:firstLineChars="0"/>
        <w:jc w:val="center"/>
        <w:rPr>
          <w:color w:val="auto"/>
          <w:sz w:val="28"/>
          <w:szCs w:val="28"/>
          <w:highlight w:val="none"/>
        </w:rPr>
      </w:pPr>
      <w:r>
        <w:rPr>
          <w:color w:val="auto"/>
          <w:sz w:val="28"/>
          <w:szCs w:val="28"/>
          <w:highlight w:val="none"/>
        </w:rPr>
        <w:fldChar w:fldCharType="end"/>
      </w:r>
    </w:p>
    <w:p w14:paraId="6C092B04">
      <w:pPr>
        <w:pageBreakBefore w:val="0"/>
        <w:kinsoku/>
        <w:wordWrap/>
        <w:overflowPunct/>
        <w:topLinePunct w:val="0"/>
        <w:autoSpaceDE/>
        <w:autoSpaceDN/>
        <w:bidi w:val="0"/>
        <w:spacing w:line="360" w:lineRule="auto"/>
        <w:rPr>
          <w:rFonts w:hint="eastAsia" w:cs="Times New Roman"/>
          <w:b/>
          <w:bCs/>
          <w:color w:val="auto"/>
          <w:spacing w:val="0"/>
          <w:kern w:val="44"/>
          <w:sz w:val="32"/>
          <w:szCs w:val="32"/>
          <w:highlight w:val="none"/>
          <w:lang w:val="en-US" w:eastAsia="zh-CN" w:bidi="ar-SA"/>
        </w:rPr>
      </w:pPr>
      <w:r>
        <w:rPr>
          <w:rFonts w:hint="eastAsia" w:cs="Times New Roman"/>
          <w:b/>
          <w:bCs/>
          <w:color w:val="auto"/>
          <w:spacing w:val="0"/>
          <w:kern w:val="44"/>
          <w:sz w:val="32"/>
          <w:szCs w:val="32"/>
          <w:highlight w:val="none"/>
          <w:lang w:val="en-US" w:eastAsia="zh-CN" w:bidi="ar-SA"/>
        </w:rPr>
        <w:br w:type="page"/>
      </w:r>
    </w:p>
    <w:p w14:paraId="7FCE8525">
      <w:pPr>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cs="Times New Roman"/>
          <w:b/>
          <w:bCs/>
          <w:color w:val="auto"/>
          <w:spacing w:val="0"/>
          <w:kern w:val="44"/>
          <w:sz w:val="32"/>
          <w:szCs w:val="32"/>
          <w:highlight w:val="none"/>
          <w:lang w:val="en-US" w:eastAsia="zh-CN" w:bidi="ar-SA"/>
        </w:rPr>
      </w:pPr>
      <w:bookmarkStart w:id="12" w:name="_Toc8417"/>
      <w:bookmarkStart w:id="13" w:name="_Toc11249"/>
      <w:r>
        <w:rPr>
          <w:rFonts w:hint="eastAsia" w:ascii="Times New Roman" w:hAnsi="Times New Roman" w:cs="Times New Roman"/>
          <w:b/>
          <w:bCs/>
          <w:color w:val="auto"/>
          <w:spacing w:val="0"/>
          <w:kern w:val="44"/>
          <w:sz w:val="32"/>
          <w:szCs w:val="32"/>
          <w:highlight w:val="none"/>
          <w:lang w:val="en-US" w:eastAsia="zh-CN" w:bidi="ar-SA"/>
        </w:rPr>
        <w:t>第一章  竞争性磋商公告</w:t>
      </w:r>
      <w:bookmarkEnd w:id="12"/>
      <w:bookmarkEnd w:id="13"/>
    </w:p>
    <w:p w14:paraId="012B9865">
      <w:pPr>
        <w:pStyle w:val="32"/>
        <w:spacing w:line="480" w:lineRule="exact"/>
        <w:jc w:val="center"/>
        <w:rPr>
          <w:rFonts w:hint="eastAsia" w:ascii="Times New Roman" w:hAnsi="Times New Roman" w:eastAsia="宋体" w:cs="Times New Roman"/>
          <w:b/>
          <w:bCs/>
          <w:color w:val="auto"/>
          <w:spacing w:val="0"/>
          <w:kern w:val="44"/>
          <w:sz w:val="32"/>
          <w:szCs w:val="32"/>
          <w:highlight w:val="none"/>
          <w:lang w:val="en-US" w:eastAsia="zh-CN" w:bidi="ar-SA"/>
        </w:rPr>
      </w:pPr>
      <w:r>
        <w:rPr>
          <w:rFonts w:hint="eastAsia" w:ascii="Times New Roman" w:hAnsi="Times New Roman" w:eastAsia="宋体" w:cs="Times New Roman"/>
          <w:b/>
          <w:bCs/>
          <w:color w:val="auto"/>
          <w:spacing w:val="0"/>
          <w:kern w:val="44"/>
          <w:sz w:val="32"/>
          <w:szCs w:val="32"/>
          <w:highlight w:val="none"/>
          <w:lang w:val="en-US" w:eastAsia="zh-CN" w:bidi="ar-SA"/>
        </w:rPr>
        <w:t>陕西省林业调查规划院（陕西省森林资源监测中心）陕西省基本草原划定省级专项成果技术支撑项目-陕西省草原和湿地省级技术支撑服务项目竞争性磋商公告</w:t>
      </w:r>
    </w:p>
    <w:p w14:paraId="36902CD5">
      <w:pPr>
        <w:pStyle w:val="32"/>
        <w:outlineLvl w:val="5"/>
        <w:rPr>
          <w:rFonts w:ascii="仿宋_GB2312" w:hAnsi="仿宋_GB2312" w:eastAsia="仿宋_GB2312" w:cs="仿宋_GB2312"/>
          <w:b/>
          <w:sz w:val="24"/>
        </w:rPr>
      </w:pPr>
      <w:r>
        <w:rPr>
          <w:rFonts w:ascii="仿宋_GB2312" w:hAnsi="仿宋_GB2312" w:eastAsia="仿宋_GB2312" w:cs="仿宋_GB2312"/>
          <w:b/>
          <w:sz w:val="15"/>
        </w:rPr>
        <w:t xml:space="preserve"> </w:t>
      </w:r>
      <w:r>
        <w:rPr>
          <w:rFonts w:ascii="仿宋_GB2312" w:hAnsi="仿宋_GB2312" w:eastAsia="仿宋_GB2312" w:cs="仿宋_GB2312"/>
          <w:b/>
          <w:sz w:val="24"/>
        </w:rPr>
        <w:t>项目概况</w:t>
      </w:r>
    </w:p>
    <w:p w14:paraId="40A793B1">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陕西省基本草原划定省级专项成果技术支撑项目-陕西省草原和湿地省级技术支撑服务项目采购项目的潜在供应商应在</w:t>
      </w:r>
      <w:r>
        <w:rPr>
          <w:rFonts w:hint="eastAsia" w:ascii="仿宋_GB2312" w:hAnsi="仿宋_GB2312" w:eastAsia="仿宋_GB2312" w:cs="仿宋_GB2312"/>
          <w:lang w:eastAsia="zh-CN"/>
        </w:rPr>
        <w:t>陕西省西安市莲湖区陕西省西安市莲湖区西关正街58号英达大厦1幢10810号</w:t>
      </w:r>
      <w:r>
        <w:rPr>
          <w:rFonts w:ascii="仿宋_GB2312" w:hAnsi="仿宋_GB2312" w:eastAsia="仿宋_GB2312" w:cs="仿宋_GB2312"/>
        </w:rPr>
        <w:t>获取采购文件，并于 2026年06月29日 09时00分 （北京时间）前提交响应文件。</w:t>
      </w:r>
    </w:p>
    <w:p w14:paraId="34812743">
      <w:pPr>
        <w:pStyle w:val="32"/>
        <w:keepNext w:val="0"/>
        <w:keepLines w:val="0"/>
        <w:pageBreakBefore w:val="0"/>
        <w:widowControl/>
        <w:kinsoku/>
        <w:wordWrap/>
        <w:overflowPunct/>
        <w:topLinePunct w:val="0"/>
        <w:autoSpaceDE/>
        <w:autoSpaceDN/>
        <w:bidi w:val="0"/>
        <w:adjustRightInd/>
        <w:snapToGrid/>
        <w:spacing w:line="400" w:lineRule="exact"/>
        <w:textAlignment w:val="auto"/>
        <w:outlineLvl w:val="3"/>
      </w:pPr>
      <w:r>
        <w:rPr>
          <w:rFonts w:ascii="仿宋_GB2312" w:hAnsi="仿宋_GB2312" w:eastAsia="仿宋_GB2312" w:cs="仿宋_GB2312"/>
          <w:b/>
          <w:sz w:val="24"/>
        </w:rPr>
        <w:t>一、项目基本情况</w:t>
      </w:r>
    </w:p>
    <w:p w14:paraId="4E604EFC">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项目编号：ZH2026-0611</w:t>
      </w:r>
    </w:p>
    <w:p w14:paraId="2F8A9070">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项目名称：陕西省基本草原划定省级专项成果技术支撑项目-陕西省草原和湿地省级技术支撑服务项目</w:t>
      </w:r>
    </w:p>
    <w:p w14:paraId="4EEAD0FE">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采购方式：竞争性磋商</w:t>
      </w:r>
    </w:p>
    <w:p w14:paraId="699CC5EB">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预算金额：300,000.00元</w:t>
      </w:r>
    </w:p>
    <w:p w14:paraId="06E612F9">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采购需求：</w:t>
      </w:r>
    </w:p>
    <w:p w14:paraId="18EDF21E">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合同包1(陕西省草原和湿地省级技术支撑服务项目):</w:t>
      </w:r>
    </w:p>
    <w:p w14:paraId="51856F17">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合同包预算金额：300,000.00元</w:t>
      </w:r>
    </w:p>
    <w:p w14:paraId="271005CF">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 xml:space="preserve"> 合同包最高限价：300,000.00元</w:t>
      </w:r>
    </w:p>
    <w:tbl>
      <w:tblPr>
        <w:tblStyle w:val="16"/>
        <w:tblW w:w="930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51"/>
        <w:gridCol w:w="1551"/>
        <w:gridCol w:w="1551"/>
        <w:gridCol w:w="1551"/>
        <w:gridCol w:w="1551"/>
        <w:gridCol w:w="1551"/>
      </w:tblGrid>
      <w:tr w14:paraId="2881E4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51" w:type="dxa"/>
            <w:vAlign w:val="center"/>
          </w:tcPr>
          <w:p w14:paraId="18B09418">
            <w:pPr>
              <w:pStyle w:val="32"/>
              <w:keepNext w:val="0"/>
              <w:keepLines w:val="0"/>
              <w:pageBreakBefore w:val="0"/>
              <w:widowControl/>
              <w:kinsoku/>
              <w:wordWrap/>
              <w:overflowPunct/>
              <w:topLinePunct w:val="0"/>
              <w:autoSpaceDE/>
              <w:autoSpaceDN/>
              <w:bidi w:val="0"/>
              <w:adjustRightInd/>
              <w:snapToGrid/>
              <w:spacing w:line="400" w:lineRule="exact"/>
              <w:jc w:val="center"/>
              <w:textAlignment w:val="auto"/>
            </w:pPr>
            <w:r>
              <w:rPr>
                <w:rFonts w:ascii="仿宋_GB2312" w:hAnsi="仿宋_GB2312" w:eastAsia="仿宋_GB2312" w:cs="仿宋_GB2312"/>
              </w:rPr>
              <w:t>品目号</w:t>
            </w:r>
          </w:p>
        </w:tc>
        <w:tc>
          <w:tcPr>
            <w:tcW w:w="1551" w:type="dxa"/>
            <w:vAlign w:val="center"/>
          </w:tcPr>
          <w:p w14:paraId="3E7F2889">
            <w:pPr>
              <w:pStyle w:val="32"/>
              <w:keepNext w:val="0"/>
              <w:keepLines w:val="0"/>
              <w:pageBreakBefore w:val="0"/>
              <w:widowControl/>
              <w:kinsoku/>
              <w:wordWrap/>
              <w:overflowPunct/>
              <w:topLinePunct w:val="0"/>
              <w:autoSpaceDE/>
              <w:autoSpaceDN/>
              <w:bidi w:val="0"/>
              <w:adjustRightInd/>
              <w:snapToGrid/>
              <w:spacing w:line="400" w:lineRule="exact"/>
              <w:jc w:val="center"/>
              <w:textAlignment w:val="auto"/>
            </w:pPr>
            <w:r>
              <w:rPr>
                <w:rFonts w:ascii="仿宋_GB2312" w:hAnsi="仿宋_GB2312" w:eastAsia="仿宋_GB2312" w:cs="仿宋_GB2312"/>
              </w:rPr>
              <w:t>品目名称</w:t>
            </w:r>
          </w:p>
        </w:tc>
        <w:tc>
          <w:tcPr>
            <w:tcW w:w="1551" w:type="dxa"/>
            <w:vAlign w:val="center"/>
          </w:tcPr>
          <w:p w14:paraId="1D2CFE44">
            <w:pPr>
              <w:pStyle w:val="32"/>
              <w:keepNext w:val="0"/>
              <w:keepLines w:val="0"/>
              <w:pageBreakBefore w:val="0"/>
              <w:widowControl/>
              <w:kinsoku/>
              <w:wordWrap/>
              <w:overflowPunct/>
              <w:topLinePunct w:val="0"/>
              <w:autoSpaceDE/>
              <w:autoSpaceDN/>
              <w:bidi w:val="0"/>
              <w:adjustRightInd/>
              <w:snapToGrid/>
              <w:spacing w:line="400" w:lineRule="exact"/>
              <w:jc w:val="center"/>
              <w:textAlignment w:val="auto"/>
            </w:pPr>
            <w:r>
              <w:rPr>
                <w:rFonts w:ascii="仿宋_GB2312" w:hAnsi="仿宋_GB2312" w:eastAsia="仿宋_GB2312" w:cs="仿宋_GB2312"/>
              </w:rPr>
              <w:t>采购标的</w:t>
            </w:r>
          </w:p>
        </w:tc>
        <w:tc>
          <w:tcPr>
            <w:tcW w:w="1551" w:type="dxa"/>
            <w:vAlign w:val="center"/>
          </w:tcPr>
          <w:p w14:paraId="04A4DE77">
            <w:pPr>
              <w:pStyle w:val="32"/>
              <w:keepNext w:val="0"/>
              <w:keepLines w:val="0"/>
              <w:pageBreakBefore w:val="0"/>
              <w:widowControl/>
              <w:kinsoku/>
              <w:wordWrap/>
              <w:overflowPunct/>
              <w:topLinePunct w:val="0"/>
              <w:autoSpaceDE/>
              <w:autoSpaceDN/>
              <w:bidi w:val="0"/>
              <w:adjustRightInd/>
              <w:snapToGrid/>
              <w:spacing w:line="400" w:lineRule="exact"/>
              <w:jc w:val="center"/>
              <w:textAlignment w:val="auto"/>
            </w:pPr>
            <w:r>
              <w:rPr>
                <w:rFonts w:ascii="仿宋_GB2312" w:hAnsi="仿宋_GB2312" w:eastAsia="仿宋_GB2312" w:cs="仿宋_GB2312"/>
              </w:rPr>
              <w:t>数量（单位）</w:t>
            </w:r>
          </w:p>
        </w:tc>
        <w:tc>
          <w:tcPr>
            <w:tcW w:w="1551" w:type="dxa"/>
            <w:vAlign w:val="center"/>
          </w:tcPr>
          <w:p w14:paraId="31DCE44D">
            <w:pPr>
              <w:pStyle w:val="32"/>
              <w:keepNext w:val="0"/>
              <w:keepLines w:val="0"/>
              <w:pageBreakBefore w:val="0"/>
              <w:widowControl/>
              <w:kinsoku/>
              <w:wordWrap/>
              <w:overflowPunct/>
              <w:topLinePunct w:val="0"/>
              <w:autoSpaceDE/>
              <w:autoSpaceDN/>
              <w:bidi w:val="0"/>
              <w:adjustRightInd/>
              <w:snapToGrid/>
              <w:spacing w:line="400" w:lineRule="exact"/>
              <w:jc w:val="center"/>
              <w:textAlignment w:val="auto"/>
            </w:pPr>
            <w:r>
              <w:rPr>
                <w:rFonts w:ascii="仿宋_GB2312" w:hAnsi="仿宋_GB2312" w:eastAsia="仿宋_GB2312" w:cs="仿宋_GB2312"/>
              </w:rPr>
              <w:t>技术规格、参数及要求</w:t>
            </w:r>
          </w:p>
        </w:tc>
        <w:tc>
          <w:tcPr>
            <w:tcW w:w="1551" w:type="dxa"/>
            <w:vAlign w:val="center"/>
          </w:tcPr>
          <w:p w14:paraId="19D3CAB2">
            <w:pPr>
              <w:pStyle w:val="32"/>
              <w:keepNext w:val="0"/>
              <w:keepLines w:val="0"/>
              <w:pageBreakBefore w:val="0"/>
              <w:widowControl/>
              <w:kinsoku/>
              <w:wordWrap/>
              <w:overflowPunct/>
              <w:topLinePunct w:val="0"/>
              <w:autoSpaceDE/>
              <w:autoSpaceDN/>
              <w:bidi w:val="0"/>
              <w:adjustRightInd/>
              <w:snapToGrid/>
              <w:spacing w:line="400" w:lineRule="exact"/>
              <w:jc w:val="center"/>
              <w:textAlignment w:val="auto"/>
            </w:pPr>
            <w:r>
              <w:rPr>
                <w:rFonts w:ascii="仿宋_GB2312" w:hAnsi="仿宋_GB2312" w:eastAsia="仿宋_GB2312" w:cs="仿宋_GB2312"/>
              </w:rPr>
              <w:t>品目预算(元)</w:t>
            </w:r>
          </w:p>
        </w:tc>
      </w:tr>
      <w:tr w14:paraId="61D692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51" w:type="dxa"/>
            <w:vAlign w:val="center"/>
          </w:tcPr>
          <w:p w14:paraId="41511931">
            <w:pPr>
              <w:pStyle w:val="32"/>
              <w:keepNext w:val="0"/>
              <w:keepLines w:val="0"/>
              <w:pageBreakBefore w:val="0"/>
              <w:widowControl/>
              <w:kinsoku/>
              <w:wordWrap/>
              <w:overflowPunct/>
              <w:topLinePunct w:val="0"/>
              <w:autoSpaceDE/>
              <w:autoSpaceDN/>
              <w:bidi w:val="0"/>
              <w:adjustRightInd/>
              <w:snapToGrid/>
              <w:spacing w:line="400" w:lineRule="exact"/>
              <w:jc w:val="center"/>
              <w:textAlignment w:val="auto"/>
            </w:pPr>
            <w:r>
              <w:rPr>
                <w:rFonts w:ascii="仿宋_GB2312" w:hAnsi="仿宋_GB2312" w:eastAsia="仿宋_GB2312" w:cs="仿宋_GB2312"/>
              </w:rPr>
              <w:t>1-1</w:t>
            </w:r>
          </w:p>
        </w:tc>
        <w:tc>
          <w:tcPr>
            <w:tcW w:w="1551" w:type="dxa"/>
            <w:vAlign w:val="center"/>
          </w:tcPr>
          <w:p w14:paraId="4A088C12">
            <w:pPr>
              <w:pStyle w:val="32"/>
              <w:keepNext w:val="0"/>
              <w:keepLines w:val="0"/>
              <w:pageBreakBefore w:val="0"/>
              <w:widowControl/>
              <w:kinsoku/>
              <w:wordWrap/>
              <w:overflowPunct/>
              <w:topLinePunct w:val="0"/>
              <w:autoSpaceDE/>
              <w:autoSpaceDN/>
              <w:bidi w:val="0"/>
              <w:adjustRightInd/>
              <w:snapToGrid/>
              <w:spacing w:line="400" w:lineRule="exact"/>
              <w:jc w:val="center"/>
              <w:textAlignment w:val="auto"/>
            </w:pPr>
            <w:r>
              <w:rPr>
                <w:rFonts w:ascii="仿宋_GB2312" w:hAnsi="仿宋_GB2312" w:eastAsia="仿宋_GB2312" w:cs="仿宋_GB2312"/>
              </w:rPr>
              <w:t>数据加工处理服务</w:t>
            </w:r>
          </w:p>
        </w:tc>
        <w:tc>
          <w:tcPr>
            <w:tcW w:w="1551" w:type="dxa"/>
            <w:vAlign w:val="center"/>
          </w:tcPr>
          <w:p w14:paraId="79A79167">
            <w:pPr>
              <w:pStyle w:val="32"/>
              <w:keepNext w:val="0"/>
              <w:keepLines w:val="0"/>
              <w:pageBreakBefore w:val="0"/>
              <w:widowControl/>
              <w:kinsoku/>
              <w:wordWrap/>
              <w:overflowPunct/>
              <w:topLinePunct w:val="0"/>
              <w:autoSpaceDE/>
              <w:autoSpaceDN/>
              <w:bidi w:val="0"/>
              <w:adjustRightInd/>
              <w:snapToGrid/>
              <w:spacing w:line="400" w:lineRule="exact"/>
              <w:jc w:val="center"/>
              <w:textAlignment w:val="auto"/>
            </w:pPr>
            <w:r>
              <w:rPr>
                <w:rFonts w:ascii="仿宋_GB2312" w:hAnsi="仿宋_GB2312" w:eastAsia="仿宋_GB2312" w:cs="仿宋_GB2312"/>
              </w:rPr>
              <w:t>专项成果技术服务</w:t>
            </w:r>
          </w:p>
        </w:tc>
        <w:tc>
          <w:tcPr>
            <w:tcW w:w="1551" w:type="dxa"/>
            <w:vAlign w:val="center"/>
          </w:tcPr>
          <w:p w14:paraId="3A7B8B5E">
            <w:pPr>
              <w:pStyle w:val="32"/>
              <w:keepNext w:val="0"/>
              <w:keepLines w:val="0"/>
              <w:pageBreakBefore w:val="0"/>
              <w:widowControl/>
              <w:kinsoku/>
              <w:wordWrap/>
              <w:overflowPunct/>
              <w:topLinePunct w:val="0"/>
              <w:autoSpaceDE/>
              <w:autoSpaceDN/>
              <w:bidi w:val="0"/>
              <w:adjustRightInd/>
              <w:snapToGrid/>
              <w:spacing w:line="400" w:lineRule="exact"/>
              <w:jc w:val="center"/>
              <w:textAlignment w:val="auto"/>
            </w:pPr>
            <w:r>
              <w:rPr>
                <w:rFonts w:ascii="仿宋_GB2312" w:hAnsi="仿宋_GB2312" w:eastAsia="仿宋_GB2312" w:cs="仿宋_GB2312"/>
              </w:rPr>
              <w:t>1(项)</w:t>
            </w:r>
          </w:p>
        </w:tc>
        <w:tc>
          <w:tcPr>
            <w:tcW w:w="1551" w:type="dxa"/>
            <w:vAlign w:val="center"/>
          </w:tcPr>
          <w:p w14:paraId="7921E369">
            <w:pPr>
              <w:pStyle w:val="32"/>
              <w:keepNext w:val="0"/>
              <w:keepLines w:val="0"/>
              <w:pageBreakBefore w:val="0"/>
              <w:widowControl/>
              <w:kinsoku/>
              <w:wordWrap/>
              <w:overflowPunct/>
              <w:topLinePunct w:val="0"/>
              <w:autoSpaceDE/>
              <w:autoSpaceDN/>
              <w:bidi w:val="0"/>
              <w:adjustRightInd/>
              <w:snapToGrid/>
              <w:spacing w:line="400" w:lineRule="exact"/>
              <w:jc w:val="center"/>
              <w:textAlignment w:val="auto"/>
            </w:pPr>
            <w:r>
              <w:rPr>
                <w:rFonts w:ascii="仿宋_GB2312" w:hAnsi="仿宋_GB2312" w:eastAsia="仿宋_GB2312" w:cs="仿宋_GB2312"/>
              </w:rPr>
              <w:t>详见采购文件</w:t>
            </w:r>
          </w:p>
        </w:tc>
        <w:tc>
          <w:tcPr>
            <w:tcW w:w="1551" w:type="dxa"/>
            <w:vAlign w:val="center"/>
          </w:tcPr>
          <w:p w14:paraId="7416D2CA">
            <w:pPr>
              <w:pStyle w:val="32"/>
              <w:keepNext w:val="0"/>
              <w:keepLines w:val="0"/>
              <w:pageBreakBefore w:val="0"/>
              <w:widowControl/>
              <w:kinsoku/>
              <w:wordWrap/>
              <w:overflowPunct/>
              <w:topLinePunct w:val="0"/>
              <w:autoSpaceDE/>
              <w:autoSpaceDN/>
              <w:bidi w:val="0"/>
              <w:adjustRightInd/>
              <w:snapToGrid/>
              <w:spacing w:line="400" w:lineRule="exact"/>
              <w:jc w:val="center"/>
              <w:textAlignment w:val="auto"/>
            </w:pPr>
            <w:r>
              <w:rPr>
                <w:rFonts w:ascii="仿宋_GB2312" w:hAnsi="仿宋_GB2312" w:eastAsia="仿宋_GB2312" w:cs="仿宋_GB2312"/>
              </w:rPr>
              <w:t>300,000.00</w:t>
            </w:r>
          </w:p>
        </w:tc>
      </w:tr>
    </w:tbl>
    <w:p w14:paraId="746E3E4A">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 xml:space="preserve"> 本合同包不接受联合体投标</w:t>
      </w:r>
    </w:p>
    <w:p w14:paraId="08805E0F">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 xml:space="preserve"> 合同履行期限：验收合格后质保期满</w:t>
      </w:r>
    </w:p>
    <w:p w14:paraId="7DFB6B9C">
      <w:pPr>
        <w:pStyle w:val="32"/>
        <w:keepNext w:val="0"/>
        <w:keepLines w:val="0"/>
        <w:pageBreakBefore w:val="0"/>
        <w:widowControl/>
        <w:kinsoku/>
        <w:wordWrap/>
        <w:overflowPunct/>
        <w:topLinePunct w:val="0"/>
        <w:autoSpaceDE/>
        <w:autoSpaceDN/>
        <w:bidi w:val="0"/>
        <w:adjustRightInd/>
        <w:snapToGrid/>
        <w:spacing w:line="400" w:lineRule="exact"/>
        <w:textAlignment w:val="auto"/>
        <w:outlineLvl w:val="3"/>
      </w:pPr>
      <w:r>
        <w:rPr>
          <w:rFonts w:ascii="仿宋_GB2312" w:hAnsi="仿宋_GB2312" w:eastAsia="仿宋_GB2312" w:cs="仿宋_GB2312"/>
          <w:b/>
          <w:sz w:val="24"/>
        </w:rPr>
        <w:t>二、申请人的资格要求：</w:t>
      </w:r>
    </w:p>
    <w:p w14:paraId="437BFC59">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1.满足《中华人民共和国政府采购法》第二十二条规定;</w:t>
      </w:r>
    </w:p>
    <w:p w14:paraId="71CE21B9">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2.落实政府采购政策需满足的资格要求：</w:t>
      </w:r>
    </w:p>
    <w:p w14:paraId="6628CBFF">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合同包1(陕西省草原和湿地省级技术支撑服务项目)落实政府采购政策需满足的资格要求如下:</w:t>
      </w:r>
    </w:p>
    <w:p w14:paraId="38BB1B74">
      <w:pPr>
        <w:pStyle w:val="32"/>
        <w:keepNext w:val="0"/>
        <w:keepLines w:val="0"/>
        <w:pageBreakBefore w:val="0"/>
        <w:widowControl/>
        <w:kinsoku/>
        <w:wordWrap/>
        <w:overflowPunct/>
        <w:topLinePunct w:val="0"/>
        <w:autoSpaceDE/>
        <w:autoSpaceDN/>
        <w:bidi w:val="0"/>
        <w:adjustRightInd/>
        <w:snapToGrid/>
        <w:spacing w:line="400" w:lineRule="exact"/>
        <w:ind w:left="399" w:leftChars="190" w:firstLine="0" w:firstLineChars="0"/>
        <w:textAlignment w:val="auto"/>
      </w:pPr>
      <w:r>
        <w:rPr>
          <w:rFonts w:ascii="仿宋_GB2312" w:hAnsi="仿宋_GB2312" w:eastAsia="仿宋_GB2312" w:cs="仿宋_GB2312"/>
        </w:rPr>
        <w:t>（1）《政府采购促进中小企业发展管理办法》的通知--财库〔2020〕46号；</w:t>
      </w:r>
      <w:r>
        <w:br w:type="textWrapping"/>
      </w:r>
      <w:r>
        <w:rPr>
          <w:rFonts w:ascii="仿宋_GB2312" w:hAnsi="仿宋_GB2312" w:eastAsia="仿宋_GB2312" w:cs="仿宋_GB2312"/>
        </w:rPr>
        <w:t xml:space="preserve">（2）财政部司法部关于政府采购支持监狱企业发展有关问题的通知--财库[2014]68号； </w:t>
      </w:r>
      <w:r>
        <w:br w:type="textWrapping"/>
      </w:r>
      <w:r>
        <w:rPr>
          <w:rFonts w:ascii="仿宋_GB2312" w:hAnsi="仿宋_GB2312" w:eastAsia="仿宋_GB2312" w:cs="仿宋_GB2312"/>
        </w:rPr>
        <w:t>（3）《三部门联合发布关于促进残疾人就业政府采购政策的通知》（财库〔2017〕141号）；</w:t>
      </w:r>
      <w:r>
        <w:br w:type="textWrapping"/>
      </w:r>
      <w:r>
        <w:rPr>
          <w:rFonts w:ascii="仿宋_GB2312" w:hAnsi="仿宋_GB2312" w:eastAsia="仿宋_GB2312" w:cs="仿宋_GB2312"/>
        </w:rPr>
        <w:t>（4）《财政部 发展改革委 生态环境部 市场监管总局关于调整优化节能产品、环境标志产品政府采购执行机制的通知》（财库〔2019〕9号）；</w:t>
      </w:r>
      <w:r>
        <w:br w:type="textWrapping"/>
      </w:r>
      <w:r>
        <w:rPr>
          <w:rFonts w:ascii="仿宋_GB2312" w:hAnsi="仿宋_GB2312" w:eastAsia="仿宋_GB2312" w:cs="仿宋_GB2312"/>
        </w:rPr>
        <w:t>（5）《关于运用政府采购政策支持乡村产业振兴的通知》（财库〔2021〕19号）；</w:t>
      </w:r>
      <w:r>
        <w:br w:type="textWrapping"/>
      </w:r>
      <w:r>
        <w:rPr>
          <w:rFonts w:ascii="仿宋_GB2312" w:hAnsi="仿宋_GB2312" w:eastAsia="仿宋_GB2312" w:cs="仿宋_GB2312"/>
        </w:rPr>
        <w:t>（6）陕西省财政厅关于印发《陕西省中小企业政府采购信用融资办法》（陕财办采〔2018〕23号）；</w:t>
      </w:r>
      <w:r>
        <w:br w:type="textWrapping"/>
      </w:r>
      <w:r>
        <w:rPr>
          <w:rFonts w:ascii="仿宋_GB2312" w:hAnsi="仿宋_GB2312" w:eastAsia="仿宋_GB2312" w:cs="仿宋_GB2312"/>
        </w:rPr>
        <w:t>（7）《关于进一步加大政府采购支持中小企业力度的通知》（财库〔2022〕19号）；</w:t>
      </w:r>
      <w:r>
        <w:br w:type="textWrapping"/>
      </w:r>
      <w:r>
        <w:rPr>
          <w:rFonts w:ascii="仿宋_GB2312" w:hAnsi="仿宋_GB2312" w:eastAsia="仿宋_GB2312" w:cs="仿宋_GB2312"/>
        </w:rPr>
        <w:t>（8）《关于扩大政府采购支持绿色建材促进建筑品质提升政策实施范围的通知》（财库〔2022〕35号）；</w:t>
      </w:r>
      <w:r>
        <w:br w:type="textWrapping"/>
      </w:r>
      <w:r>
        <w:rPr>
          <w:rFonts w:ascii="仿宋_GB2312" w:hAnsi="仿宋_GB2312" w:eastAsia="仿宋_GB2312" w:cs="仿宋_GB2312"/>
        </w:rPr>
        <w:t>（9）《关于推动解决政府采购异常低价问题的通知》财库〔2026〕2号；</w:t>
      </w:r>
      <w:r>
        <w:br w:type="textWrapping"/>
      </w:r>
      <w:r>
        <w:rPr>
          <w:rFonts w:ascii="仿宋_GB2312" w:hAnsi="仿宋_GB2312" w:eastAsia="仿宋_GB2312" w:cs="仿宋_GB2312"/>
        </w:rPr>
        <w:t>（10）《国务院办公厅关于在政府采购中实施本国产品标准及相关政策的通知》国办发〔2025〕34号；</w:t>
      </w:r>
      <w:r>
        <w:br w:type="textWrapping"/>
      </w:r>
      <w:r>
        <w:rPr>
          <w:rFonts w:ascii="仿宋_GB2312" w:hAnsi="仿宋_GB2312" w:eastAsia="仿宋_GB2312" w:cs="仿宋_GB2312"/>
        </w:rPr>
        <w:t>（11） 若享受以上政策优惠的企业，提供相应声明函或品目范围内产品有效认证证书。如有最新颁布的政府采购政策，按最新的文件执行；</w:t>
      </w:r>
    </w:p>
    <w:p w14:paraId="4E650447">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3.本项目的特定资格要求：</w:t>
      </w:r>
    </w:p>
    <w:p w14:paraId="1FB2B794">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合同包1(陕西省草原和湿地省级技术支撑服务项目)特定资格要求如下:</w:t>
      </w:r>
    </w:p>
    <w:p w14:paraId="60D49D0A">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 xml:space="preserve">（1）具有独立承担民事责任能力的法人、其他组织或自然人，并出具合法有效的营业执照或事业单位法人证书等国家规定的相关证明，自然人参与的提供其身份证明。 </w:t>
      </w:r>
      <w:r>
        <w:br w:type="textWrapping"/>
      </w:r>
      <w:r>
        <w:rPr>
          <w:rFonts w:hint="eastAsia"/>
          <w:lang w:val="en-US" w:eastAsia="zh-CN"/>
        </w:rPr>
        <w:t xml:space="preserve">    </w:t>
      </w:r>
      <w:r>
        <w:rPr>
          <w:rFonts w:ascii="仿宋_GB2312" w:hAnsi="仿宋_GB2312" w:eastAsia="仿宋_GB2312" w:cs="仿宋_GB2312"/>
        </w:rPr>
        <w:t>（2）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r>
        <w:br w:type="textWrapping"/>
      </w:r>
      <w:r>
        <w:rPr>
          <w:rFonts w:hint="eastAsia"/>
          <w:lang w:val="en-US" w:eastAsia="zh-CN"/>
        </w:rPr>
        <w:t xml:space="preserve">    </w:t>
      </w:r>
      <w:r>
        <w:rPr>
          <w:rFonts w:ascii="仿宋_GB2312" w:hAnsi="仿宋_GB2312" w:eastAsia="仿宋_GB2312" w:cs="仿宋_GB2312"/>
        </w:rPr>
        <w:t>（3）税收缴纳证明：提供2025年1月至今已缴纳至少一个月的依法缴纳税款的相关凭据（时间以税款所属日期为准），凭据应有税务机关或代收机关的公章或业务专用章。依法免税或无须缴纳税款的供应商，应提供相关证明文件。</w:t>
      </w:r>
      <w:r>
        <w:br w:type="textWrapping"/>
      </w:r>
      <w:r>
        <w:rPr>
          <w:rFonts w:hint="eastAsia"/>
          <w:lang w:val="en-US" w:eastAsia="zh-CN"/>
        </w:rPr>
        <w:t xml:space="preserve">    </w:t>
      </w:r>
      <w:r>
        <w:rPr>
          <w:rFonts w:ascii="仿宋_GB2312" w:hAnsi="仿宋_GB2312" w:eastAsia="仿宋_GB2312" w:cs="仿宋_GB2312"/>
        </w:rPr>
        <w:t xml:space="preserve">（4）社会保障资金缴纳证明：提供2025年1月至今已缴存的至少一个月的社会保障资金缴存单据或社保机构开具的社会保险参保缴费情况证明，依法不需要缴纳社会保障资金的单位应提供相关证明材料。 </w:t>
      </w:r>
      <w:r>
        <w:br w:type="textWrapping"/>
      </w:r>
      <w:r>
        <w:rPr>
          <w:rFonts w:hint="eastAsia"/>
          <w:lang w:val="en-US" w:eastAsia="zh-CN"/>
        </w:rPr>
        <w:t xml:space="preserve">    </w:t>
      </w:r>
      <w:r>
        <w:rPr>
          <w:rFonts w:ascii="仿宋_GB2312" w:hAnsi="仿宋_GB2312" w:eastAsia="仿宋_GB2312" w:cs="仿宋_GB2312"/>
        </w:rPr>
        <w:t>（5）书面声明：参加本次政府采购活动前三年内在经营活动中没有重大违法记录，以及未被列入失信被执行人、重大税收违法失信主体、严重失信主体名单的书面声明。本项目拒绝被列入失信被执行人、重大税收违法失信主体、严重失信主体的供应商参与。</w:t>
      </w:r>
      <w:r>
        <w:br w:type="textWrapping"/>
      </w:r>
      <w:r>
        <w:rPr>
          <w:rFonts w:hint="eastAsia"/>
          <w:lang w:val="en-US" w:eastAsia="zh-CN"/>
        </w:rPr>
        <w:t xml:space="preserve">    </w:t>
      </w:r>
      <w:r>
        <w:rPr>
          <w:rFonts w:ascii="仿宋_GB2312" w:hAnsi="仿宋_GB2312" w:eastAsia="仿宋_GB2312" w:cs="仿宋_GB2312"/>
        </w:rPr>
        <w:t xml:space="preserve">（6）提供具有履行合同所必需的设备和专业技术能力的承诺函。 </w:t>
      </w:r>
      <w:r>
        <w:br w:type="textWrapping"/>
      </w:r>
      <w:r>
        <w:rPr>
          <w:rFonts w:hint="eastAsia"/>
          <w:lang w:val="en-US" w:eastAsia="zh-CN"/>
        </w:rPr>
        <w:t xml:space="preserve">    </w:t>
      </w:r>
      <w:r>
        <w:rPr>
          <w:rFonts w:ascii="仿宋_GB2312" w:hAnsi="仿宋_GB2312" w:eastAsia="仿宋_GB2312" w:cs="仿宋_GB2312"/>
        </w:rPr>
        <w:t>（7）法定代表人授权书及被授权人身份证。（法定代表人直接参与磋商只须提交其身份证原件）</w:t>
      </w:r>
      <w:r>
        <w:br w:type="textWrapping"/>
      </w:r>
      <w:r>
        <w:rPr>
          <w:rFonts w:hint="eastAsia"/>
          <w:lang w:val="en-US" w:eastAsia="zh-CN"/>
        </w:rPr>
        <w:t xml:space="preserve">    </w:t>
      </w:r>
      <w:r>
        <w:rPr>
          <w:rFonts w:ascii="仿宋_GB2312" w:hAnsi="仿宋_GB2312" w:eastAsia="仿宋_GB2312" w:cs="仿宋_GB2312"/>
        </w:rPr>
        <w:t>（8）提供中小企业声明函。（本项目为非专门面向中、小、微型企业采购项目）</w:t>
      </w:r>
    </w:p>
    <w:p w14:paraId="549F13C7">
      <w:pPr>
        <w:pStyle w:val="32"/>
        <w:keepNext w:val="0"/>
        <w:keepLines w:val="0"/>
        <w:pageBreakBefore w:val="0"/>
        <w:widowControl/>
        <w:kinsoku/>
        <w:wordWrap/>
        <w:overflowPunct/>
        <w:topLinePunct w:val="0"/>
        <w:autoSpaceDE/>
        <w:autoSpaceDN/>
        <w:bidi w:val="0"/>
        <w:adjustRightInd/>
        <w:snapToGrid/>
        <w:spacing w:line="400" w:lineRule="exact"/>
        <w:textAlignment w:val="auto"/>
        <w:outlineLvl w:val="3"/>
      </w:pPr>
      <w:r>
        <w:rPr>
          <w:rFonts w:ascii="仿宋_GB2312" w:hAnsi="仿宋_GB2312" w:eastAsia="仿宋_GB2312" w:cs="仿宋_GB2312"/>
          <w:b/>
          <w:sz w:val="24"/>
        </w:rPr>
        <w:t>三、获取采购文件</w:t>
      </w:r>
    </w:p>
    <w:p w14:paraId="7C5158A0">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时间： 2026年06月17日 至 2026年06月24日 ，每天上午 09:00:00 至 12:00:00 ，下午 14:00:00 至 17:00:00 （北京时间）</w:t>
      </w:r>
    </w:p>
    <w:p w14:paraId="6B9AA22B">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rPr>
          <w:rFonts w:hint="eastAsia" w:eastAsia="仿宋_GB2312"/>
          <w:lang w:eastAsia="zh-CN"/>
        </w:rPr>
      </w:pPr>
      <w:r>
        <w:rPr>
          <w:rFonts w:ascii="仿宋_GB2312" w:hAnsi="仿宋_GB2312" w:eastAsia="仿宋_GB2312" w:cs="仿宋_GB2312"/>
        </w:rPr>
        <w:t>途径：</w:t>
      </w:r>
      <w:r>
        <w:rPr>
          <w:rFonts w:hint="eastAsia" w:ascii="仿宋_GB2312" w:hAnsi="仿宋_GB2312" w:eastAsia="仿宋_GB2312" w:cs="仿宋_GB2312"/>
          <w:lang w:eastAsia="zh-CN"/>
        </w:rPr>
        <w:t>西安市莲湖区西关正街58号英达大厦</w:t>
      </w:r>
      <w:r>
        <w:rPr>
          <w:rFonts w:hint="eastAsia" w:ascii="仿宋_GB2312" w:hAnsi="仿宋_GB2312" w:eastAsia="仿宋_GB2312" w:cs="仿宋_GB2312"/>
          <w:lang w:val="en-US" w:eastAsia="zh-CN"/>
        </w:rPr>
        <w:t>809</w:t>
      </w:r>
      <w:r>
        <w:rPr>
          <w:rFonts w:hint="eastAsia" w:ascii="仿宋_GB2312" w:hAnsi="仿宋_GB2312" w:eastAsia="仿宋_GB2312" w:cs="仿宋_GB2312"/>
          <w:lang w:eastAsia="zh-CN"/>
        </w:rPr>
        <w:t>号</w:t>
      </w:r>
    </w:p>
    <w:p w14:paraId="0A2E6483">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方式：现场获取</w:t>
      </w:r>
    </w:p>
    <w:p w14:paraId="7D659B9E">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售价： 500元</w:t>
      </w:r>
    </w:p>
    <w:p w14:paraId="0E5E1222">
      <w:pPr>
        <w:pStyle w:val="32"/>
        <w:keepNext w:val="0"/>
        <w:keepLines w:val="0"/>
        <w:pageBreakBefore w:val="0"/>
        <w:widowControl/>
        <w:kinsoku/>
        <w:wordWrap/>
        <w:overflowPunct/>
        <w:topLinePunct w:val="0"/>
        <w:autoSpaceDE/>
        <w:autoSpaceDN/>
        <w:bidi w:val="0"/>
        <w:adjustRightInd/>
        <w:snapToGrid/>
        <w:spacing w:line="400" w:lineRule="exact"/>
        <w:textAlignment w:val="auto"/>
        <w:outlineLvl w:val="3"/>
      </w:pPr>
      <w:r>
        <w:rPr>
          <w:rFonts w:ascii="仿宋_GB2312" w:hAnsi="仿宋_GB2312" w:eastAsia="仿宋_GB2312" w:cs="仿宋_GB2312"/>
          <w:b/>
          <w:sz w:val="24"/>
        </w:rPr>
        <w:t>四、响应文件提交</w:t>
      </w:r>
    </w:p>
    <w:p w14:paraId="7842B3EF">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截止时间： 2026年06月29日 09时00分00秒 （北京时间）</w:t>
      </w:r>
    </w:p>
    <w:p w14:paraId="555B19A8">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rPr>
          <w:rFonts w:hint="eastAsia" w:eastAsia="仿宋_GB2312"/>
          <w:lang w:eastAsia="zh-CN"/>
        </w:rPr>
      </w:pPr>
      <w:r>
        <w:rPr>
          <w:rFonts w:ascii="仿宋_GB2312" w:hAnsi="仿宋_GB2312" w:eastAsia="仿宋_GB2312" w:cs="仿宋_GB2312"/>
        </w:rPr>
        <w:t>地点：</w:t>
      </w:r>
      <w:r>
        <w:rPr>
          <w:rFonts w:hint="eastAsia" w:ascii="仿宋_GB2312" w:hAnsi="仿宋_GB2312" w:eastAsia="仿宋_GB2312" w:cs="仿宋_GB2312"/>
          <w:lang w:eastAsia="zh-CN"/>
        </w:rPr>
        <w:t>西安市莲湖区西关正街58号英达大厦</w:t>
      </w:r>
      <w:r>
        <w:rPr>
          <w:rFonts w:hint="eastAsia" w:ascii="仿宋_GB2312" w:hAnsi="仿宋_GB2312" w:eastAsia="仿宋_GB2312" w:cs="仿宋_GB2312"/>
          <w:lang w:val="en-US" w:eastAsia="zh-CN"/>
        </w:rPr>
        <w:t>809</w:t>
      </w:r>
      <w:r>
        <w:rPr>
          <w:rFonts w:hint="eastAsia" w:ascii="仿宋_GB2312" w:hAnsi="仿宋_GB2312" w:eastAsia="仿宋_GB2312" w:cs="仿宋_GB2312"/>
          <w:lang w:eastAsia="zh-CN"/>
        </w:rPr>
        <w:t>号</w:t>
      </w:r>
    </w:p>
    <w:p w14:paraId="64322091">
      <w:pPr>
        <w:pStyle w:val="32"/>
        <w:keepNext w:val="0"/>
        <w:keepLines w:val="0"/>
        <w:pageBreakBefore w:val="0"/>
        <w:widowControl/>
        <w:kinsoku/>
        <w:wordWrap/>
        <w:overflowPunct/>
        <w:topLinePunct w:val="0"/>
        <w:autoSpaceDE/>
        <w:autoSpaceDN/>
        <w:bidi w:val="0"/>
        <w:adjustRightInd/>
        <w:snapToGrid/>
        <w:spacing w:line="400" w:lineRule="exact"/>
        <w:textAlignment w:val="auto"/>
        <w:outlineLvl w:val="3"/>
      </w:pPr>
      <w:r>
        <w:rPr>
          <w:rFonts w:ascii="仿宋_GB2312" w:hAnsi="仿宋_GB2312" w:eastAsia="仿宋_GB2312" w:cs="仿宋_GB2312"/>
          <w:b/>
          <w:sz w:val="24"/>
        </w:rPr>
        <w:t>五、开启</w:t>
      </w:r>
    </w:p>
    <w:p w14:paraId="3973428F">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时间： 2026年06月29日 09时00分00秒 （北京时间）</w:t>
      </w:r>
    </w:p>
    <w:p w14:paraId="287EB9A6">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rPr>
          <w:rFonts w:hint="eastAsia" w:eastAsia="仿宋_GB2312"/>
          <w:lang w:eastAsia="zh-CN"/>
        </w:rPr>
      </w:pPr>
      <w:r>
        <w:rPr>
          <w:rFonts w:ascii="仿宋_GB2312" w:hAnsi="仿宋_GB2312" w:eastAsia="仿宋_GB2312" w:cs="仿宋_GB2312"/>
        </w:rPr>
        <w:t>地点：</w:t>
      </w:r>
      <w:r>
        <w:rPr>
          <w:rFonts w:hint="eastAsia" w:ascii="仿宋_GB2312" w:hAnsi="仿宋_GB2312" w:eastAsia="仿宋_GB2312" w:cs="仿宋_GB2312"/>
          <w:lang w:eastAsia="zh-CN"/>
        </w:rPr>
        <w:t>陕西省西安市莲湖区陕西省西安市莲湖区西关正街58号英达大厦</w:t>
      </w:r>
      <w:r>
        <w:rPr>
          <w:rFonts w:hint="eastAsia" w:ascii="仿宋_GB2312" w:hAnsi="仿宋_GB2312" w:eastAsia="仿宋_GB2312" w:cs="仿宋_GB2312"/>
          <w:lang w:val="en-US" w:eastAsia="zh-CN"/>
        </w:rPr>
        <w:t>809</w:t>
      </w:r>
      <w:r>
        <w:rPr>
          <w:rFonts w:hint="eastAsia" w:ascii="仿宋_GB2312" w:hAnsi="仿宋_GB2312" w:eastAsia="仿宋_GB2312" w:cs="仿宋_GB2312"/>
          <w:lang w:eastAsia="zh-CN"/>
        </w:rPr>
        <w:t>号</w:t>
      </w:r>
    </w:p>
    <w:p w14:paraId="6801FDE7">
      <w:pPr>
        <w:pStyle w:val="32"/>
        <w:keepNext w:val="0"/>
        <w:keepLines w:val="0"/>
        <w:pageBreakBefore w:val="0"/>
        <w:widowControl/>
        <w:kinsoku/>
        <w:wordWrap/>
        <w:overflowPunct/>
        <w:topLinePunct w:val="0"/>
        <w:autoSpaceDE/>
        <w:autoSpaceDN/>
        <w:bidi w:val="0"/>
        <w:adjustRightInd/>
        <w:snapToGrid/>
        <w:spacing w:line="400" w:lineRule="exact"/>
        <w:textAlignment w:val="auto"/>
        <w:outlineLvl w:val="3"/>
      </w:pPr>
      <w:r>
        <w:rPr>
          <w:rFonts w:ascii="仿宋_GB2312" w:hAnsi="仿宋_GB2312" w:eastAsia="仿宋_GB2312" w:cs="仿宋_GB2312"/>
          <w:b/>
          <w:sz w:val="24"/>
        </w:rPr>
        <w:t>六、公告期限</w:t>
      </w:r>
    </w:p>
    <w:p w14:paraId="1B4584FD">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自本公告发布之日起3个工作日。</w:t>
      </w:r>
    </w:p>
    <w:p w14:paraId="5E539443">
      <w:pPr>
        <w:pStyle w:val="32"/>
        <w:keepNext w:val="0"/>
        <w:keepLines w:val="0"/>
        <w:pageBreakBefore w:val="0"/>
        <w:widowControl/>
        <w:kinsoku/>
        <w:wordWrap/>
        <w:overflowPunct/>
        <w:topLinePunct w:val="0"/>
        <w:autoSpaceDE/>
        <w:autoSpaceDN/>
        <w:bidi w:val="0"/>
        <w:adjustRightInd/>
        <w:snapToGrid/>
        <w:spacing w:line="400" w:lineRule="exact"/>
        <w:textAlignment w:val="auto"/>
        <w:outlineLvl w:val="3"/>
      </w:pPr>
      <w:r>
        <w:rPr>
          <w:rFonts w:ascii="仿宋_GB2312" w:hAnsi="仿宋_GB2312" w:eastAsia="仿宋_GB2312" w:cs="仿宋_GB2312"/>
          <w:b/>
          <w:sz w:val="24"/>
        </w:rPr>
        <w:t>七、其他补充事宜</w:t>
      </w:r>
    </w:p>
    <w:p w14:paraId="227C3216">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请扫描单位介绍信和经办人身份证加盖公章发送至sxzhzb@163.com邮箱获取竞争性磋商文件，邮件标题命名格式为“联系电话+项目名称”。</w:t>
      </w:r>
    </w:p>
    <w:p w14:paraId="75AFD480">
      <w:pPr>
        <w:pStyle w:val="32"/>
        <w:keepNext w:val="0"/>
        <w:keepLines w:val="0"/>
        <w:pageBreakBefore w:val="0"/>
        <w:widowControl/>
        <w:kinsoku/>
        <w:wordWrap/>
        <w:overflowPunct/>
        <w:topLinePunct w:val="0"/>
        <w:autoSpaceDE/>
        <w:autoSpaceDN/>
        <w:bidi w:val="0"/>
        <w:adjustRightInd/>
        <w:snapToGrid/>
        <w:spacing w:line="400" w:lineRule="exact"/>
        <w:textAlignment w:val="auto"/>
        <w:outlineLvl w:val="3"/>
      </w:pPr>
      <w:r>
        <w:rPr>
          <w:rFonts w:ascii="仿宋_GB2312" w:hAnsi="仿宋_GB2312" w:eastAsia="仿宋_GB2312" w:cs="仿宋_GB2312"/>
          <w:b/>
          <w:sz w:val="24"/>
        </w:rPr>
        <w:t>八、对本次招标提出询问，请按以下方式联系。</w:t>
      </w:r>
    </w:p>
    <w:p w14:paraId="15ACFA00">
      <w:pPr>
        <w:pStyle w:val="32"/>
        <w:keepNext w:val="0"/>
        <w:keepLines w:val="0"/>
        <w:pageBreakBefore w:val="0"/>
        <w:widowControl/>
        <w:kinsoku/>
        <w:wordWrap/>
        <w:overflowPunct/>
        <w:topLinePunct w:val="0"/>
        <w:autoSpaceDE/>
        <w:autoSpaceDN/>
        <w:bidi w:val="0"/>
        <w:adjustRightInd/>
        <w:snapToGrid/>
        <w:spacing w:line="400" w:lineRule="exact"/>
        <w:ind w:left="0" w:firstLine="301" w:firstLineChars="200"/>
        <w:textAlignment w:val="auto"/>
        <w:outlineLvl w:val="5"/>
      </w:pPr>
      <w:r>
        <w:rPr>
          <w:rFonts w:ascii="仿宋_GB2312" w:hAnsi="仿宋_GB2312" w:eastAsia="仿宋_GB2312" w:cs="仿宋_GB2312"/>
          <w:b/>
          <w:sz w:val="15"/>
        </w:rPr>
        <w:t>1.采购人信息</w:t>
      </w:r>
    </w:p>
    <w:p w14:paraId="351C8AE9">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名称：陕西省林业调查规划院（陕西省森林资源监测中心）</w:t>
      </w:r>
    </w:p>
    <w:p w14:paraId="15A344BD">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地址：西安市西关正街233号</w:t>
      </w:r>
    </w:p>
    <w:p w14:paraId="4BCBD23F">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联系方式：02988652092</w:t>
      </w:r>
    </w:p>
    <w:p w14:paraId="48174336">
      <w:pPr>
        <w:pStyle w:val="32"/>
        <w:keepNext w:val="0"/>
        <w:keepLines w:val="0"/>
        <w:pageBreakBefore w:val="0"/>
        <w:widowControl/>
        <w:kinsoku/>
        <w:wordWrap/>
        <w:overflowPunct/>
        <w:topLinePunct w:val="0"/>
        <w:autoSpaceDE/>
        <w:autoSpaceDN/>
        <w:bidi w:val="0"/>
        <w:adjustRightInd/>
        <w:snapToGrid/>
        <w:spacing w:line="400" w:lineRule="exact"/>
        <w:ind w:left="0" w:firstLine="301" w:firstLineChars="200"/>
        <w:textAlignment w:val="auto"/>
        <w:outlineLvl w:val="5"/>
      </w:pPr>
      <w:r>
        <w:rPr>
          <w:rFonts w:ascii="仿宋_GB2312" w:hAnsi="仿宋_GB2312" w:eastAsia="仿宋_GB2312" w:cs="仿宋_GB2312"/>
          <w:b/>
          <w:sz w:val="15"/>
        </w:rPr>
        <w:t>2.采购代理机构信息</w:t>
      </w:r>
    </w:p>
    <w:p w14:paraId="73C2B5BD">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名称：陕西中海招标有限公司</w:t>
      </w:r>
    </w:p>
    <w:p w14:paraId="0F109E63">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地址：西安市莲湖区西关正街58号英达大厦</w:t>
      </w:r>
      <w:r>
        <w:rPr>
          <w:rFonts w:hint="eastAsia" w:ascii="仿宋_GB2312" w:hAnsi="仿宋_GB2312" w:eastAsia="仿宋_GB2312" w:cs="仿宋_GB2312"/>
          <w:lang w:val="en-US" w:eastAsia="zh-CN"/>
        </w:rPr>
        <w:t>809</w:t>
      </w:r>
      <w:r>
        <w:rPr>
          <w:rFonts w:ascii="仿宋_GB2312" w:hAnsi="仿宋_GB2312" w:eastAsia="仿宋_GB2312" w:cs="仿宋_GB2312"/>
        </w:rPr>
        <w:t>号</w:t>
      </w:r>
    </w:p>
    <w:p w14:paraId="0D094427">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联系方式：18602927100</w:t>
      </w:r>
    </w:p>
    <w:p w14:paraId="5E729774">
      <w:pPr>
        <w:pStyle w:val="32"/>
        <w:keepNext w:val="0"/>
        <w:keepLines w:val="0"/>
        <w:pageBreakBefore w:val="0"/>
        <w:widowControl/>
        <w:kinsoku/>
        <w:wordWrap/>
        <w:overflowPunct/>
        <w:topLinePunct w:val="0"/>
        <w:autoSpaceDE/>
        <w:autoSpaceDN/>
        <w:bidi w:val="0"/>
        <w:adjustRightInd/>
        <w:snapToGrid/>
        <w:spacing w:line="400" w:lineRule="exact"/>
        <w:ind w:left="0" w:firstLine="301" w:firstLineChars="200"/>
        <w:textAlignment w:val="auto"/>
        <w:outlineLvl w:val="5"/>
      </w:pPr>
      <w:r>
        <w:rPr>
          <w:rFonts w:ascii="仿宋_GB2312" w:hAnsi="仿宋_GB2312" w:eastAsia="仿宋_GB2312" w:cs="仿宋_GB2312"/>
          <w:b/>
          <w:sz w:val="15"/>
        </w:rPr>
        <w:t>3.项目联系方式</w:t>
      </w:r>
    </w:p>
    <w:p w14:paraId="04EFCD06">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项目联系人：樊静</w:t>
      </w:r>
    </w:p>
    <w:p w14:paraId="3ADD0E96">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textAlignment w:val="auto"/>
      </w:pPr>
      <w:r>
        <w:rPr>
          <w:rFonts w:ascii="仿宋_GB2312" w:hAnsi="仿宋_GB2312" w:eastAsia="仿宋_GB2312" w:cs="仿宋_GB2312"/>
        </w:rPr>
        <w:t>电话：18602927100</w:t>
      </w:r>
    </w:p>
    <w:p w14:paraId="60385E3C">
      <w:pPr>
        <w:pStyle w:val="32"/>
        <w:keepNext w:val="0"/>
        <w:keepLines w:val="0"/>
        <w:pageBreakBefore w:val="0"/>
        <w:widowControl/>
        <w:kinsoku/>
        <w:wordWrap/>
        <w:overflowPunct/>
        <w:topLinePunct w:val="0"/>
        <w:autoSpaceDE/>
        <w:autoSpaceDN/>
        <w:bidi w:val="0"/>
        <w:adjustRightInd/>
        <w:snapToGrid/>
        <w:spacing w:line="400" w:lineRule="exact"/>
        <w:ind w:left="0" w:firstLine="400" w:firstLineChars="200"/>
        <w:jc w:val="right"/>
        <w:textAlignment w:val="auto"/>
      </w:pPr>
      <w:r>
        <w:rPr>
          <w:rFonts w:ascii="仿宋_GB2312" w:hAnsi="仿宋_GB2312" w:eastAsia="仿宋_GB2312" w:cs="仿宋_GB2312"/>
        </w:rPr>
        <w:t>陕西中海招标有限公司</w:t>
      </w:r>
      <w:r>
        <w:br w:type="textWrapping"/>
      </w:r>
    </w:p>
    <w:p w14:paraId="6F36E48D">
      <w:pPr>
        <w:pStyle w:val="32"/>
        <w:rPr>
          <w:rFonts w:hint="eastAsia"/>
          <w:lang w:val="en-US" w:eastAsia="zh-Hans"/>
        </w:rPr>
      </w:pPr>
    </w:p>
    <w:p w14:paraId="267B5A45">
      <w:pPr>
        <w:keepNext w:val="0"/>
        <w:keepLines w:val="0"/>
        <w:pageBreakBefore w:val="0"/>
        <w:widowControl w:val="0"/>
        <w:kinsoku/>
        <w:wordWrap/>
        <w:overflowPunct/>
        <w:topLinePunct w:val="0"/>
        <w:autoSpaceDE/>
        <w:autoSpaceDN/>
        <w:bidi w:val="0"/>
        <w:adjustRightInd/>
        <w:snapToGrid/>
        <w:spacing w:before="139" w:line="360" w:lineRule="auto"/>
        <w:ind w:firstLine="480" w:firstLineChars="200"/>
        <w:textAlignment w:val="auto"/>
        <w:rPr>
          <w:rFonts w:hint="eastAsia"/>
          <w:color w:val="auto"/>
          <w:spacing w:val="0"/>
          <w:sz w:val="24"/>
          <w:szCs w:val="32"/>
          <w:highlight w:val="none"/>
        </w:rPr>
      </w:pPr>
      <w:r>
        <w:rPr>
          <w:rFonts w:hint="eastAsia"/>
          <w:color w:val="auto"/>
          <w:spacing w:val="0"/>
          <w:sz w:val="24"/>
          <w:szCs w:val="32"/>
          <w:highlight w:val="none"/>
        </w:rPr>
        <w:br w:type="page"/>
      </w:r>
    </w:p>
    <w:p w14:paraId="049A2AE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imes New Roman" w:hAnsi="Times New Roman" w:cs="Times New Roman"/>
          <w:b/>
          <w:bCs/>
          <w:color w:val="auto"/>
          <w:spacing w:val="0"/>
          <w:kern w:val="44"/>
          <w:sz w:val="32"/>
          <w:szCs w:val="32"/>
          <w:highlight w:val="none"/>
          <w:lang w:val="en-US" w:eastAsia="zh-CN" w:bidi="ar-SA"/>
        </w:rPr>
      </w:pPr>
      <w:bookmarkStart w:id="14" w:name="_Toc17510"/>
      <w:r>
        <w:rPr>
          <w:rFonts w:hint="eastAsia" w:ascii="Times New Roman" w:hAnsi="Times New Roman" w:cs="Times New Roman"/>
          <w:b/>
          <w:bCs/>
          <w:color w:val="auto"/>
          <w:spacing w:val="0"/>
          <w:kern w:val="44"/>
          <w:sz w:val="32"/>
          <w:szCs w:val="32"/>
          <w:highlight w:val="none"/>
          <w:lang w:val="en-US" w:eastAsia="zh-CN" w:bidi="ar-SA"/>
        </w:rPr>
        <w:t>第二章</w:t>
      </w:r>
      <w:r>
        <w:rPr>
          <w:rFonts w:hint="eastAsia" w:cs="Times New Roman"/>
          <w:b/>
          <w:bCs/>
          <w:color w:val="auto"/>
          <w:spacing w:val="0"/>
          <w:kern w:val="44"/>
          <w:sz w:val="32"/>
          <w:szCs w:val="32"/>
          <w:highlight w:val="none"/>
          <w:lang w:val="en-US" w:eastAsia="zh-CN" w:bidi="ar-SA"/>
        </w:rPr>
        <w:t xml:space="preserve">  </w:t>
      </w:r>
      <w:r>
        <w:rPr>
          <w:rFonts w:hint="eastAsia" w:ascii="Times New Roman" w:hAnsi="Times New Roman" w:cs="Times New Roman"/>
          <w:b/>
          <w:bCs/>
          <w:color w:val="auto"/>
          <w:spacing w:val="0"/>
          <w:kern w:val="44"/>
          <w:sz w:val="32"/>
          <w:szCs w:val="32"/>
          <w:highlight w:val="none"/>
          <w:lang w:val="en-US" w:eastAsia="zh-CN" w:bidi="ar-SA"/>
        </w:rPr>
        <w:t>供应商须知</w:t>
      </w:r>
      <w:bookmarkEnd w:id="14"/>
    </w:p>
    <w:p w14:paraId="3CACE8C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color w:val="auto"/>
          <w:spacing w:val="0"/>
          <w:sz w:val="24"/>
          <w:szCs w:val="32"/>
          <w:highlight w:val="none"/>
          <w:lang w:val="en-US" w:eastAsia="zh-CN"/>
        </w:rPr>
      </w:pPr>
      <w:r>
        <w:rPr>
          <w:rFonts w:hint="eastAsia"/>
          <w:color w:val="auto"/>
          <w:spacing w:val="0"/>
          <w:sz w:val="24"/>
          <w:szCs w:val="32"/>
          <w:highlight w:val="none"/>
          <w:lang w:val="en-US" w:eastAsia="zh-CN"/>
        </w:rPr>
        <w:t>供应商须知前附表</w:t>
      </w:r>
    </w:p>
    <w:tbl>
      <w:tblPr>
        <w:tblStyle w:val="17"/>
        <w:tblW w:w="984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2084"/>
        <w:gridCol w:w="6906"/>
      </w:tblGrid>
      <w:tr w14:paraId="1E65C6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7945C7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序号</w:t>
            </w:r>
          </w:p>
        </w:tc>
        <w:tc>
          <w:tcPr>
            <w:tcW w:w="2084" w:type="dxa"/>
            <w:tcBorders>
              <w:tl2br w:val="nil"/>
              <w:tr2bl w:val="nil"/>
            </w:tcBorders>
            <w:vAlign w:val="center"/>
          </w:tcPr>
          <w:p w14:paraId="1E3BF0D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条款名称</w:t>
            </w:r>
          </w:p>
        </w:tc>
        <w:tc>
          <w:tcPr>
            <w:tcW w:w="6906" w:type="dxa"/>
            <w:tcBorders>
              <w:tl2br w:val="nil"/>
              <w:tr2bl w:val="nil"/>
            </w:tcBorders>
            <w:vAlign w:val="center"/>
          </w:tcPr>
          <w:p w14:paraId="49E32B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编列内容</w:t>
            </w:r>
          </w:p>
        </w:tc>
      </w:tr>
      <w:tr w14:paraId="3F1498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2CC53F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w:t>
            </w:r>
          </w:p>
        </w:tc>
        <w:tc>
          <w:tcPr>
            <w:tcW w:w="2084" w:type="dxa"/>
            <w:tcBorders>
              <w:tl2br w:val="nil"/>
              <w:tr2bl w:val="nil"/>
            </w:tcBorders>
            <w:vAlign w:val="center"/>
          </w:tcPr>
          <w:p w14:paraId="47784C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采购人</w:t>
            </w:r>
          </w:p>
        </w:tc>
        <w:tc>
          <w:tcPr>
            <w:tcW w:w="6906" w:type="dxa"/>
            <w:tcBorders>
              <w:tl2br w:val="nil"/>
              <w:tr2bl w:val="nil"/>
            </w:tcBorders>
            <w:vAlign w:val="center"/>
          </w:tcPr>
          <w:p w14:paraId="20B3341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名  称：</w:t>
            </w:r>
            <w:r>
              <w:rPr>
                <w:rFonts w:hint="eastAsia" w:ascii="宋体" w:hAnsi="宋体" w:eastAsia="宋体" w:cs="宋体"/>
                <w:b w:val="0"/>
                <w:bCs w:val="0"/>
                <w:color w:val="auto"/>
                <w:kern w:val="2"/>
                <w:sz w:val="24"/>
                <w:szCs w:val="24"/>
                <w:highlight w:val="none"/>
                <w:vertAlign w:val="baseline"/>
                <w:lang w:val="en-US" w:eastAsia="zh-CN" w:bidi="ar-SA"/>
              </w:rPr>
              <w:t>陕西省林业调查规划院（陕西省森林资源监测中心）</w:t>
            </w:r>
          </w:p>
          <w:p w14:paraId="686445E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地  址：</w:t>
            </w:r>
            <w:r>
              <w:rPr>
                <w:rFonts w:hint="eastAsia" w:ascii="宋体" w:hAnsi="宋体" w:eastAsia="宋体" w:cs="宋体"/>
                <w:b w:val="0"/>
                <w:bCs w:val="0"/>
                <w:color w:val="auto"/>
                <w:kern w:val="2"/>
                <w:sz w:val="24"/>
                <w:szCs w:val="24"/>
                <w:highlight w:val="none"/>
                <w:vertAlign w:val="baseline"/>
                <w:lang w:val="en-US" w:eastAsia="zh-CN" w:bidi="ar-SA"/>
              </w:rPr>
              <w:t>西安市</w:t>
            </w:r>
            <w:r>
              <w:rPr>
                <w:rFonts w:hint="eastAsia" w:ascii="宋体" w:hAnsi="宋体" w:cs="宋体"/>
                <w:b w:val="0"/>
                <w:bCs w:val="0"/>
                <w:color w:val="auto"/>
                <w:kern w:val="2"/>
                <w:sz w:val="24"/>
                <w:szCs w:val="24"/>
                <w:highlight w:val="none"/>
                <w:vertAlign w:val="baseline"/>
                <w:lang w:val="en-US" w:eastAsia="zh-CN" w:bidi="ar-SA"/>
              </w:rPr>
              <w:t>莲湖区</w:t>
            </w:r>
            <w:r>
              <w:rPr>
                <w:rFonts w:hint="eastAsia" w:ascii="宋体" w:hAnsi="宋体" w:eastAsia="宋体" w:cs="宋体"/>
                <w:b w:val="0"/>
                <w:bCs w:val="0"/>
                <w:color w:val="auto"/>
                <w:kern w:val="2"/>
                <w:sz w:val="24"/>
                <w:szCs w:val="24"/>
                <w:highlight w:val="none"/>
                <w:vertAlign w:val="baseline"/>
                <w:lang w:val="en-US" w:eastAsia="zh-CN" w:bidi="ar-SA"/>
              </w:rPr>
              <w:t>西关正街233号</w:t>
            </w:r>
          </w:p>
          <w:p w14:paraId="0C70EDF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联 系 人：何海棠</w:t>
            </w:r>
          </w:p>
          <w:p w14:paraId="0753B7A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kern w:val="2"/>
                <w:sz w:val="24"/>
                <w:szCs w:val="24"/>
                <w:highlight w:val="none"/>
                <w:vertAlign w:val="baseline"/>
                <w:lang w:val="en-US" w:eastAsia="zh-CN" w:bidi="ar-SA"/>
              </w:rPr>
              <w:t>电    话：029-81320533  18009222910</w:t>
            </w:r>
          </w:p>
        </w:tc>
      </w:tr>
      <w:tr w14:paraId="19C9B5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0EED35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w:t>
            </w:r>
          </w:p>
        </w:tc>
        <w:tc>
          <w:tcPr>
            <w:tcW w:w="2084" w:type="dxa"/>
            <w:tcBorders>
              <w:tl2br w:val="nil"/>
              <w:tr2bl w:val="nil"/>
            </w:tcBorders>
            <w:vAlign w:val="center"/>
          </w:tcPr>
          <w:p w14:paraId="0392B0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采购代理机构</w:t>
            </w:r>
          </w:p>
        </w:tc>
        <w:tc>
          <w:tcPr>
            <w:tcW w:w="6906" w:type="dxa"/>
            <w:tcBorders>
              <w:tl2br w:val="nil"/>
              <w:tr2bl w:val="nil"/>
            </w:tcBorders>
            <w:vAlign w:val="center"/>
          </w:tcPr>
          <w:p w14:paraId="15C3A1A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名  称：</w:t>
            </w:r>
            <w:r>
              <w:rPr>
                <w:rFonts w:hint="eastAsia" w:ascii="宋体" w:hAnsi="宋体" w:eastAsia="宋体" w:cs="宋体"/>
                <w:b w:val="0"/>
                <w:bCs w:val="0"/>
                <w:color w:val="auto"/>
                <w:kern w:val="2"/>
                <w:sz w:val="24"/>
                <w:szCs w:val="24"/>
                <w:highlight w:val="none"/>
                <w:vertAlign w:val="baseline"/>
                <w:lang w:val="en-US" w:eastAsia="zh-CN" w:bidi="ar-SA"/>
              </w:rPr>
              <w:t>陕西中海招标有限公司</w:t>
            </w:r>
          </w:p>
          <w:p w14:paraId="4EC18F5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地  址：</w:t>
            </w:r>
            <w:r>
              <w:rPr>
                <w:rFonts w:hint="eastAsia" w:ascii="宋体" w:hAnsi="宋体" w:cs="宋体"/>
                <w:b w:val="0"/>
                <w:bCs w:val="0"/>
                <w:color w:val="auto"/>
                <w:kern w:val="2"/>
                <w:sz w:val="24"/>
                <w:szCs w:val="24"/>
                <w:highlight w:val="none"/>
                <w:vertAlign w:val="baseline"/>
                <w:lang w:val="en-US" w:eastAsia="zh-CN" w:bidi="ar-SA"/>
              </w:rPr>
              <w:t>西安市莲湖区西关正街58号英达大厦809号</w:t>
            </w:r>
          </w:p>
          <w:p w14:paraId="6B1C0E0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联系人：</w:t>
            </w:r>
            <w:r>
              <w:rPr>
                <w:rFonts w:hint="eastAsia" w:ascii="宋体" w:hAnsi="宋体" w:eastAsia="宋体" w:cs="宋体"/>
                <w:b w:val="0"/>
                <w:bCs w:val="0"/>
                <w:color w:val="auto"/>
                <w:kern w:val="2"/>
                <w:sz w:val="24"/>
                <w:szCs w:val="24"/>
                <w:highlight w:val="none"/>
                <w:vertAlign w:val="baseline"/>
                <w:lang w:val="en-US" w:eastAsia="zh-CN" w:bidi="ar-SA"/>
              </w:rPr>
              <w:t>樊静</w:t>
            </w:r>
          </w:p>
          <w:p w14:paraId="7D613BC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电  话：</w:t>
            </w:r>
            <w:r>
              <w:rPr>
                <w:rFonts w:hint="eastAsia" w:ascii="宋体" w:hAnsi="宋体" w:eastAsia="宋体" w:cs="宋体"/>
                <w:b w:val="0"/>
                <w:bCs w:val="0"/>
                <w:color w:val="auto"/>
                <w:kern w:val="2"/>
                <w:sz w:val="24"/>
                <w:szCs w:val="24"/>
                <w:highlight w:val="none"/>
                <w:vertAlign w:val="baseline"/>
                <w:lang w:val="en-US" w:eastAsia="zh-CN" w:bidi="ar-SA"/>
              </w:rPr>
              <w:t>18602927100</w:t>
            </w:r>
          </w:p>
        </w:tc>
      </w:tr>
      <w:tr w14:paraId="4C8A32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2CA5DEF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3</w:t>
            </w:r>
          </w:p>
        </w:tc>
        <w:tc>
          <w:tcPr>
            <w:tcW w:w="2084" w:type="dxa"/>
            <w:tcBorders>
              <w:tl2br w:val="nil"/>
              <w:tr2bl w:val="nil"/>
            </w:tcBorders>
            <w:vAlign w:val="center"/>
          </w:tcPr>
          <w:p w14:paraId="0EF8CC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项目名称</w:t>
            </w:r>
          </w:p>
        </w:tc>
        <w:tc>
          <w:tcPr>
            <w:tcW w:w="6906" w:type="dxa"/>
            <w:tcBorders>
              <w:tl2br w:val="nil"/>
              <w:tr2bl w:val="nil"/>
            </w:tcBorders>
            <w:vAlign w:val="center"/>
          </w:tcPr>
          <w:p w14:paraId="63FF6FE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color w:val="auto"/>
                <w:spacing w:val="0"/>
                <w:sz w:val="24"/>
                <w:szCs w:val="24"/>
                <w:highlight w:val="none"/>
                <w:lang w:val="en-US" w:eastAsia="zh-CN"/>
              </w:rPr>
              <w:t>陕西省基本草原划定省级专项成果技术支撑项目-陕西省草原和湿地省级技术支撑服务项目采购项目</w:t>
            </w:r>
          </w:p>
        </w:tc>
      </w:tr>
      <w:tr w14:paraId="39F1E0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710816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4</w:t>
            </w:r>
          </w:p>
        </w:tc>
        <w:tc>
          <w:tcPr>
            <w:tcW w:w="2084" w:type="dxa"/>
            <w:tcBorders>
              <w:tl2br w:val="nil"/>
              <w:tr2bl w:val="nil"/>
            </w:tcBorders>
            <w:vAlign w:val="center"/>
          </w:tcPr>
          <w:p w14:paraId="64C74F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采购预算</w:t>
            </w:r>
          </w:p>
        </w:tc>
        <w:tc>
          <w:tcPr>
            <w:tcW w:w="6906" w:type="dxa"/>
            <w:tcBorders>
              <w:tl2br w:val="nil"/>
              <w:tr2bl w:val="nil"/>
            </w:tcBorders>
            <w:vAlign w:val="center"/>
          </w:tcPr>
          <w:p w14:paraId="57196BA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30万元</w:t>
            </w:r>
          </w:p>
        </w:tc>
      </w:tr>
      <w:tr w14:paraId="6D936C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5C5AA3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5</w:t>
            </w:r>
          </w:p>
        </w:tc>
        <w:tc>
          <w:tcPr>
            <w:tcW w:w="2084" w:type="dxa"/>
            <w:tcBorders>
              <w:tl2br w:val="nil"/>
              <w:tr2bl w:val="nil"/>
            </w:tcBorders>
            <w:vAlign w:val="center"/>
          </w:tcPr>
          <w:p w14:paraId="407461E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项目规模</w:t>
            </w:r>
          </w:p>
        </w:tc>
        <w:tc>
          <w:tcPr>
            <w:tcW w:w="6906" w:type="dxa"/>
            <w:tcBorders>
              <w:tl2br w:val="nil"/>
              <w:tr2bl w:val="nil"/>
            </w:tcBorders>
            <w:vAlign w:val="center"/>
          </w:tcPr>
          <w:p w14:paraId="5C21A6B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kern w:val="2"/>
                <w:sz w:val="24"/>
                <w:szCs w:val="24"/>
                <w:highlight w:val="none"/>
                <w:vertAlign w:val="baseline"/>
                <w:lang w:val="en-US" w:eastAsia="zh-CN" w:bidi="ar-SA"/>
              </w:rPr>
              <w:t>结合全省基本草原划定工作方案和技术指南，立足陕西省草地资源分布特征、生态保护管控需求，开展全省基本草原划定成果数据汇总分析及成果报告编制工作。统筹全省各县级行政单位基本草原划定工作成果，全面收集、核查、梳理各县（区）草原划定矢量数据、台账资料、调查报告、影像资料等全套成果素材。开展县级成果合规性审核、数据纠错、标准化整合、分类汇总工作，搭建统一规范的陕西省基本草原划定成果省级数据库，同时编制省级基本草原划定专项工作成果报告、技术报告，形成完整的省级划定成果体系，为全省草原常态化监管、生态保护修复、国土空间管控提供数据支撑。</w:t>
            </w:r>
          </w:p>
        </w:tc>
      </w:tr>
      <w:tr w14:paraId="02AB87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346DB0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6</w:t>
            </w:r>
          </w:p>
        </w:tc>
        <w:tc>
          <w:tcPr>
            <w:tcW w:w="2084" w:type="dxa"/>
            <w:tcBorders>
              <w:tl2br w:val="nil"/>
              <w:tr2bl w:val="nil"/>
            </w:tcBorders>
            <w:vAlign w:val="center"/>
          </w:tcPr>
          <w:p w14:paraId="356FAF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val="en-US" w:eastAsia="zh-CN"/>
              </w:rPr>
              <w:t>服务</w:t>
            </w:r>
            <w:r>
              <w:rPr>
                <w:rFonts w:hint="eastAsia" w:ascii="宋体" w:hAnsi="宋体" w:cs="宋体"/>
                <w:b w:val="0"/>
                <w:bCs w:val="0"/>
                <w:color w:val="auto"/>
                <w:spacing w:val="0"/>
                <w:sz w:val="24"/>
                <w:szCs w:val="24"/>
                <w:highlight w:val="none"/>
                <w:vertAlign w:val="baseline"/>
                <w:lang w:eastAsia="zh-CN"/>
              </w:rPr>
              <w:t>期</w:t>
            </w:r>
          </w:p>
        </w:tc>
        <w:tc>
          <w:tcPr>
            <w:tcW w:w="6906" w:type="dxa"/>
            <w:tcBorders>
              <w:tl2br w:val="nil"/>
              <w:tr2bl w:val="nil"/>
            </w:tcBorders>
            <w:vAlign w:val="center"/>
          </w:tcPr>
          <w:p w14:paraId="638EB23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default" w:ascii="宋体" w:hAnsi="宋体" w:cs="宋体"/>
                <w:b w:val="0"/>
                <w:bCs w:val="0"/>
                <w:color w:val="auto"/>
                <w:spacing w:val="0"/>
                <w:sz w:val="24"/>
                <w:szCs w:val="24"/>
                <w:highlight w:val="none"/>
                <w:vertAlign w:val="baseline"/>
                <w:lang w:val="en-US" w:eastAsia="zh-CN"/>
              </w:rPr>
              <w:t>合同签订后</w:t>
            </w:r>
            <w:r>
              <w:rPr>
                <w:rFonts w:hint="eastAsia" w:ascii="宋体" w:hAnsi="宋体" w:cs="宋体"/>
                <w:b w:val="0"/>
                <w:bCs w:val="0"/>
                <w:color w:val="auto"/>
                <w:spacing w:val="0"/>
                <w:sz w:val="24"/>
                <w:szCs w:val="24"/>
                <w:highlight w:val="none"/>
                <w:vertAlign w:val="baseline"/>
                <w:lang w:val="en-US" w:eastAsia="zh-CN"/>
              </w:rPr>
              <w:t>50</w:t>
            </w:r>
            <w:r>
              <w:rPr>
                <w:rFonts w:hint="default" w:ascii="宋体" w:hAnsi="宋体" w:cs="宋体"/>
                <w:b w:val="0"/>
                <w:bCs w:val="0"/>
                <w:color w:val="auto"/>
                <w:spacing w:val="0"/>
                <w:sz w:val="24"/>
                <w:szCs w:val="24"/>
                <w:highlight w:val="none"/>
                <w:vertAlign w:val="baseline"/>
                <w:lang w:val="en-US" w:eastAsia="zh-CN"/>
              </w:rPr>
              <w:t>0天</w:t>
            </w:r>
          </w:p>
        </w:tc>
      </w:tr>
      <w:tr w14:paraId="19D8A5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505" w:hRule="atLeast"/>
          <w:jc w:val="center"/>
        </w:trPr>
        <w:tc>
          <w:tcPr>
            <w:tcW w:w="851" w:type="dxa"/>
            <w:tcBorders>
              <w:tl2br w:val="nil"/>
              <w:tr2bl w:val="nil"/>
            </w:tcBorders>
            <w:vAlign w:val="center"/>
          </w:tcPr>
          <w:p w14:paraId="34334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7</w:t>
            </w:r>
          </w:p>
        </w:tc>
        <w:tc>
          <w:tcPr>
            <w:tcW w:w="2084" w:type="dxa"/>
            <w:tcBorders>
              <w:tl2br w:val="nil"/>
              <w:tr2bl w:val="nil"/>
            </w:tcBorders>
            <w:vAlign w:val="center"/>
          </w:tcPr>
          <w:p w14:paraId="7C4D9C8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供应商资格要求</w:t>
            </w:r>
          </w:p>
        </w:tc>
        <w:tc>
          <w:tcPr>
            <w:tcW w:w="6906" w:type="dxa"/>
            <w:tcBorders>
              <w:tl2br w:val="nil"/>
              <w:tr2bl w:val="nil"/>
            </w:tcBorders>
            <w:vAlign w:val="center"/>
          </w:tcPr>
          <w:p w14:paraId="587B71C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 xml:space="preserve">1、具有独立承担民事责任能力的法人、其他组织或自然人，并出具合法有效的营业执照或事业单位法人证书等国家规定的相关证明，自然人参与的提供其身份证明。 </w:t>
            </w:r>
            <w:r>
              <w:rPr>
                <w:rFonts w:hint="eastAsia" w:ascii="宋体" w:hAnsi="宋体" w:cs="宋体"/>
                <w:b w:val="0"/>
                <w:bCs w:val="0"/>
                <w:color w:val="auto"/>
                <w:kern w:val="2"/>
                <w:sz w:val="24"/>
                <w:szCs w:val="24"/>
                <w:highlight w:val="none"/>
                <w:vertAlign w:val="baseline"/>
                <w:lang w:val="en-US" w:eastAsia="zh-CN" w:bidi="ar-SA"/>
              </w:rPr>
              <w:br w:type="textWrapping"/>
            </w:r>
            <w:r>
              <w:rPr>
                <w:rFonts w:hint="eastAsia" w:ascii="宋体" w:hAnsi="宋体" w:cs="宋体"/>
                <w:b w:val="0"/>
                <w:bCs w:val="0"/>
                <w:color w:val="auto"/>
                <w:kern w:val="2"/>
                <w:sz w:val="24"/>
                <w:szCs w:val="24"/>
                <w:highlight w:val="none"/>
                <w:vertAlign w:val="baseline"/>
                <w:lang w:val="en-US" w:eastAsia="zh-CN" w:bidi="ar-SA"/>
              </w:rPr>
              <w:t>2、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p>
          <w:p w14:paraId="0C35B2D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3、税收缴纳证明：提供2025年1月至今已缴纳至少一个月的依法缴纳税款的相关凭据（时间以税款所属日期为准），凭据应有税务机关或代收机关的公章或业务专用章。依法免税或无须缴纳税款的供应商，应提供相关证明文件。</w:t>
            </w:r>
          </w:p>
          <w:p w14:paraId="0BC8D17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 xml:space="preserve">4、社会保障资金缴纳证明：提供2025年1月至今已缴存的至少一个月的社会保障资金缴存单据或社保机构开具的社会保险参保缴费情况证明，依法不需要缴纳社会保障资金的单位应提供相关证明材料。 </w:t>
            </w:r>
          </w:p>
          <w:p w14:paraId="36CBFB1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5、书面声明：参加本次政府采购活动前三年内在经营活动中没有重大违法记录，以及未被列入失信被执行人、重大税收违法失信主体、严重失信主体名单的书面声明。磋商现场统一查询信用记录，失信供应商资格不合格。。</w:t>
            </w:r>
          </w:p>
          <w:p w14:paraId="1FF1BF8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 xml:space="preserve">6、提供具有履行合同所必需的设备和专业技术能力的承诺函； </w:t>
            </w:r>
          </w:p>
          <w:p w14:paraId="503EA02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7、法定代表人授权书及被授权人身份证（法定代表人直接参与磋商只须提交其身份证原件）；</w:t>
            </w:r>
          </w:p>
          <w:p w14:paraId="2FE0865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spacing w:val="0"/>
                <w:kern w:val="0"/>
                <w:sz w:val="24"/>
                <w:szCs w:val="24"/>
                <w:highlight w:val="none"/>
                <w:lang w:val="en-US" w:eastAsia="zh-CN" w:bidi="ar"/>
              </w:rPr>
              <w:t>8</w:t>
            </w:r>
            <w:r>
              <w:rPr>
                <w:rFonts w:hint="eastAsia" w:ascii="宋体" w:hAnsi="宋体" w:cs="宋体"/>
                <w:color w:val="auto"/>
                <w:spacing w:val="0"/>
                <w:kern w:val="0"/>
                <w:sz w:val="24"/>
                <w:szCs w:val="24"/>
                <w:highlight w:val="none"/>
                <w:lang w:val="en-US" w:eastAsia="zh-CN" w:bidi="ar"/>
              </w:rPr>
              <w:t>、</w:t>
            </w:r>
            <w:r>
              <w:rPr>
                <w:rFonts w:hint="eastAsia" w:ascii="宋体" w:hAnsi="宋体" w:eastAsia="宋体" w:cs="宋体"/>
                <w:color w:val="auto"/>
                <w:spacing w:val="0"/>
                <w:kern w:val="0"/>
                <w:sz w:val="24"/>
                <w:szCs w:val="24"/>
                <w:highlight w:val="none"/>
                <w:lang w:val="en-US" w:eastAsia="zh-CN" w:bidi="ar"/>
              </w:rPr>
              <w:t>提供中小企业声明函（本项目为非专门面向中、小、微型企业采购项目）。</w:t>
            </w:r>
          </w:p>
        </w:tc>
      </w:tr>
      <w:tr w14:paraId="063F1D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791C2BB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8</w:t>
            </w:r>
          </w:p>
        </w:tc>
        <w:tc>
          <w:tcPr>
            <w:tcW w:w="2084" w:type="dxa"/>
            <w:tcBorders>
              <w:tl2br w:val="nil"/>
              <w:tr2bl w:val="nil"/>
            </w:tcBorders>
            <w:vAlign w:val="center"/>
          </w:tcPr>
          <w:p w14:paraId="39C02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磋商保证金</w:t>
            </w:r>
          </w:p>
        </w:tc>
        <w:tc>
          <w:tcPr>
            <w:tcW w:w="6906" w:type="dxa"/>
            <w:tcBorders>
              <w:tl2br w:val="nil"/>
              <w:tr2bl w:val="nil"/>
            </w:tcBorders>
            <w:vAlign w:val="center"/>
          </w:tcPr>
          <w:p w14:paraId="70167C0F">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磋商</w:t>
            </w:r>
            <w:r>
              <w:rPr>
                <w:rFonts w:hint="eastAsia" w:ascii="宋体" w:hAnsi="宋体" w:cs="宋体"/>
                <w:b/>
                <w:bCs/>
                <w:color w:val="auto"/>
                <w:sz w:val="24"/>
                <w:szCs w:val="24"/>
                <w:highlight w:val="none"/>
              </w:rPr>
              <w:t>保证金金额</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人民币</w:t>
            </w:r>
            <w:r>
              <w:rPr>
                <w:rFonts w:hint="eastAsia" w:ascii="宋体" w:hAnsi="宋体" w:cs="宋体"/>
                <w:b/>
                <w:bCs/>
                <w:color w:val="auto"/>
                <w:sz w:val="24"/>
                <w:szCs w:val="24"/>
                <w:highlight w:val="none"/>
                <w:lang w:val="en-US" w:eastAsia="zh-CN"/>
              </w:rPr>
              <w:t>陆仟元整</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60</w:t>
            </w:r>
            <w:r>
              <w:rPr>
                <w:rFonts w:hint="eastAsia" w:ascii="宋体" w:hAnsi="宋体" w:cs="宋体"/>
                <w:b/>
                <w:bCs/>
                <w:color w:val="auto"/>
                <w:sz w:val="24"/>
                <w:szCs w:val="24"/>
                <w:highlight w:val="none"/>
              </w:rPr>
              <w:t>00.00元）</w:t>
            </w:r>
          </w:p>
          <w:p w14:paraId="75CBC114">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采用银行转账、电汇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保函</w:t>
            </w:r>
            <w:r>
              <w:rPr>
                <w:rFonts w:hint="eastAsia" w:ascii="宋体" w:hAnsi="宋体" w:cs="宋体"/>
                <w:color w:val="auto"/>
                <w:sz w:val="24"/>
                <w:szCs w:val="24"/>
                <w:highlight w:val="none"/>
              </w:rPr>
              <w:t>等非现金的形式对公形式交纳</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保证金交纳截止时间为</w:t>
            </w:r>
            <w:r>
              <w:rPr>
                <w:rFonts w:hint="eastAsia" w:ascii="宋体" w:hAnsi="宋体" w:eastAsia="宋体" w:cs="宋体"/>
                <w:b/>
                <w:bCs/>
                <w:color w:val="auto"/>
                <w:sz w:val="24"/>
                <w:szCs w:val="24"/>
                <w:highlight w:val="none"/>
                <w:lang w:eastAsia="zh-CN"/>
              </w:rPr>
              <w:t>2026年06月29日 09时00分00秒</w:t>
            </w:r>
            <w:r>
              <w:rPr>
                <w:rFonts w:hint="eastAsia" w:ascii="宋体" w:hAnsi="宋体" w:eastAsia="宋体" w:cs="宋体"/>
                <w:b/>
                <w:bCs/>
                <w:color w:val="auto"/>
                <w:sz w:val="24"/>
                <w:szCs w:val="24"/>
                <w:highlight w:val="none"/>
              </w:rPr>
              <w:t>（以到账时间为准）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且应在</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前致电代理机构财务部门确认保证金到账情况。（注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保证金须以</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名称汇款）。</w:t>
            </w:r>
          </w:p>
          <w:p w14:paraId="3BBCBE2B">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户  名：陕西中海招标有限公司</w:t>
            </w:r>
          </w:p>
          <w:p w14:paraId="3B2810C6">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开户行：中国银行西安二环世纪星支行营业部</w:t>
            </w:r>
          </w:p>
          <w:p w14:paraId="13D596DE">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行  号：1047 9100 3702</w:t>
            </w:r>
          </w:p>
          <w:p w14:paraId="41EF204E">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账  号：1020 0176 8739</w:t>
            </w:r>
          </w:p>
          <w:p w14:paraId="3B585719">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附  言：</w:t>
            </w:r>
            <w:r>
              <w:rPr>
                <w:rFonts w:hint="eastAsia" w:ascii="宋体" w:hAnsi="宋体" w:cs="宋体"/>
                <w:color w:val="auto"/>
                <w:sz w:val="24"/>
                <w:szCs w:val="24"/>
                <w:highlight w:val="none"/>
                <w:lang w:val="en-US" w:eastAsia="zh-CN"/>
              </w:rPr>
              <w:t>ZH2026-0611磋商</w:t>
            </w:r>
            <w:r>
              <w:rPr>
                <w:rFonts w:hint="eastAsia" w:ascii="宋体" w:hAnsi="宋体" w:cs="宋体"/>
                <w:color w:val="auto"/>
                <w:sz w:val="24"/>
                <w:szCs w:val="24"/>
                <w:highlight w:val="none"/>
              </w:rPr>
              <w:t>保证金</w:t>
            </w:r>
          </w:p>
          <w:p w14:paraId="1858B9B2">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依据规定应通过</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基本户转帐，不收取现金。</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在</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保证金到达我公司账户后，请与我公司财务联系开具收据事宜。</w:t>
            </w:r>
          </w:p>
          <w:p w14:paraId="263BC942">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eastAsia="宋体"/>
                <w:b w:val="0"/>
                <w:bCs w:val="0"/>
                <w:color w:val="auto"/>
                <w:spacing w:val="0"/>
                <w:highlight w:val="none"/>
                <w:lang w:eastAsia="zh-CN"/>
              </w:rPr>
            </w:pPr>
            <w:r>
              <w:rPr>
                <w:rFonts w:hint="eastAsia" w:ascii="宋体" w:hAnsi="宋体" w:cs="宋体"/>
                <w:color w:val="auto"/>
                <w:sz w:val="24"/>
                <w:szCs w:val="24"/>
                <w:highlight w:val="none"/>
              </w:rPr>
              <w:t>联系人：樊女士  联系电话</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18602927100</w:t>
            </w:r>
          </w:p>
        </w:tc>
      </w:tr>
      <w:tr w14:paraId="7EBA20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627544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9</w:t>
            </w:r>
          </w:p>
        </w:tc>
        <w:tc>
          <w:tcPr>
            <w:tcW w:w="2084" w:type="dxa"/>
            <w:tcBorders>
              <w:tl2br w:val="nil"/>
              <w:tr2bl w:val="nil"/>
            </w:tcBorders>
            <w:vAlign w:val="center"/>
          </w:tcPr>
          <w:p w14:paraId="6D2A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是否接受联合体</w:t>
            </w:r>
          </w:p>
        </w:tc>
        <w:tc>
          <w:tcPr>
            <w:tcW w:w="6906" w:type="dxa"/>
            <w:tcBorders>
              <w:tl2br w:val="nil"/>
              <w:tr2bl w:val="nil"/>
            </w:tcBorders>
            <w:vAlign w:val="center"/>
          </w:tcPr>
          <w:p w14:paraId="11718C5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不接受</w:t>
            </w:r>
          </w:p>
        </w:tc>
      </w:tr>
      <w:tr w14:paraId="31249C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5C63BC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10</w:t>
            </w:r>
          </w:p>
        </w:tc>
        <w:tc>
          <w:tcPr>
            <w:tcW w:w="2084" w:type="dxa"/>
            <w:tcBorders>
              <w:tl2br w:val="nil"/>
              <w:tr2bl w:val="nil"/>
            </w:tcBorders>
            <w:vAlign w:val="center"/>
          </w:tcPr>
          <w:p w14:paraId="7F9ACDB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分包</w:t>
            </w:r>
          </w:p>
        </w:tc>
        <w:tc>
          <w:tcPr>
            <w:tcW w:w="6906" w:type="dxa"/>
            <w:tcBorders>
              <w:tl2br w:val="nil"/>
              <w:tr2bl w:val="nil"/>
            </w:tcBorders>
            <w:vAlign w:val="center"/>
          </w:tcPr>
          <w:p w14:paraId="432EF29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不允许</w:t>
            </w:r>
          </w:p>
        </w:tc>
      </w:tr>
      <w:tr w14:paraId="2810F4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460F5F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11</w:t>
            </w:r>
          </w:p>
        </w:tc>
        <w:tc>
          <w:tcPr>
            <w:tcW w:w="2084" w:type="dxa"/>
            <w:tcBorders>
              <w:tl2br w:val="nil"/>
              <w:tr2bl w:val="nil"/>
            </w:tcBorders>
            <w:vAlign w:val="center"/>
          </w:tcPr>
          <w:p w14:paraId="523888B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踏勘现场</w:t>
            </w:r>
          </w:p>
        </w:tc>
        <w:tc>
          <w:tcPr>
            <w:tcW w:w="6906" w:type="dxa"/>
            <w:tcBorders>
              <w:tl2br w:val="nil"/>
              <w:tr2bl w:val="nil"/>
            </w:tcBorders>
            <w:vAlign w:val="center"/>
          </w:tcPr>
          <w:p w14:paraId="1C4B6F6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不组织</w:t>
            </w:r>
          </w:p>
        </w:tc>
      </w:tr>
      <w:tr w14:paraId="3FE7A9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1C20AA2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12</w:t>
            </w:r>
          </w:p>
        </w:tc>
        <w:tc>
          <w:tcPr>
            <w:tcW w:w="2084" w:type="dxa"/>
            <w:tcBorders>
              <w:tl2br w:val="nil"/>
              <w:tr2bl w:val="nil"/>
            </w:tcBorders>
            <w:vAlign w:val="center"/>
          </w:tcPr>
          <w:p w14:paraId="2A98B55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供应商要求澄清的截止时间</w:t>
            </w:r>
          </w:p>
        </w:tc>
        <w:tc>
          <w:tcPr>
            <w:tcW w:w="6906" w:type="dxa"/>
            <w:tcBorders>
              <w:tl2br w:val="nil"/>
              <w:tr2bl w:val="nil"/>
            </w:tcBorders>
            <w:vAlign w:val="center"/>
          </w:tcPr>
          <w:p w14:paraId="20F0DC0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响应文件递交截止时间5日前</w:t>
            </w:r>
          </w:p>
        </w:tc>
      </w:tr>
      <w:tr w14:paraId="38F503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19CF5A4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13</w:t>
            </w:r>
          </w:p>
        </w:tc>
        <w:tc>
          <w:tcPr>
            <w:tcW w:w="2084" w:type="dxa"/>
            <w:tcBorders>
              <w:tl2br w:val="nil"/>
              <w:tr2bl w:val="nil"/>
            </w:tcBorders>
            <w:vAlign w:val="center"/>
          </w:tcPr>
          <w:p w14:paraId="37A988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磋商有效期</w:t>
            </w:r>
          </w:p>
        </w:tc>
        <w:tc>
          <w:tcPr>
            <w:tcW w:w="6906" w:type="dxa"/>
            <w:tcBorders>
              <w:tl2br w:val="nil"/>
              <w:tr2bl w:val="nil"/>
            </w:tcBorders>
            <w:vAlign w:val="center"/>
          </w:tcPr>
          <w:p w14:paraId="03894A3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90日历天（从磋商截止之日算起）</w:t>
            </w:r>
          </w:p>
        </w:tc>
      </w:tr>
      <w:tr w14:paraId="0FBD04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851" w:type="dxa"/>
            <w:tcBorders>
              <w:tl2br w:val="nil"/>
              <w:tr2bl w:val="nil"/>
            </w:tcBorders>
            <w:vAlign w:val="center"/>
          </w:tcPr>
          <w:p w14:paraId="5E8890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14</w:t>
            </w:r>
          </w:p>
        </w:tc>
        <w:tc>
          <w:tcPr>
            <w:tcW w:w="2084" w:type="dxa"/>
            <w:tcBorders>
              <w:tl2br w:val="nil"/>
              <w:tr2bl w:val="nil"/>
            </w:tcBorders>
            <w:vAlign w:val="center"/>
          </w:tcPr>
          <w:p w14:paraId="283CE5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近年完成的类似项目情况的时间要求</w:t>
            </w:r>
          </w:p>
        </w:tc>
        <w:tc>
          <w:tcPr>
            <w:tcW w:w="6906" w:type="dxa"/>
            <w:tcBorders>
              <w:tl2br w:val="nil"/>
              <w:tr2bl w:val="nil"/>
            </w:tcBorders>
            <w:vAlign w:val="center"/>
          </w:tcPr>
          <w:p w14:paraId="67CB554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2023年6月1日至提交响应文件截止时间，同类项目界定：草原、湿地、森林资源调查、GIS矢量数据库建设、省级林草/自然资源成果编制项目</w:t>
            </w:r>
          </w:p>
        </w:tc>
      </w:tr>
      <w:tr w14:paraId="5B6D77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5E8233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15</w:t>
            </w:r>
          </w:p>
        </w:tc>
        <w:tc>
          <w:tcPr>
            <w:tcW w:w="2084" w:type="dxa"/>
            <w:tcBorders>
              <w:tl2br w:val="nil"/>
              <w:tr2bl w:val="nil"/>
            </w:tcBorders>
            <w:vAlign w:val="center"/>
          </w:tcPr>
          <w:p w14:paraId="441168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是否允许递交备选响应方案</w:t>
            </w:r>
          </w:p>
        </w:tc>
        <w:tc>
          <w:tcPr>
            <w:tcW w:w="6906" w:type="dxa"/>
            <w:tcBorders>
              <w:tl2br w:val="nil"/>
              <w:tr2bl w:val="nil"/>
            </w:tcBorders>
            <w:vAlign w:val="center"/>
          </w:tcPr>
          <w:p w14:paraId="20B06E3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不允许</w:t>
            </w:r>
          </w:p>
        </w:tc>
      </w:tr>
      <w:tr w14:paraId="62E877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3800004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16</w:t>
            </w:r>
          </w:p>
        </w:tc>
        <w:tc>
          <w:tcPr>
            <w:tcW w:w="2084" w:type="dxa"/>
            <w:tcBorders>
              <w:tl2br w:val="nil"/>
              <w:tr2bl w:val="nil"/>
            </w:tcBorders>
            <w:vAlign w:val="center"/>
          </w:tcPr>
          <w:p w14:paraId="4C0393F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响应文件份数</w:t>
            </w:r>
          </w:p>
          <w:p w14:paraId="0101C2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要求</w:t>
            </w:r>
          </w:p>
        </w:tc>
        <w:tc>
          <w:tcPr>
            <w:tcW w:w="6906" w:type="dxa"/>
            <w:tcBorders>
              <w:tl2br w:val="nil"/>
              <w:tr2bl w:val="nil"/>
            </w:tcBorders>
            <w:vAlign w:val="center"/>
          </w:tcPr>
          <w:p w14:paraId="056FACA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磋商响应文件</w:t>
            </w:r>
            <w:r>
              <w:rPr>
                <w:rFonts w:hint="eastAsia" w:ascii="宋体" w:hAnsi="宋体" w:cs="宋体"/>
                <w:b/>
                <w:bCs/>
                <w:color w:val="auto"/>
                <w:spacing w:val="0"/>
                <w:sz w:val="24"/>
                <w:szCs w:val="24"/>
                <w:highlight w:val="none"/>
                <w:vertAlign w:val="baseline"/>
                <w:lang w:val="en-US" w:eastAsia="zh-CN"/>
              </w:rPr>
              <w:t>正本壹份</w:t>
            </w:r>
            <w:r>
              <w:rPr>
                <w:rFonts w:hint="eastAsia" w:ascii="宋体" w:hAnsi="宋体" w:cs="宋体"/>
                <w:b w:val="0"/>
                <w:bCs w:val="0"/>
                <w:color w:val="auto"/>
                <w:spacing w:val="0"/>
                <w:sz w:val="24"/>
                <w:szCs w:val="24"/>
                <w:highlight w:val="none"/>
                <w:vertAlign w:val="baseline"/>
                <w:lang w:val="en-US" w:eastAsia="zh-CN"/>
              </w:rPr>
              <w:t>,</w:t>
            </w:r>
            <w:r>
              <w:rPr>
                <w:rFonts w:hint="eastAsia" w:ascii="宋体" w:hAnsi="宋体" w:cs="宋体"/>
                <w:b/>
                <w:bCs/>
                <w:color w:val="auto"/>
                <w:spacing w:val="0"/>
                <w:sz w:val="24"/>
                <w:szCs w:val="24"/>
                <w:highlight w:val="none"/>
                <w:vertAlign w:val="baseline"/>
                <w:lang w:val="en-US" w:eastAsia="zh-CN"/>
              </w:rPr>
              <w:t>副本贰份</w:t>
            </w:r>
            <w:r>
              <w:rPr>
                <w:rFonts w:hint="eastAsia" w:ascii="宋体" w:hAnsi="宋体" w:cs="宋体"/>
                <w:b w:val="0"/>
                <w:bCs w:val="0"/>
                <w:color w:val="auto"/>
                <w:spacing w:val="0"/>
                <w:sz w:val="24"/>
                <w:szCs w:val="24"/>
                <w:highlight w:val="none"/>
                <w:vertAlign w:val="baseline"/>
                <w:lang w:val="en-US" w:eastAsia="zh-CN"/>
              </w:rPr>
              <w:t>；</w:t>
            </w:r>
          </w:p>
          <w:p w14:paraId="7DCA2DB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提交与整套磋商响应文件正本内容一致（签字盖章齐全）的电子文档份数：电子版</w:t>
            </w:r>
            <w:r>
              <w:rPr>
                <w:rFonts w:hint="eastAsia" w:ascii="宋体" w:hAnsi="宋体" w:cs="宋体"/>
                <w:b/>
                <w:bCs/>
                <w:color w:val="auto"/>
                <w:spacing w:val="0"/>
                <w:sz w:val="24"/>
                <w:szCs w:val="24"/>
                <w:highlight w:val="none"/>
                <w:vertAlign w:val="baseline"/>
                <w:lang w:val="en-US" w:eastAsia="zh-CN"/>
              </w:rPr>
              <w:t>U盘壹份</w:t>
            </w:r>
            <w:r>
              <w:rPr>
                <w:rFonts w:hint="eastAsia" w:ascii="宋体" w:hAnsi="宋体" w:cs="宋体"/>
                <w:b w:val="0"/>
                <w:bCs w:val="0"/>
                <w:color w:val="auto"/>
                <w:spacing w:val="0"/>
                <w:sz w:val="24"/>
                <w:szCs w:val="24"/>
                <w:highlight w:val="none"/>
                <w:vertAlign w:val="baseline"/>
                <w:lang w:val="en-US" w:eastAsia="zh-CN"/>
              </w:rPr>
              <w:t>(U盘与正本密封一处)。</w:t>
            </w:r>
          </w:p>
        </w:tc>
      </w:tr>
      <w:tr w14:paraId="6E27A0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84" w:hRule="atLeast"/>
          <w:jc w:val="center"/>
        </w:trPr>
        <w:tc>
          <w:tcPr>
            <w:tcW w:w="851" w:type="dxa"/>
            <w:tcBorders>
              <w:tl2br w:val="nil"/>
              <w:tr2bl w:val="nil"/>
            </w:tcBorders>
            <w:vAlign w:val="center"/>
          </w:tcPr>
          <w:p w14:paraId="4CC8D31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17</w:t>
            </w:r>
          </w:p>
        </w:tc>
        <w:tc>
          <w:tcPr>
            <w:tcW w:w="2084" w:type="dxa"/>
            <w:tcBorders>
              <w:tl2br w:val="nil"/>
              <w:tr2bl w:val="nil"/>
            </w:tcBorders>
            <w:vAlign w:val="center"/>
          </w:tcPr>
          <w:p w14:paraId="52E80FD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磋商响应文件装订要求</w:t>
            </w:r>
          </w:p>
        </w:tc>
        <w:tc>
          <w:tcPr>
            <w:tcW w:w="6906" w:type="dxa"/>
            <w:tcBorders>
              <w:tl2br w:val="nil"/>
              <w:tr2bl w:val="nil"/>
            </w:tcBorders>
            <w:vAlign w:val="center"/>
          </w:tcPr>
          <w:p w14:paraId="09B8F72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正、副本均须用A4纸装订成册(图页可除外)，须按磋商文件第六章“磋商响应文件格式”的排序编制目录并逐页标注页码，不得采用活页夹和硬皮封面装订，正、副本应分开装袋密封。副本可用正本复印，正、副本不一致时以正本为准。</w:t>
            </w:r>
          </w:p>
        </w:tc>
      </w:tr>
      <w:tr w14:paraId="714BB1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98" w:hRule="atLeast"/>
          <w:jc w:val="center"/>
        </w:trPr>
        <w:tc>
          <w:tcPr>
            <w:tcW w:w="851" w:type="dxa"/>
            <w:tcBorders>
              <w:tl2br w:val="nil"/>
              <w:tr2bl w:val="nil"/>
            </w:tcBorders>
            <w:vAlign w:val="center"/>
          </w:tcPr>
          <w:p w14:paraId="091FD5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18</w:t>
            </w:r>
          </w:p>
        </w:tc>
        <w:tc>
          <w:tcPr>
            <w:tcW w:w="2084" w:type="dxa"/>
            <w:tcBorders>
              <w:tl2br w:val="nil"/>
              <w:tr2bl w:val="nil"/>
            </w:tcBorders>
            <w:vAlign w:val="center"/>
          </w:tcPr>
          <w:p w14:paraId="5ECEBB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封套上应载明的信息</w:t>
            </w:r>
          </w:p>
        </w:tc>
        <w:tc>
          <w:tcPr>
            <w:tcW w:w="6906" w:type="dxa"/>
            <w:tcBorders>
              <w:tl2br w:val="nil"/>
              <w:tr2bl w:val="nil"/>
            </w:tcBorders>
            <w:vAlign w:val="center"/>
          </w:tcPr>
          <w:p w14:paraId="30645E2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项目名称：                  项目编号：</w:t>
            </w:r>
          </w:p>
          <w:p w14:paraId="0F3D074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供应商名称：</w:t>
            </w:r>
          </w:p>
          <w:p w14:paraId="09A78B0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供应商地址：</w:t>
            </w:r>
          </w:p>
          <w:p w14:paraId="46873E7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于    年    月    日    时启封</w:t>
            </w:r>
          </w:p>
        </w:tc>
      </w:tr>
      <w:tr w14:paraId="10C342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5D19E4A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19</w:t>
            </w:r>
          </w:p>
        </w:tc>
        <w:tc>
          <w:tcPr>
            <w:tcW w:w="2084" w:type="dxa"/>
            <w:tcBorders>
              <w:tl2br w:val="nil"/>
              <w:tr2bl w:val="nil"/>
            </w:tcBorders>
            <w:vAlign w:val="center"/>
          </w:tcPr>
          <w:p w14:paraId="5E487F3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提交响应文件</w:t>
            </w:r>
          </w:p>
          <w:p w14:paraId="3E3E49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截止时间</w:t>
            </w:r>
          </w:p>
        </w:tc>
        <w:tc>
          <w:tcPr>
            <w:tcW w:w="6906" w:type="dxa"/>
            <w:tcBorders>
              <w:tl2br w:val="nil"/>
              <w:tr2bl w:val="nil"/>
            </w:tcBorders>
            <w:vAlign w:val="center"/>
          </w:tcPr>
          <w:p w14:paraId="44812A7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2026年06月29日 09时00分00秒</w:t>
            </w:r>
          </w:p>
        </w:tc>
      </w:tr>
      <w:tr w14:paraId="06BE79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2052656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20</w:t>
            </w:r>
          </w:p>
        </w:tc>
        <w:tc>
          <w:tcPr>
            <w:tcW w:w="2084" w:type="dxa"/>
            <w:tcBorders>
              <w:tl2br w:val="nil"/>
              <w:tr2bl w:val="nil"/>
            </w:tcBorders>
            <w:vAlign w:val="center"/>
          </w:tcPr>
          <w:p w14:paraId="438467E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递交响应文件</w:t>
            </w:r>
          </w:p>
          <w:p w14:paraId="4B8C2E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地点</w:t>
            </w:r>
          </w:p>
        </w:tc>
        <w:tc>
          <w:tcPr>
            <w:tcW w:w="6906" w:type="dxa"/>
            <w:tcBorders>
              <w:tl2br w:val="nil"/>
              <w:tr2bl w:val="nil"/>
            </w:tcBorders>
            <w:vAlign w:val="center"/>
          </w:tcPr>
          <w:p w14:paraId="59F119B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西安市莲湖区西关正街英达大厦809室</w:t>
            </w:r>
          </w:p>
        </w:tc>
      </w:tr>
      <w:tr w14:paraId="3A6110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374E72F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21</w:t>
            </w:r>
          </w:p>
        </w:tc>
        <w:tc>
          <w:tcPr>
            <w:tcW w:w="2084" w:type="dxa"/>
            <w:tcBorders>
              <w:tl2br w:val="nil"/>
              <w:tr2bl w:val="nil"/>
            </w:tcBorders>
            <w:vAlign w:val="center"/>
          </w:tcPr>
          <w:p w14:paraId="77DD0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响应文件是否</w:t>
            </w:r>
          </w:p>
          <w:p w14:paraId="115C9B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退还</w:t>
            </w:r>
          </w:p>
        </w:tc>
        <w:tc>
          <w:tcPr>
            <w:tcW w:w="6906" w:type="dxa"/>
            <w:tcBorders>
              <w:tl2br w:val="nil"/>
              <w:tr2bl w:val="nil"/>
            </w:tcBorders>
            <w:vAlign w:val="center"/>
          </w:tcPr>
          <w:p w14:paraId="736FF5B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否</w:t>
            </w:r>
          </w:p>
        </w:tc>
      </w:tr>
      <w:tr w14:paraId="3AD95D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242D62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22</w:t>
            </w:r>
          </w:p>
        </w:tc>
        <w:tc>
          <w:tcPr>
            <w:tcW w:w="2084" w:type="dxa"/>
            <w:tcBorders>
              <w:tl2br w:val="nil"/>
              <w:tr2bl w:val="nil"/>
            </w:tcBorders>
            <w:vAlign w:val="center"/>
          </w:tcPr>
          <w:p w14:paraId="31B129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磋商大会程序</w:t>
            </w:r>
          </w:p>
        </w:tc>
        <w:tc>
          <w:tcPr>
            <w:tcW w:w="6906" w:type="dxa"/>
            <w:tcBorders>
              <w:tl2br w:val="nil"/>
              <w:tr2bl w:val="nil"/>
            </w:tcBorders>
            <w:vAlign w:val="center"/>
          </w:tcPr>
          <w:p w14:paraId="1DDD474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响应文件的密封检查：磋商大会现场集中检查，由供应商和监标人检查响应文件的密封情况。</w:t>
            </w:r>
          </w:p>
          <w:p w14:paraId="044EC8D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开启顺序：随机开启磋商响应文件。</w:t>
            </w:r>
          </w:p>
        </w:tc>
      </w:tr>
      <w:tr w14:paraId="5DAD95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02F78A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23</w:t>
            </w:r>
          </w:p>
        </w:tc>
        <w:tc>
          <w:tcPr>
            <w:tcW w:w="2084" w:type="dxa"/>
            <w:tcBorders>
              <w:tl2br w:val="nil"/>
              <w:tr2bl w:val="nil"/>
            </w:tcBorders>
            <w:vAlign w:val="center"/>
          </w:tcPr>
          <w:p w14:paraId="50B702A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竞争性磋商小组（以下简称磋商小组）的组建</w:t>
            </w:r>
          </w:p>
        </w:tc>
        <w:tc>
          <w:tcPr>
            <w:tcW w:w="6906" w:type="dxa"/>
            <w:tcBorders>
              <w:tl2br w:val="nil"/>
              <w:tr2bl w:val="nil"/>
            </w:tcBorders>
            <w:vAlign w:val="center"/>
          </w:tcPr>
          <w:p w14:paraId="143122C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磋商小组构成：3人，其中采购人代表 1人，专家2 人。专家成员依法从陕西省政府采购评审专家库中随机抽取。</w:t>
            </w:r>
          </w:p>
        </w:tc>
      </w:tr>
      <w:tr w14:paraId="1ED903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5EFB0F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24</w:t>
            </w:r>
          </w:p>
        </w:tc>
        <w:tc>
          <w:tcPr>
            <w:tcW w:w="2084" w:type="dxa"/>
            <w:tcBorders>
              <w:tl2br w:val="nil"/>
              <w:tr2bl w:val="nil"/>
            </w:tcBorders>
            <w:vAlign w:val="center"/>
          </w:tcPr>
          <w:p w14:paraId="1BD3387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确定成交供应商方式</w:t>
            </w:r>
          </w:p>
        </w:tc>
        <w:tc>
          <w:tcPr>
            <w:tcW w:w="6906" w:type="dxa"/>
            <w:tcBorders>
              <w:tl2br w:val="nil"/>
              <w:tr2bl w:val="nil"/>
            </w:tcBorders>
            <w:vAlign w:val="center"/>
          </w:tcPr>
          <w:p w14:paraId="3389909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由采购人确认成交供应商</w:t>
            </w:r>
          </w:p>
        </w:tc>
      </w:tr>
      <w:tr w14:paraId="0C5637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1428C1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25</w:t>
            </w:r>
          </w:p>
        </w:tc>
        <w:tc>
          <w:tcPr>
            <w:tcW w:w="2084" w:type="dxa"/>
            <w:tcBorders>
              <w:tl2br w:val="nil"/>
              <w:tr2bl w:val="nil"/>
            </w:tcBorders>
            <w:vAlign w:val="center"/>
          </w:tcPr>
          <w:p w14:paraId="11FC06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eastAsia="zh-CN"/>
              </w:rPr>
            </w:pPr>
            <w:r>
              <w:rPr>
                <w:rFonts w:hint="eastAsia" w:ascii="宋体" w:hAnsi="宋体" w:cs="宋体"/>
                <w:b w:val="0"/>
                <w:bCs w:val="0"/>
                <w:color w:val="auto"/>
                <w:spacing w:val="0"/>
                <w:sz w:val="24"/>
                <w:szCs w:val="24"/>
                <w:highlight w:val="none"/>
                <w:vertAlign w:val="baseline"/>
                <w:lang w:eastAsia="zh-CN"/>
              </w:rPr>
              <w:t>成交结果公示</w:t>
            </w:r>
          </w:p>
          <w:p w14:paraId="2EFCF8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eastAsia="zh-CN"/>
              </w:rPr>
              <w:t>媒介</w:t>
            </w:r>
          </w:p>
        </w:tc>
        <w:tc>
          <w:tcPr>
            <w:tcW w:w="6906" w:type="dxa"/>
            <w:tcBorders>
              <w:tl2br w:val="nil"/>
              <w:tr2bl w:val="nil"/>
            </w:tcBorders>
            <w:vAlign w:val="center"/>
          </w:tcPr>
          <w:p w14:paraId="788F5E1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《陕西省政府采购网》</w:t>
            </w:r>
          </w:p>
        </w:tc>
      </w:tr>
      <w:tr w14:paraId="595865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851" w:type="dxa"/>
            <w:tcBorders>
              <w:tl2br w:val="nil"/>
              <w:tr2bl w:val="nil"/>
            </w:tcBorders>
            <w:vAlign w:val="center"/>
          </w:tcPr>
          <w:p w14:paraId="0292E29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26</w:t>
            </w:r>
          </w:p>
        </w:tc>
        <w:tc>
          <w:tcPr>
            <w:tcW w:w="2084" w:type="dxa"/>
            <w:tcBorders>
              <w:tl2br w:val="nil"/>
              <w:tr2bl w:val="nil"/>
            </w:tcBorders>
            <w:vAlign w:val="center"/>
          </w:tcPr>
          <w:p w14:paraId="41F3CC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代理服务费</w:t>
            </w:r>
          </w:p>
        </w:tc>
        <w:tc>
          <w:tcPr>
            <w:tcW w:w="6906" w:type="dxa"/>
            <w:tcBorders>
              <w:tl2br w:val="nil"/>
              <w:tr2bl w:val="nil"/>
            </w:tcBorders>
            <w:vAlign w:val="center"/>
          </w:tcPr>
          <w:p w14:paraId="6EFB5AC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供应商将代理服务费计入磋商报价但不单独列明，成交单位在领取成交通知书前，须向采购代理机构一次性支付。</w:t>
            </w:r>
          </w:p>
        </w:tc>
      </w:tr>
      <w:tr w14:paraId="7B9C10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692851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27</w:t>
            </w:r>
          </w:p>
        </w:tc>
        <w:tc>
          <w:tcPr>
            <w:tcW w:w="2084" w:type="dxa"/>
            <w:tcBorders>
              <w:tl2br w:val="nil"/>
              <w:tr2bl w:val="nil"/>
            </w:tcBorders>
            <w:vAlign w:val="center"/>
          </w:tcPr>
          <w:p w14:paraId="030AD27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代理服务费的支付方式</w:t>
            </w:r>
          </w:p>
        </w:tc>
        <w:tc>
          <w:tcPr>
            <w:tcW w:w="6906" w:type="dxa"/>
            <w:tcBorders>
              <w:tl2br w:val="nil"/>
              <w:tr2bl w:val="nil"/>
            </w:tcBorders>
            <w:vAlign w:val="center"/>
          </w:tcPr>
          <w:p w14:paraId="2F6BD4F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代理服务费以转账、电汇或现金等形式交纳。</w:t>
            </w:r>
          </w:p>
          <w:p w14:paraId="171284A8">
            <w:pPr>
              <w:pStyle w:val="28"/>
              <w:keepNext w:val="0"/>
              <w:keepLines w:val="0"/>
              <w:pageBreakBefore w:val="0"/>
              <w:widowControl/>
              <w:numPr>
                <w:ilvl w:val="0"/>
                <w:numId w:val="0"/>
              </w:numPr>
              <w:kinsoku/>
              <w:wordWrap/>
              <w:overflowPunct/>
              <w:topLinePunct w:val="0"/>
              <w:autoSpaceDE/>
              <w:autoSpaceDN/>
              <w:bidi w:val="0"/>
              <w:adjustRightInd/>
              <w:snapToGrid/>
              <w:spacing w:before="0" w:line="500" w:lineRule="exact"/>
              <w:ind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户  名：陕西中海招标有限公司</w:t>
            </w:r>
          </w:p>
          <w:p w14:paraId="543B71CB">
            <w:pPr>
              <w:pStyle w:val="28"/>
              <w:keepNext w:val="0"/>
              <w:keepLines w:val="0"/>
              <w:pageBreakBefore w:val="0"/>
              <w:widowControl/>
              <w:numPr>
                <w:ilvl w:val="0"/>
                <w:numId w:val="0"/>
              </w:numPr>
              <w:kinsoku/>
              <w:wordWrap/>
              <w:overflowPunct/>
              <w:topLinePunct w:val="0"/>
              <w:autoSpaceDE/>
              <w:autoSpaceDN/>
              <w:bidi w:val="0"/>
              <w:adjustRightInd/>
              <w:snapToGrid/>
              <w:spacing w:before="0" w:line="500" w:lineRule="exact"/>
              <w:ind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开户行：中国银行西安二环世纪星支行营业部</w:t>
            </w:r>
          </w:p>
          <w:p w14:paraId="7C1DA248">
            <w:pPr>
              <w:pStyle w:val="28"/>
              <w:keepNext w:val="0"/>
              <w:keepLines w:val="0"/>
              <w:pageBreakBefore w:val="0"/>
              <w:widowControl/>
              <w:numPr>
                <w:ilvl w:val="0"/>
                <w:numId w:val="0"/>
              </w:numPr>
              <w:kinsoku/>
              <w:wordWrap/>
              <w:overflowPunct/>
              <w:topLinePunct w:val="0"/>
              <w:autoSpaceDE/>
              <w:autoSpaceDN/>
              <w:bidi w:val="0"/>
              <w:adjustRightInd/>
              <w:snapToGrid/>
              <w:spacing w:before="0" w:line="500" w:lineRule="exact"/>
              <w:ind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行  号：1047 9100 3702</w:t>
            </w:r>
          </w:p>
          <w:p w14:paraId="7EAFB422">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kern w:val="2"/>
                <w:sz w:val="24"/>
                <w:szCs w:val="24"/>
                <w:highlight w:val="none"/>
                <w:lang w:val="en-US" w:eastAsia="zh-CN" w:bidi="ar-SA"/>
              </w:rPr>
              <w:t>账  号：1020 0176 8739</w:t>
            </w:r>
          </w:p>
        </w:tc>
      </w:tr>
      <w:tr w14:paraId="7785E5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tcBorders>
              <w:tl2br w:val="nil"/>
              <w:tr2bl w:val="nil"/>
            </w:tcBorders>
            <w:vAlign w:val="center"/>
          </w:tcPr>
          <w:p w14:paraId="63D8C8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宋体" w:hAnsi="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28</w:t>
            </w:r>
          </w:p>
        </w:tc>
        <w:tc>
          <w:tcPr>
            <w:tcW w:w="2084" w:type="dxa"/>
            <w:tcBorders>
              <w:tl2br w:val="nil"/>
              <w:tr2bl w:val="nil"/>
            </w:tcBorders>
            <w:vAlign w:val="center"/>
          </w:tcPr>
          <w:p w14:paraId="7736B3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cs="宋体"/>
                <w:b/>
                <w:bCs/>
                <w:color w:val="auto"/>
                <w:spacing w:val="0"/>
                <w:sz w:val="24"/>
                <w:szCs w:val="24"/>
                <w:highlight w:val="none"/>
                <w:vertAlign w:val="baseline"/>
                <w:lang w:val="en-US" w:eastAsia="zh-CN"/>
              </w:rPr>
            </w:pPr>
            <w:r>
              <w:rPr>
                <w:rFonts w:hint="eastAsia" w:ascii="宋体" w:hAnsi="宋体"/>
                <w:color w:val="auto"/>
                <w:sz w:val="24"/>
                <w:highlight w:val="none"/>
                <w:lang w:val="en-US" w:eastAsia="zh-CN"/>
              </w:rPr>
              <w:t>供应商磋商</w:t>
            </w:r>
            <w:r>
              <w:rPr>
                <w:rFonts w:hint="eastAsia" w:ascii="宋体" w:hAnsi="宋体"/>
                <w:color w:val="auto"/>
                <w:sz w:val="24"/>
                <w:highlight w:val="none"/>
              </w:rPr>
              <w:t>现场须带资料</w:t>
            </w:r>
          </w:p>
        </w:tc>
        <w:tc>
          <w:tcPr>
            <w:tcW w:w="6906" w:type="dxa"/>
            <w:tcBorders>
              <w:tl2br w:val="nil"/>
              <w:tr2bl w:val="nil"/>
            </w:tcBorders>
            <w:vAlign w:val="center"/>
          </w:tcPr>
          <w:p w14:paraId="3E56D2F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cs="宋体"/>
                <w:b/>
                <w:bCs/>
                <w:color w:val="auto"/>
                <w:spacing w:val="0"/>
                <w:sz w:val="24"/>
                <w:szCs w:val="24"/>
                <w:highlight w:val="none"/>
                <w:vertAlign w:val="baseline"/>
                <w:lang w:val="en-US" w:eastAsia="zh-CN"/>
              </w:rPr>
            </w:pPr>
            <w:r>
              <w:rPr>
                <w:rFonts w:hint="eastAsia" w:ascii="宋体" w:hAnsi="宋体"/>
                <w:b/>
                <w:color w:val="auto"/>
                <w:sz w:val="24"/>
                <w:highlight w:val="none"/>
              </w:rPr>
              <w:t>核验</w:t>
            </w:r>
            <w:r>
              <w:rPr>
                <w:rFonts w:hint="eastAsia" w:ascii="宋体" w:hAnsi="宋体"/>
                <w:b/>
                <w:color w:val="auto"/>
                <w:sz w:val="24"/>
                <w:highlight w:val="none"/>
                <w:lang w:val="en-US" w:eastAsia="zh-CN"/>
              </w:rPr>
              <w:t>供应商</w:t>
            </w:r>
            <w:r>
              <w:rPr>
                <w:rFonts w:hint="eastAsia" w:ascii="宋体" w:hAnsi="宋体"/>
                <w:b/>
                <w:color w:val="auto"/>
                <w:sz w:val="24"/>
                <w:highlight w:val="none"/>
              </w:rPr>
              <w:t>有关原件：</w:t>
            </w:r>
            <w:r>
              <w:rPr>
                <w:rFonts w:hint="eastAsia" w:ascii="宋体" w:hAnsi="宋体" w:cs="宋体"/>
                <w:color w:val="auto"/>
                <w:sz w:val="24"/>
              </w:rPr>
              <w:t>法人或授权代表到场，携带身份证原件、授权委托书</w:t>
            </w:r>
            <w:r>
              <w:rPr>
                <w:rFonts w:hint="eastAsia" w:ascii="宋体" w:hAnsi="宋体" w:cs="宋体"/>
                <w:color w:val="auto"/>
                <w:sz w:val="24"/>
                <w:lang w:eastAsia="zh-CN"/>
              </w:rPr>
              <w:t>。</w:t>
            </w:r>
            <w:r>
              <w:rPr>
                <w:rFonts w:hint="eastAsia" w:ascii="宋体" w:hAnsi="宋体" w:cs="宋体"/>
                <w:color w:val="auto"/>
                <w:sz w:val="24"/>
                <w:lang w:val="en-US" w:eastAsia="zh-CN"/>
              </w:rPr>
              <w:t>如</w:t>
            </w:r>
            <w:r>
              <w:rPr>
                <w:rFonts w:hint="eastAsia" w:ascii="宋体" w:hAnsi="宋体" w:cs="宋体"/>
                <w:color w:val="auto"/>
                <w:sz w:val="24"/>
              </w:rPr>
              <w:t>供应商代表未能随身携带时，招标人有权启封相应磋商响应文件进行</w:t>
            </w:r>
            <w:r>
              <w:rPr>
                <w:rFonts w:hint="eastAsia" w:ascii="宋体" w:hAnsi="宋体" w:cs="宋体"/>
                <w:color w:val="auto"/>
                <w:sz w:val="24"/>
                <w:lang w:val="en-US" w:eastAsia="zh-CN"/>
              </w:rPr>
              <w:t>身份</w:t>
            </w:r>
            <w:r>
              <w:rPr>
                <w:rFonts w:hint="eastAsia" w:ascii="宋体" w:hAnsi="宋体" w:cs="宋体"/>
                <w:color w:val="auto"/>
                <w:sz w:val="24"/>
              </w:rPr>
              <w:t>核实。</w:t>
            </w:r>
          </w:p>
        </w:tc>
      </w:tr>
    </w:tbl>
    <w:p w14:paraId="25557E89">
      <w:pPr>
        <w:keepNext w:val="0"/>
        <w:keepLines w:val="0"/>
        <w:pageBreakBefore w:val="0"/>
        <w:kinsoku/>
        <w:wordWrap/>
        <w:overflowPunct/>
        <w:topLinePunct w:val="0"/>
        <w:autoSpaceDE/>
        <w:autoSpaceDN/>
        <w:bidi w:val="0"/>
        <w:adjustRightInd/>
        <w:snapToGrid/>
        <w:spacing w:line="360" w:lineRule="auto"/>
        <w:textAlignment w:val="auto"/>
        <w:rPr>
          <w:rFonts w:hint="default"/>
          <w:color w:val="auto"/>
          <w:spacing w:val="0"/>
          <w:highlight w:val="none"/>
          <w:lang w:val="en-US" w:eastAsia="zh-CN"/>
        </w:rPr>
      </w:pPr>
      <w:r>
        <w:rPr>
          <w:rFonts w:hint="default"/>
          <w:color w:val="auto"/>
          <w:spacing w:val="0"/>
          <w:highlight w:val="none"/>
          <w:lang w:val="en-US" w:eastAsia="zh-CN"/>
        </w:rPr>
        <w:br w:type="page"/>
      </w:r>
    </w:p>
    <w:p w14:paraId="63DB1930">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color w:val="auto"/>
          <w:spacing w:val="0"/>
          <w:sz w:val="28"/>
          <w:szCs w:val="28"/>
          <w:highlight w:val="none"/>
        </w:rPr>
      </w:pPr>
      <w:r>
        <w:rPr>
          <w:rFonts w:hint="eastAsia" w:ascii="宋体" w:hAnsi="宋体" w:eastAsia="宋体" w:cs="宋体"/>
          <w:b/>
          <w:bCs/>
          <w:color w:val="auto"/>
          <w:spacing w:val="0"/>
          <w:kern w:val="0"/>
          <w:sz w:val="28"/>
          <w:szCs w:val="28"/>
          <w:highlight w:val="none"/>
          <w:lang w:val="en-US" w:eastAsia="zh-CN" w:bidi="ar"/>
        </w:rPr>
        <w:t xml:space="preserve">一、总 则 </w:t>
      </w:r>
    </w:p>
    <w:p w14:paraId="4440F9AE">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 适用范围 </w:t>
      </w:r>
    </w:p>
    <w:p w14:paraId="48E720E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1.1 本磋商文件仅适用于本次竞争性磋商所叙述的项目采购。 </w:t>
      </w:r>
    </w:p>
    <w:p w14:paraId="251AAF93">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 名词解释 </w:t>
      </w:r>
    </w:p>
    <w:p w14:paraId="1FB9071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auto"/>
          <w:spacing w:val="0"/>
          <w:sz w:val="24"/>
          <w:szCs w:val="24"/>
          <w:highlight w:val="none"/>
          <w:lang w:eastAsia="zh-CN"/>
        </w:rPr>
      </w:pPr>
      <w:r>
        <w:rPr>
          <w:rFonts w:hint="eastAsia" w:ascii="宋体" w:hAnsi="宋体" w:eastAsia="宋体" w:cs="宋体"/>
          <w:color w:val="auto"/>
          <w:spacing w:val="0"/>
          <w:kern w:val="0"/>
          <w:sz w:val="24"/>
          <w:szCs w:val="24"/>
          <w:highlight w:val="none"/>
          <w:lang w:val="en-US" w:eastAsia="zh-CN" w:bidi="ar"/>
        </w:rPr>
        <w:t>2.1 采购人：</w:t>
      </w:r>
      <w:r>
        <w:rPr>
          <w:rFonts w:hint="eastAsia" w:ascii="宋体" w:hAnsi="宋体" w:eastAsia="宋体" w:cs="宋体"/>
          <w:b w:val="0"/>
          <w:bCs w:val="0"/>
          <w:color w:val="auto"/>
          <w:kern w:val="2"/>
          <w:sz w:val="24"/>
          <w:szCs w:val="24"/>
          <w:highlight w:val="none"/>
          <w:vertAlign w:val="baseline"/>
          <w:lang w:val="en-US" w:eastAsia="zh-CN" w:bidi="ar-SA"/>
        </w:rPr>
        <w:t>陕西省林业调查规划院（陕西省森林资源监测中心）</w:t>
      </w:r>
    </w:p>
    <w:p w14:paraId="4DA2FE1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eastAsia="宋体"/>
          <w:color w:val="auto"/>
          <w:spacing w:val="0"/>
          <w:sz w:val="24"/>
          <w:szCs w:val="24"/>
          <w:highlight w:val="none"/>
          <w:lang w:val="en-US" w:eastAsia="zh-CN"/>
        </w:rPr>
      </w:pPr>
      <w:r>
        <w:rPr>
          <w:rFonts w:hint="eastAsia" w:ascii="宋体" w:hAnsi="宋体" w:eastAsia="宋体" w:cs="宋体"/>
          <w:color w:val="auto"/>
          <w:spacing w:val="0"/>
          <w:kern w:val="0"/>
          <w:sz w:val="24"/>
          <w:szCs w:val="24"/>
          <w:highlight w:val="none"/>
          <w:lang w:val="en-US" w:eastAsia="zh-CN" w:bidi="ar"/>
        </w:rPr>
        <w:t>2.2 采购代理机构：</w:t>
      </w:r>
      <w:r>
        <w:rPr>
          <w:rFonts w:hint="eastAsia" w:ascii="宋体" w:hAnsi="宋体" w:eastAsia="宋体" w:cs="宋体"/>
          <w:b w:val="0"/>
          <w:bCs w:val="0"/>
          <w:color w:val="auto"/>
          <w:kern w:val="2"/>
          <w:sz w:val="24"/>
          <w:szCs w:val="24"/>
          <w:highlight w:val="none"/>
          <w:vertAlign w:val="baseline"/>
          <w:lang w:val="en-US" w:eastAsia="zh-CN" w:bidi="ar-SA"/>
        </w:rPr>
        <w:t>陕西中海招标有限公司</w:t>
      </w:r>
    </w:p>
    <w:p w14:paraId="18F8055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2.3 供应商：响应和符合磋商文件规定资格条件和参加磋商的法人或其他组织或自然人。 </w:t>
      </w:r>
    </w:p>
    <w:p w14:paraId="25FFF584">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3. 合格的供应商 </w:t>
      </w:r>
    </w:p>
    <w:p w14:paraId="009840A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3.1 合格的供应商应具备以下条件： </w:t>
      </w:r>
    </w:p>
    <w:p w14:paraId="49166302">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（1）具备且满足“竞争性磋商公告”的要求； </w:t>
      </w:r>
    </w:p>
    <w:p w14:paraId="6A86D01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（2）向采购代理机构购买了磋商文件并登记</w:t>
      </w:r>
      <w:r>
        <w:rPr>
          <w:rFonts w:hint="eastAsia" w:ascii="宋体" w:hAnsi="宋体" w:cs="宋体"/>
          <w:color w:val="auto"/>
          <w:spacing w:val="0"/>
          <w:kern w:val="0"/>
          <w:sz w:val="24"/>
          <w:szCs w:val="24"/>
          <w:highlight w:val="none"/>
          <w:lang w:val="en-US" w:eastAsia="zh-CN" w:bidi="ar"/>
        </w:rPr>
        <w:t>在</w:t>
      </w:r>
      <w:r>
        <w:rPr>
          <w:rFonts w:hint="eastAsia" w:ascii="宋体" w:hAnsi="宋体" w:eastAsia="宋体" w:cs="宋体"/>
          <w:color w:val="auto"/>
          <w:spacing w:val="0"/>
          <w:kern w:val="0"/>
          <w:sz w:val="24"/>
          <w:szCs w:val="24"/>
          <w:highlight w:val="none"/>
          <w:lang w:val="en-US" w:eastAsia="zh-CN" w:bidi="ar"/>
        </w:rPr>
        <w:t xml:space="preserve">案； </w:t>
      </w:r>
    </w:p>
    <w:p w14:paraId="19F352E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（3）向采购代理机构</w:t>
      </w:r>
      <w:r>
        <w:rPr>
          <w:rFonts w:hint="eastAsia" w:ascii="宋体" w:hAnsi="宋体" w:cs="宋体"/>
          <w:color w:val="auto"/>
          <w:spacing w:val="0"/>
          <w:kern w:val="0"/>
          <w:sz w:val="24"/>
          <w:szCs w:val="24"/>
          <w:highlight w:val="none"/>
          <w:lang w:val="en-US" w:eastAsia="zh-CN" w:bidi="ar"/>
        </w:rPr>
        <w:t>足额</w:t>
      </w:r>
      <w:r>
        <w:rPr>
          <w:rFonts w:hint="eastAsia" w:ascii="宋体" w:hAnsi="宋体" w:eastAsia="宋体" w:cs="宋体"/>
          <w:color w:val="auto"/>
          <w:spacing w:val="0"/>
          <w:kern w:val="0"/>
          <w:sz w:val="24"/>
          <w:szCs w:val="24"/>
          <w:highlight w:val="none"/>
          <w:lang w:val="en-US" w:eastAsia="zh-CN" w:bidi="ar"/>
        </w:rPr>
        <w:t xml:space="preserve">交纳了磋商保证金； </w:t>
      </w:r>
    </w:p>
    <w:p w14:paraId="56CD320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（4）一个供应商只能提交一个磋商</w:t>
      </w:r>
      <w:r>
        <w:rPr>
          <w:rFonts w:hint="eastAsia" w:ascii="宋体" w:hAnsi="宋体" w:cs="宋体"/>
          <w:color w:val="auto"/>
          <w:spacing w:val="0"/>
          <w:kern w:val="0"/>
          <w:sz w:val="24"/>
          <w:szCs w:val="24"/>
          <w:highlight w:val="none"/>
          <w:lang w:val="en-US" w:eastAsia="zh-CN" w:bidi="ar"/>
        </w:rPr>
        <w:t>响应</w:t>
      </w:r>
      <w:r>
        <w:rPr>
          <w:rFonts w:hint="eastAsia" w:ascii="宋体" w:hAnsi="宋体" w:eastAsia="宋体" w:cs="宋体"/>
          <w:color w:val="auto"/>
          <w:spacing w:val="0"/>
          <w:kern w:val="0"/>
          <w:sz w:val="24"/>
          <w:szCs w:val="24"/>
          <w:highlight w:val="none"/>
          <w:lang w:val="en-US" w:eastAsia="zh-CN" w:bidi="ar"/>
        </w:rPr>
        <w:t xml:space="preserve">文件，法定代表人为同一人的两个及两个以上法人，不得同时参加本项目磋商； </w:t>
      </w:r>
    </w:p>
    <w:p w14:paraId="23F4CFB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（5）有隶属关系的两个公司或有控股关系的两个公司不能同时参加同一项目的磋商；</w:t>
      </w:r>
    </w:p>
    <w:p w14:paraId="451795AC">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（6）遵守国家有关的法律、法规和条例； </w:t>
      </w:r>
    </w:p>
    <w:p w14:paraId="4573A83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（7）磋商文件和法律、行政法规规定的其他条件。 </w:t>
      </w:r>
    </w:p>
    <w:p w14:paraId="48F7A621">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4. 磋商费用 </w:t>
      </w:r>
    </w:p>
    <w:p w14:paraId="04D7BE98">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不论磋商结果如何，供应商应自行承担所有与准备和参加磋商相关的全部费用。 </w:t>
      </w:r>
    </w:p>
    <w:p w14:paraId="35D7357F">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二、磋商文件 </w:t>
      </w:r>
    </w:p>
    <w:p w14:paraId="781BB24D">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5．磋商文件的构成 </w:t>
      </w:r>
    </w:p>
    <w:p w14:paraId="43EEC63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5.1 本磋商文件包括以下内容： </w:t>
      </w:r>
    </w:p>
    <w:p w14:paraId="060E3F2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（1）竞争性磋商公告； </w:t>
      </w:r>
    </w:p>
    <w:p w14:paraId="2CD79363">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（2）供应商须知；</w:t>
      </w:r>
    </w:p>
    <w:p w14:paraId="2D73E5F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w:t>
      </w:r>
      <w:r>
        <w:rPr>
          <w:rFonts w:hint="eastAsia"/>
          <w:color w:val="auto"/>
          <w:spacing w:val="0"/>
          <w:sz w:val="24"/>
          <w:szCs w:val="24"/>
          <w:highlight w:val="none"/>
          <w:lang w:val="en-US" w:eastAsia="zh-CN"/>
        </w:rPr>
        <w:t xml:space="preserve">）评标办法； </w:t>
      </w:r>
    </w:p>
    <w:p w14:paraId="5519F95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color w:val="auto"/>
          <w:spacing w:val="0"/>
          <w:sz w:val="24"/>
          <w:szCs w:val="24"/>
          <w:highlight w:val="none"/>
          <w:lang w:val="en-US" w:eastAsia="zh-CN"/>
        </w:rPr>
        <w:t xml:space="preserve">（4）磋商内容及要求； </w:t>
      </w:r>
    </w:p>
    <w:p w14:paraId="53EF88B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（5）合同主要条款；</w:t>
      </w:r>
    </w:p>
    <w:p w14:paraId="35CB3C5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color w:val="auto"/>
          <w:spacing w:val="0"/>
          <w:sz w:val="24"/>
          <w:szCs w:val="24"/>
          <w:highlight w:val="none"/>
          <w:lang w:val="en-US" w:eastAsia="zh-CN"/>
        </w:rPr>
        <w:t>（6）磋商</w:t>
      </w:r>
      <w:r>
        <w:rPr>
          <w:rFonts w:hint="eastAsia" w:ascii="宋体" w:hAnsi="宋体" w:eastAsia="宋体" w:cs="宋体"/>
          <w:color w:val="auto"/>
          <w:spacing w:val="0"/>
          <w:kern w:val="0"/>
          <w:sz w:val="24"/>
          <w:szCs w:val="24"/>
          <w:highlight w:val="none"/>
          <w:lang w:val="en-US" w:eastAsia="zh-CN" w:bidi="ar"/>
        </w:rPr>
        <w:t xml:space="preserve">响应文件格式。 </w:t>
      </w:r>
    </w:p>
    <w:p w14:paraId="01B43EBE">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5.2 供应商应认真阅读和充分理解磋商文件中所有的事项、格式条款和规范要求。供应商没有对磋商文件做出全面的实质性响应是供应商的风险。没有按照磋商文件要求作出实质性响应的将按无效磋商处理。 </w:t>
      </w:r>
    </w:p>
    <w:p w14:paraId="0D15A0C9">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6. 磋商文件的澄清和修改 </w:t>
      </w:r>
    </w:p>
    <w:p w14:paraId="6036298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6.1 在磋商截止时间前，采购代理机构无论出于何种原因，可以对磋商文件进行澄清或者修改。 </w:t>
      </w:r>
    </w:p>
    <w:p w14:paraId="4E24A65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6.2 采购代理机构对已发出的磋商文件进行必要的澄清或者修改的，应在磋商文件要求提交磋商</w:t>
      </w:r>
      <w:r>
        <w:rPr>
          <w:rFonts w:hint="eastAsia" w:ascii="宋体" w:hAnsi="宋体" w:cs="宋体"/>
          <w:color w:val="auto"/>
          <w:spacing w:val="0"/>
          <w:kern w:val="0"/>
          <w:sz w:val="24"/>
          <w:szCs w:val="24"/>
          <w:highlight w:val="none"/>
          <w:lang w:val="en-US" w:eastAsia="zh-CN" w:bidi="ar"/>
        </w:rPr>
        <w:t>响应</w:t>
      </w:r>
      <w:r>
        <w:rPr>
          <w:rFonts w:hint="eastAsia" w:ascii="宋体" w:hAnsi="宋体" w:eastAsia="宋体" w:cs="宋体"/>
          <w:color w:val="auto"/>
          <w:spacing w:val="0"/>
          <w:kern w:val="0"/>
          <w:sz w:val="24"/>
          <w:szCs w:val="24"/>
          <w:highlight w:val="none"/>
          <w:lang w:val="en-US" w:eastAsia="zh-CN" w:bidi="ar"/>
        </w:rPr>
        <w:t xml:space="preserve">文件截止时间五日前，不足五日应延长至五日。澄清或者修改内容在采购发布媒体上发布更正公告，并以书面形式通知所有磋商文件收受人，且作为磋商文件的组成部分。 </w:t>
      </w:r>
    </w:p>
    <w:p w14:paraId="0053867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6</w:t>
      </w:r>
      <w:r>
        <w:rPr>
          <w:rFonts w:hint="eastAsia" w:ascii="宋体" w:hAnsi="宋体" w:eastAsia="宋体" w:cs="宋体"/>
          <w:b/>
          <w:bCs/>
          <w:color w:val="auto"/>
          <w:spacing w:val="0"/>
          <w:kern w:val="0"/>
          <w:sz w:val="24"/>
          <w:szCs w:val="24"/>
          <w:highlight w:val="none"/>
          <w:lang w:val="en-US" w:eastAsia="zh-CN" w:bidi="ar"/>
        </w:rPr>
        <w:t>.</w:t>
      </w:r>
      <w:r>
        <w:rPr>
          <w:rFonts w:hint="eastAsia" w:ascii="宋体" w:hAnsi="宋体" w:eastAsia="宋体" w:cs="宋体"/>
          <w:color w:val="auto"/>
          <w:spacing w:val="0"/>
          <w:kern w:val="0"/>
          <w:sz w:val="24"/>
          <w:szCs w:val="24"/>
          <w:highlight w:val="none"/>
          <w:lang w:val="en-US" w:eastAsia="zh-CN" w:bidi="ar"/>
        </w:rPr>
        <w:t xml:space="preserve">3 供应商要求对磋商文件进行澄清的，或认为有必要与采购代理机构进行技术交流的，均应在磋商截止时间5日前按磋商文件中的联系方式，以书面形式通知采购代理机构，采购代理机构以书面形式予以答复，或认为有必要召开答疑会。 </w:t>
      </w:r>
    </w:p>
    <w:p w14:paraId="60D2394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6.4 在磋商截止时间前，采购代理机构可以视采购具体情况，延长磋商时间，并在磋商文件要求提交磋商响应文件的截止时间前，将变更时间以书面形式通知所有购买了磋商文件的供应商，同时在原信息发布媒体上发布变更公告。 </w:t>
      </w:r>
    </w:p>
    <w:p w14:paraId="52FAC3FC">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7. 答疑会和现场勘查 </w:t>
      </w:r>
    </w:p>
    <w:p w14:paraId="3DC2469A">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不组织。 </w:t>
      </w:r>
    </w:p>
    <w:p w14:paraId="326B6952">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8．磋商文件的解释权 </w:t>
      </w:r>
    </w:p>
    <w:p w14:paraId="361CDE7A">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磋商文件的解释权归采购代理机构，如发现磋商文件内容与现行法律法规不相符的情况，以现行法律法规为准。 </w:t>
      </w:r>
    </w:p>
    <w:p w14:paraId="3AFF4749">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三、磋商响应文件 </w:t>
      </w:r>
    </w:p>
    <w:p w14:paraId="17D6834C">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9．供应商资格要求</w:t>
      </w:r>
    </w:p>
    <w:p w14:paraId="330AD56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9.1 供应商应具备下列条件： </w:t>
      </w:r>
    </w:p>
    <w:p w14:paraId="193895B7">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（1）具有独立承担民事责任的能力； </w:t>
      </w:r>
    </w:p>
    <w:p w14:paraId="75DD6D6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（2）具有良好的商业信誉和健全的财务会计制度； </w:t>
      </w:r>
    </w:p>
    <w:p w14:paraId="25F9D06B">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（3）具有履行合同所必须的设备和专业技术能力； </w:t>
      </w:r>
    </w:p>
    <w:p w14:paraId="7F8E25C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w:t>
      </w:r>
      <w:r>
        <w:rPr>
          <w:rFonts w:hint="eastAsia" w:ascii="宋体" w:hAnsi="宋体" w:cs="宋体"/>
          <w:color w:val="auto"/>
          <w:spacing w:val="0"/>
          <w:kern w:val="0"/>
          <w:sz w:val="24"/>
          <w:szCs w:val="24"/>
          <w:highlight w:val="none"/>
          <w:lang w:val="en-US" w:eastAsia="zh-CN" w:bidi="ar"/>
        </w:rPr>
        <w:t>具</w:t>
      </w:r>
      <w:r>
        <w:rPr>
          <w:rFonts w:hint="eastAsia" w:ascii="宋体" w:hAnsi="宋体" w:eastAsia="宋体" w:cs="宋体"/>
          <w:color w:val="auto"/>
          <w:spacing w:val="0"/>
          <w:kern w:val="0"/>
          <w:sz w:val="24"/>
          <w:szCs w:val="24"/>
          <w:highlight w:val="none"/>
          <w:lang w:val="en-US" w:eastAsia="zh-CN" w:bidi="ar"/>
        </w:rPr>
        <w:t xml:space="preserve">有依法交纳税收和社会保障资金的良好记录； </w:t>
      </w:r>
    </w:p>
    <w:p w14:paraId="1A85300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（5）参加本次磋商前3年内，在经营活动中没有重大违法记录；</w:t>
      </w:r>
    </w:p>
    <w:p w14:paraId="3182A4EB">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（6）法律、行政法规规定的其他条件。 </w:t>
      </w:r>
    </w:p>
    <w:p w14:paraId="19760F0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9.2 供应商应提供下列材料： </w:t>
      </w:r>
    </w:p>
    <w:p w14:paraId="4326346F">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1、具有独立承担民事责任能力的法人、其他组织或自然人，并出具合法有效的营业执照或事业单位法人证书等国家规定的相关证明，自然人参与的提供其身份证明。 </w:t>
      </w:r>
      <w:r>
        <w:rPr>
          <w:rFonts w:hint="eastAsia" w:ascii="宋体" w:hAnsi="宋体" w:eastAsia="宋体" w:cs="宋体"/>
          <w:color w:val="auto"/>
          <w:spacing w:val="0"/>
          <w:kern w:val="0"/>
          <w:sz w:val="24"/>
          <w:szCs w:val="24"/>
          <w:highlight w:val="none"/>
          <w:lang w:val="en-US" w:eastAsia="zh-CN" w:bidi="ar"/>
        </w:rPr>
        <w:br w:type="textWrapping"/>
      </w:r>
      <w:r>
        <w:rPr>
          <w:rFonts w:hint="eastAsia" w:ascii="宋体" w:hAnsi="宋体" w:cs="宋体"/>
          <w:color w:val="auto"/>
          <w:spacing w:val="0"/>
          <w:kern w:val="0"/>
          <w:sz w:val="24"/>
          <w:szCs w:val="24"/>
          <w:highlight w:val="none"/>
          <w:lang w:val="en-US" w:eastAsia="zh-CN" w:bidi="ar"/>
        </w:rPr>
        <w:t xml:space="preserve">    </w:t>
      </w:r>
      <w:r>
        <w:rPr>
          <w:rFonts w:hint="eastAsia" w:ascii="宋体" w:hAnsi="宋体" w:eastAsia="宋体" w:cs="宋体"/>
          <w:color w:val="auto"/>
          <w:spacing w:val="0"/>
          <w:kern w:val="0"/>
          <w:sz w:val="24"/>
          <w:szCs w:val="24"/>
          <w:highlight w:val="none"/>
          <w:lang w:val="en-US" w:eastAsia="zh-CN" w:bidi="ar"/>
        </w:rPr>
        <w:t>2、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p>
    <w:p w14:paraId="16DB06D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3、税收缴纳证明：提供2025年1月至今已缴纳至少一个月的依法缴纳税款的相关凭据（时间以税款所属日期为准），凭据应有税务机关或代收机关的公章或业务专用章。依法免税或无须缴纳税款的供应商，应提供相关证明文件。</w:t>
      </w:r>
    </w:p>
    <w:p w14:paraId="681A9FB2">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4、社会保障资金缴纳证明：提供2025年1月至今已缴存的至少一个月的社会保障资金缴存单据或社保机构开具的社会保险参保缴费情况证明，依法不需要缴纳社会保障资金的单位应提供相关证明材料。 </w:t>
      </w:r>
    </w:p>
    <w:p w14:paraId="15513473">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5、书面声明：参加本次政府采购活动前三年内在经营活动中没有重大违法记录，以及未被列入失信被执行人、重大税收违法失信主体、严重失信主体名单的书面声明。本项目拒绝被列入失信被执行人、重大税收违法失信主体、严重失信主体的供应商参与。</w:t>
      </w:r>
    </w:p>
    <w:p w14:paraId="7F2B22F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6、提供具有履行合同所必需的设备和专业技术能力的承诺函； </w:t>
      </w:r>
    </w:p>
    <w:p w14:paraId="686C7128">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7、法定代表人授权书及被授权人身份证（法定代表人直接参与磋商只须提交其身份证原件）</w:t>
      </w:r>
    </w:p>
    <w:p w14:paraId="7234D23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8</w:t>
      </w:r>
      <w:r>
        <w:rPr>
          <w:rFonts w:hint="eastAsia" w:ascii="宋体" w:hAnsi="宋体" w:cs="宋体"/>
          <w:color w:val="auto"/>
          <w:spacing w:val="0"/>
          <w:kern w:val="0"/>
          <w:sz w:val="24"/>
          <w:szCs w:val="24"/>
          <w:highlight w:val="none"/>
          <w:lang w:val="en-US" w:eastAsia="zh-CN" w:bidi="ar"/>
        </w:rPr>
        <w:t>、</w:t>
      </w:r>
      <w:r>
        <w:rPr>
          <w:rFonts w:hint="eastAsia" w:ascii="宋体" w:hAnsi="宋体" w:eastAsia="宋体" w:cs="宋体"/>
          <w:color w:val="auto"/>
          <w:spacing w:val="0"/>
          <w:kern w:val="0"/>
          <w:sz w:val="24"/>
          <w:szCs w:val="24"/>
          <w:highlight w:val="none"/>
          <w:lang w:val="en-US" w:eastAsia="zh-CN" w:bidi="ar"/>
        </w:rPr>
        <w:t>提供中小企业声明函（本项目为非专门面向中、小、微型企业采购项目）。</w:t>
      </w:r>
    </w:p>
    <w:p w14:paraId="7737B958">
      <w:pPr>
        <w:pageBreakBefore w:val="0"/>
        <w:kinsoku/>
        <w:wordWrap/>
        <w:overflowPunct/>
        <w:topLinePunct w:val="0"/>
        <w:autoSpaceDE/>
        <w:autoSpaceDN/>
        <w:bidi w:val="0"/>
        <w:spacing w:line="360" w:lineRule="auto"/>
        <w:ind w:firstLine="482" w:firstLineChars="200"/>
        <w:textAlignment w:val="auto"/>
        <w:outlineLvl w:val="9"/>
        <w:rPr>
          <w:rFonts w:hint="default"/>
          <w:color w:val="auto"/>
          <w:spacing w:val="0"/>
          <w:sz w:val="24"/>
          <w:szCs w:val="24"/>
          <w:highlight w:val="none"/>
          <w:lang w:val="en-US" w:eastAsia="zh-CN"/>
        </w:rPr>
      </w:pPr>
      <w:r>
        <w:rPr>
          <w:rFonts w:hint="eastAsia" w:ascii="宋体" w:hAnsi="宋体" w:eastAsia="宋体" w:cs="宋体"/>
          <w:b/>
          <w:bCs/>
          <w:color w:val="auto"/>
          <w:spacing w:val="0"/>
          <w:kern w:val="0"/>
          <w:sz w:val="24"/>
          <w:szCs w:val="24"/>
          <w:highlight w:val="none"/>
          <w:lang w:val="en-US" w:eastAsia="zh-CN" w:bidi="ar"/>
        </w:rPr>
        <w:t>注：上述资质文件</w:t>
      </w:r>
      <w:r>
        <w:rPr>
          <w:rFonts w:hint="eastAsia" w:ascii="宋体" w:hAnsi="宋体" w:cs="宋体"/>
          <w:b/>
          <w:bCs/>
          <w:color w:val="auto"/>
          <w:spacing w:val="0"/>
          <w:kern w:val="0"/>
          <w:sz w:val="24"/>
          <w:szCs w:val="24"/>
          <w:highlight w:val="none"/>
          <w:lang w:val="en-US" w:eastAsia="zh-CN" w:bidi="ar"/>
        </w:rPr>
        <w:t>1-7项</w:t>
      </w:r>
      <w:r>
        <w:rPr>
          <w:rFonts w:hint="eastAsia" w:ascii="宋体" w:hAnsi="宋体" w:eastAsia="宋体" w:cs="宋体"/>
          <w:b/>
          <w:bCs/>
          <w:color w:val="auto"/>
          <w:spacing w:val="0"/>
          <w:kern w:val="0"/>
          <w:sz w:val="24"/>
          <w:szCs w:val="24"/>
          <w:highlight w:val="none"/>
          <w:lang w:val="en-US" w:eastAsia="zh-CN" w:bidi="ar"/>
        </w:rPr>
        <w:t>为必备资质，缺少一项或某项达不到磋商文件要求的按无效磋商</w:t>
      </w:r>
      <w:r>
        <w:rPr>
          <w:rFonts w:hint="eastAsia" w:ascii="宋体" w:hAnsi="宋体" w:cs="宋体"/>
          <w:b/>
          <w:bCs/>
          <w:color w:val="auto"/>
          <w:spacing w:val="0"/>
          <w:kern w:val="0"/>
          <w:sz w:val="24"/>
          <w:szCs w:val="24"/>
          <w:highlight w:val="none"/>
          <w:lang w:val="en-US" w:eastAsia="zh-CN" w:bidi="ar"/>
        </w:rPr>
        <w:t>响应</w:t>
      </w:r>
      <w:r>
        <w:rPr>
          <w:rFonts w:hint="eastAsia" w:ascii="宋体" w:hAnsi="宋体" w:eastAsia="宋体" w:cs="宋体"/>
          <w:b/>
          <w:bCs/>
          <w:color w:val="auto"/>
          <w:spacing w:val="0"/>
          <w:kern w:val="0"/>
          <w:sz w:val="24"/>
          <w:szCs w:val="24"/>
          <w:highlight w:val="none"/>
          <w:lang w:val="en-US" w:eastAsia="zh-CN" w:bidi="ar"/>
        </w:rPr>
        <w:t>文件处理。第8项中小企业声明函</w:t>
      </w:r>
      <w:r>
        <w:rPr>
          <w:rFonts w:hint="eastAsia" w:ascii="宋体" w:hAnsi="宋体" w:cs="宋体"/>
          <w:b/>
          <w:bCs/>
          <w:color w:val="auto"/>
          <w:spacing w:val="0"/>
          <w:kern w:val="0"/>
          <w:sz w:val="24"/>
          <w:szCs w:val="24"/>
          <w:highlight w:val="none"/>
          <w:lang w:val="en-US" w:eastAsia="zh-CN" w:bidi="ar"/>
        </w:rPr>
        <w:t>仅作为价格扣除依据，不纳入资格审查否决范围。</w:t>
      </w:r>
    </w:p>
    <w:p w14:paraId="4DA21C8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9.本项目不接受联合体磋商。单位负责人为同一人或者存在控股、管理关系的不同单位不得同时磋商。 </w:t>
      </w:r>
    </w:p>
    <w:p w14:paraId="0815749B">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10.磋商</w:t>
      </w:r>
      <w:r>
        <w:rPr>
          <w:rFonts w:hint="eastAsia" w:ascii="宋体" w:hAnsi="宋体" w:cs="宋体"/>
          <w:b/>
          <w:bCs/>
          <w:color w:val="auto"/>
          <w:spacing w:val="0"/>
          <w:kern w:val="0"/>
          <w:sz w:val="24"/>
          <w:szCs w:val="24"/>
          <w:highlight w:val="none"/>
          <w:lang w:val="en-US" w:eastAsia="zh-CN" w:bidi="ar"/>
        </w:rPr>
        <w:t>响应</w:t>
      </w:r>
      <w:r>
        <w:rPr>
          <w:rFonts w:hint="eastAsia" w:ascii="宋体" w:hAnsi="宋体" w:eastAsia="宋体" w:cs="宋体"/>
          <w:b/>
          <w:bCs/>
          <w:color w:val="auto"/>
          <w:spacing w:val="0"/>
          <w:kern w:val="0"/>
          <w:sz w:val="24"/>
          <w:szCs w:val="24"/>
          <w:highlight w:val="none"/>
          <w:lang w:val="en-US" w:eastAsia="zh-CN" w:bidi="ar"/>
        </w:rPr>
        <w:t xml:space="preserve">文件的语言 </w:t>
      </w:r>
    </w:p>
    <w:p w14:paraId="66CD46E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10.1 供应商提交的磋商响应文件以及供应商与采购代理机构就有关磋商的所有来往书面文件均须使用中文。磋商响应文件中如附有外文资料，必须逐一对应翻译成中文并加盖供应商公章后附在相关外文资料后面，否则，供应商的磋商响应文件将作为无效磋商处理。 </w:t>
      </w:r>
    </w:p>
    <w:p w14:paraId="27B40D3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10.2 翻译的中文资料与外文资料如果出现差异和矛盾时，以中文为准。但不能故意错误翻译，否则，供应商的磋商文件将作为无效磋商处理。 </w:t>
      </w:r>
    </w:p>
    <w:p w14:paraId="7D43689B">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11．计量单位 </w:t>
      </w:r>
    </w:p>
    <w:p w14:paraId="5256E227">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除技术规格及要求中另有规定外，本采购项下的磋商均采用国家法定的计量单位。 </w:t>
      </w:r>
    </w:p>
    <w:p w14:paraId="6D4AD992">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12. 磋商货币 </w:t>
      </w:r>
    </w:p>
    <w:p w14:paraId="57AD8F8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本次磋商项目的磋商均以人民币报价。 </w:t>
      </w:r>
    </w:p>
    <w:p w14:paraId="315C641E">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13. 知识产权 </w:t>
      </w:r>
    </w:p>
    <w:p w14:paraId="48E2B97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13.1 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 </w:t>
      </w:r>
    </w:p>
    <w:p w14:paraId="1C8B3B3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13.2 采购人享有本项目实施过程中产生的知识成果及知识产权。 </w:t>
      </w:r>
    </w:p>
    <w:p w14:paraId="68A7EFF5">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14．磋商响应文件的组成 </w:t>
      </w:r>
    </w:p>
    <w:p w14:paraId="3786CAF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color w:val="auto"/>
          <w:highlight w:val="none"/>
        </w:rPr>
      </w:pPr>
      <w:r>
        <w:rPr>
          <w:rFonts w:hint="eastAsia" w:ascii="宋体" w:hAnsi="宋体" w:eastAsia="宋体" w:cs="宋体"/>
          <w:color w:val="auto"/>
          <w:spacing w:val="0"/>
          <w:kern w:val="0"/>
          <w:sz w:val="24"/>
          <w:szCs w:val="24"/>
          <w:highlight w:val="none"/>
          <w:lang w:val="en-US" w:eastAsia="zh-CN" w:bidi="ar"/>
        </w:rPr>
        <w:t>供应商应按照磋商文件的规定和要求编制磋商响应文件。供应商拟在</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后将</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项目的非主体、非关键性工作交由他人完成的，应当在磋商响应文件中载明。供应商编写的磋商响应文件应包括下列部分： </w:t>
      </w:r>
    </w:p>
    <w:p w14:paraId="2CE22311">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eastAsia="宋体" w:cs="宋体"/>
          <w:b/>
          <w:bCs/>
          <w:color w:val="auto"/>
          <w:spacing w:val="0"/>
          <w:kern w:val="0"/>
          <w:sz w:val="24"/>
          <w:szCs w:val="24"/>
          <w:highlight w:val="none"/>
          <w:lang w:val="en-US" w:eastAsia="zh-CN" w:bidi="ar"/>
        </w:rPr>
        <w:t>14.1 报价部分</w:t>
      </w:r>
    </w:p>
    <w:p w14:paraId="2187EB2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供应商按照磋商文件要求填写“开标一览表”。本次磋商报价要求： </w:t>
      </w:r>
    </w:p>
    <w:p w14:paraId="611751D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14.1.1 供应商报价</w:t>
      </w:r>
      <w:r>
        <w:rPr>
          <w:rFonts w:hint="eastAsia" w:ascii="宋体" w:hAnsi="宋体" w:cs="宋体"/>
          <w:color w:val="auto"/>
          <w:spacing w:val="0"/>
          <w:kern w:val="0"/>
          <w:sz w:val="24"/>
          <w:szCs w:val="24"/>
          <w:highlight w:val="none"/>
          <w:lang w:val="en-US" w:eastAsia="zh-CN" w:bidi="ar"/>
        </w:rPr>
        <w:t>超过</w:t>
      </w:r>
      <w:r>
        <w:rPr>
          <w:rFonts w:hint="eastAsia" w:ascii="宋体" w:hAnsi="宋体" w:eastAsia="宋体" w:cs="宋体"/>
          <w:color w:val="auto"/>
          <w:spacing w:val="0"/>
          <w:kern w:val="0"/>
          <w:sz w:val="24"/>
          <w:szCs w:val="24"/>
          <w:highlight w:val="none"/>
          <w:lang w:val="en-US" w:eastAsia="zh-CN" w:bidi="ar"/>
        </w:rPr>
        <w:t xml:space="preserve">采购预算，作为不实质性响应磋商文件，按无效磋商处理。供应商的报价是供应商响应本磋商项目要求的全部工作内容的价格体现，包括供应商完成本项目所需的一切费用。 </w:t>
      </w:r>
    </w:p>
    <w:p w14:paraId="4FCA19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14.1.2 供应商只允许有一个报价，并且在合同履行过程中是固定不变的，任何有选择或可调整的报价将不予接受，并按无效磋商处理。 </w:t>
      </w:r>
    </w:p>
    <w:p w14:paraId="4DE5849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14.1.3 供应商不得以低于成本的报价参加磋商。若磋商小组成员认为某个供应商的报价明显低于其他通过</w:t>
      </w:r>
      <w:r>
        <w:rPr>
          <w:rFonts w:hint="eastAsia" w:ascii="宋体" w:hAnsi="宋体" w:cs="宋体"/>
          <w:color w:val="auto"/>
          <w:spacing w:val="0"/>
          <w:kern w:val="0"/>
          <w:sz w:val="24"/>
          <w:szCs w:val="24"/>
          <w:highlight w:val="none"/>
          <w:lang w:val="en-US" w:eastAsia="zh-CN" w:bidi="ar"/>
        </w:rPr>
        <w:t>资格和</w:t>
      </w:r>
      <w:r>
        <w:rPr>
          <w:rFonts w:hint="eastAsia" w:ascii="宋体" w:hAnsi="宋体" w:eastAsia="宋体" w:cs="宋体"/>
          <w:color w:val="auto"/>
          <w:spacing w:val="0"/>
          <w:kern w:val="0"/>
          <w:sz w:val="24"/>
          <w:szCs w:val="24"/>
          <w:highlight w:val="none"/>
          <w:lang w:val="en-US" w:eastAsia="zh-CN" w:bidi="ar"/>
        </w:rPr>
        <w:t>符合性审查的供应商的报价，有可能影响产品质量或者不能诚信履约的，应当要求其在评标现场合理的时间内提供书面说明，必要时提交相关证明材料；供应商不能证明其报价合理性的，磋商小组应将其作为无效磋商处理。</w:t>
      </w:r>
    </w:p>
    <w:p w14:paraId="224E707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pacing w:val="0"/>
          <w:sz w:val="24"/>
          <w:highlight w:val="none"/>
        </w:rPr>
      </w:pPr>
      <w:r>
        <w:rPr>
          <w:rFonts w:hint="eastAsia" w:ascii="宋体" w:hAnsi="宋体" w:cs="宋体"/>
          <w:color w:val="auto"/>
          <w:spacing w:val="0"/>
          <w:kern w:val="0"/>
          <w:sz w:val="24"/>
          <w:szCs w:val="24"/>
          <w:highlight w:val="none"/>
          <w:lang w:val="en-US" w:eastAsia="zh-CN" w:bidi="ar"/>
        </w:rPr>
        <w:t>14.1.4 本项目采取二次报价。</w:t>
      </w:r>
      <w:r>
        <w:rPr>
          <w:rFonts w:hint="eastAsia" w:ascii="宋体" w:hAnsi="宋体"/>
          <w:color w:val="auto"/>
          <w:spacing w:val="0"/>
          <w:sz w:val="24"/>
          <w:highlight w:val="none"/>
        </w:rPr>
        <w:t>二次报价为最终报价，在满足磋商文件所有实质性要求前提下，提交最终报价。如采购需求没有实质性变化，各供应商的报价应逐次降低。</w:t>
      </w:r>
    </w:p>
    <w:p w14:paraId="652515FD">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eastAsia="宋体" w:cs="宋体"/>
          <w:b/>
          <w:bCs/>
          <w:color w:val="auto"/>
          <w:spacing w:val="0"/>
          <w:kern w:val="0"/>
          <w:sz w:val="24"/>
          <w:szCs w:val="24"/>
          <w:highlight w:val="none"/>
          <w:lang w:val="en-US" w:eastAsia="zh-CN" w:bidi="ar"/>
        </w:rPr>
        <w:t>14.2 技术部分</w:t>
      </w:r>
    </w:p>
    <w:p w14:paraId="0E86C37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供应商按照磋商文件要求做出的技术应答，主要是针对磋商项目的技术指标、参数和技术要求做出的实质性响应和满足，不得出现负偏离，否则作为无效磋商处理。</w:t>
      </w:r>
    </w:p>
    <w:p w14:paraId="4A943078">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eastAsia="宋体" w:cs="宋体"/>
          <w:b/>
          <w:bCs/>
          <w:color w:val="auto"/>
          <w:spacing w:val="0"/>
          <w:kern w:val="0"/>
          <w:sz w:val="24"/>
          <w:szCs w:val="24"/>
          <w:highlight w:val="none"/>
          <w:lang w:val="en-US" w:eastAsia="zh-CN" w:bidi="ar"/>
        </w:rPr>
        <w:t>14.3 商务部分</w:t>
      </w:r>
    </w:p>
    <w:p w14:paraId="1625504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供应商按照磋商文件要求做出完全响应，提供有关资质证明文件，未能提供相关证明文件或提供的文件不能满足磋商文件要求，作为无效磋商处理。</w:t>
      </w:r>
    </w:p>
    <w:p w14:paraId="75C5003F">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15．磋商保证金 </w:t>
      </w:r>
    </w:p>
    <w:p w14:paraId="37DEC42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15.1 磋商保证金数额见供应商须知前附表。供应商磋商时，必须以人民币提交足额的磋商保证金，并作为其磋商的一部分。  </w:t>
      </w:r>
    </w:p>
    <w:p w14:paraId="15C6220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15.</w:t>
      </w: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 xml:space="preserve"> 磋商保证金的退还 </w:t>
      </w:r>
    </w:p>
    <w:p w14:paraId="3D5B7C2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15.</w:t>
      </w: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 xml:space="preserve">.1 </w:t>
      </w:r>
      <w:r>
        <w:rPr>
          <w:rFonts w:hint="eastAsia" w:ascii="宋体" w:hAnsi="宋体" w:cs="宋体"/>
          <w:color w:val="auto"/>
          <w:sz w:val="24"/>
          <w:szCs w:val="24"/>
          <w:highlight w:val="none"/>
        </w:rPr>
        <w:t>未</w:t>
      </w:r>
      <w:r>
        <w:rPr>
          <w:rFonts w:hint="eastAsia" w:ascii="宋体" w:hAnsi="宋体" w:cs="宋体"/>
          <w:color w:val="auto"/>
          <w:spacing w:val="0"/>
          <w:kern w:val="0"/>
          <w:sz w:val="24"/>
          <w:szCs w:val="24"/>
          <w:highlight w:val="none"/>
          <w:lang w:val="en-US" w:eastAsia="zh-CN" w:bidi="ar"/>
        </w:rPr>
        <w:t>成交</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保证金，在</w:t>
      </w:r>
      <w:r>
        <w:rPr>
          <w:rFonts w:hint="eastAsia" w:ascii="宋体" w:hAnsi="宋体" w:cs="宋体"/>
          <w:color w:val="auto"/>
          <w:spacing w:val="0"/>
          <w:kern w:val="0"/>
          <w:sz w:val="24"/>
          <w:szCs w:val="24"/>
          <w:highlight w:val="none"/>
          <w:lang w:val="en-US" w:eastAsia="zh-CN" w:bidi="ar"/>
        </w:rPr>
        <w:t>成交</w:t>
      </w:r>
      <w:r>
        <w:rPr>
          <w:rFonts w:hint="eastAsia" w:ascii="宋体" w:hAnsi="宋体" w:cs="宋体"/>
          <w:color w:val="auto"/>
          <w:sz w:val="24"/>
          <w:szCs w:val="24"/>
          <w:highlight w:val="none"/>
        </w:rPr>
        <w:t>通知书发出后5个工作日内无息退还；</w:t>
      </w:r>
      <w:r>
        <w:rPr>
          <w:rFonts w:hint="eastAsia" w:ascii="宋体" w:hAnsi="宋体" w:cs="宋体"/>
          <w:color w:val="auto"/>
          <w:spacing w:val="0"/>
          <w:kern w:val="0"/>
          <w:sz w:val="24"/>
          <w:szCs w:val="24"/>
          <w:highlight w:val="none"/>
          <w:lang w:val="en-US" w:eastAsia="zh-CN" w:bidi="ar"/>
        </w:rPr>
        <w:t>成交供应商</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保证金在</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合同签订后5个工作日内无息退还</w:t>
      </w:r>
      <w:r>
        <w:rPr>
          <w:rFonts w:hint="eastAsia" w:ascii="宋体" w:hAnsi="宋体" w:eastAsia="宋体" w:cs="宋体"/>
          <w:color w:val="auto"/>
          <w:spacing w:val="0"/>
          <w:kern w:val="0"/>
          <w:sz w:val="24"/>
          <w:szCs w:val="24"/>
          <w:highlight w:val="none"/>
          <w:lang w:val="en-US" w:eastAsia="zh-CN" w:bidi="ar"/>
        </w:rPr>
        <w:t xml:space="preserve">。 </w:t>
      </w:r>
    </w:p>
    <w:p w14:paraId="56FA7FB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15.</w:t>
      </w: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w:t>
      </w: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 xml:space="preserve"> 下列任何情况发生时，采购代理机构将不予退还供应商交纳的磋商保证金；情节严重的，将其列入不良行为纪录名单，在一至三年内禁止参加采购活动，并予以通报： </w:t>
      </w:r>
    </w:p>
    <w:p w14:paraId="56A5469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（1）供应商在提交磋商响应文件截止时间后撤回磋商响应文件的； </w:t>
      </w:r>
    </w:p>
    <w:p w14:paraId="19DB876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（2）供应商在磋商响应文件中提供虚假材料的； </w:t>
      </w:r>
    </w:p>
    <w:p w14:paraId="72CDF13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（3）除因不可抗力或磋商文件认可的情形以外，</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供应商不与采购人签订合同的；</w:t>
      </w:r>
    </w:p>
    <w:p w14:paraId="71B97BB7">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（4）由于</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供应商的原因未能按规定支付磋商代理服务费； </w:t>
      </w:r>
    </w:p>
    <w:p w14:paraId="737CD47F">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（5）供应商与采购人、其他供应商或采购代理机构恶意串通的； </w:t>
      </w:r>
    </w:p>
    <w:p w14:paraId="127D513F">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（6）法律法规规定的其他内容。 </w:t>
      </w:r>
    </w:p>
    <w:p w14:paraId="087544F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15.</w:t>
      </w: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w:t>
      </w:r>
      <w:r>
        <w:rPr>
          <w:rFonts w:hint="eastAsia" w:ascii="宋体" w:hAnsi="宋体" w:cs="宋体"/>
          <w:color w:val="auto"/>
          <w:spacing w:val="0"/>
          <w:kern w:val="0"/>
          <w:sz w:val="24"/>
          <w:szCs w:val="24"/>
          <w:highlight w:val="none"/>
          <w:lang w:val="en-US" w:eastAsia="zh-CN" w:bidi="ar"/>
        </w:rPr>
        <w:t>3</w:t>
      </w:r>
      <w:r>
        <w:rPr>
          <w:rFonts w:hint="eastAsia" w:ascii="宋体" w:hAnsi="宋体" w:eastAsia="宋体" w:cs="宋体"/>
          <w:color w:val="auto"/>
          <w:spacing w:val="0"/>
          <w:kern w:val="0"/>
          <w:sz w:val="24"/>
          <w:szCs w:val="24"/>
          <w:highlight w:val="none"/>
          <w:lang w:val="en-US" w:eastAsia="zh-CN" w:bidi="ar"/>
        </w:rPr>
        <w:t xml:space="preserve"> </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lang w:eastAsia="zh-CN"/>
        </w:rPr>
        <w:t>人</w:t>
      </w:r>
      <w:r>
        <w:rPr>
          <w:rFonts w:hint="eastAsia" w:ascii="宋体" w:hAnsi="宋体" w:cs="宋体"/>
          <w:color w:val="auto"/>
          <w:sz w:val="24"/>
          <w:szCs w:val="24"/>
          <w:highlight w:val="none"/>
        </w:rPr>
        <w:t>在退取投标保证金时，需携带与</w:t>
      </w:r>
      <w:r>
        <w:rPr>
          <w:rFonts w:hint="eastAsia" w:ascii="宋体" w:hAnsi="宋体" w:cs="宋体"/>
          <w:color w:val="auto"/>
          <w:sz w:val="24"/>
          <w:szCs w:val="24"/>
          <w:highlight w:val="none"/>
          <w:lang w:eastAsia="zh-CN"/>
        </w:rPr>
        <w:t>招标人</w:t>
      </w:r>
      <w:r>
        <w:rPr>
          <w:rFonts w:hint="eastAsia" w:ascii="宋体" w:hAnsi="宋体" w:cs="宋体"/>
          <w:color w:val="auto"/>
          <w:sz w:val="24"/>
          <w:szCs w:val="24"/>
          <w:highlight w:val="none"/>
        </w:rPr>
        <w:t>签订的</w:t>
      </w:r>
      <w:r>
        <w:rPr>
          <w:rFonts w:hint="eastAsia" w:ascii="宋体" w:hAnsi="宋体" w:cs="宋体"/>
          <w:color w:val="auto"/>
          <w:sz w:val="24"/>
          <w:szCs w:val="24"/>
          <w:highlight w:val="none"/>
          <w:lang w:val="en-US" w:eastAsia="zh-CN"/>
        </w:rPr>
        <w:t>成交</w:t>
      </w:r>
      <w:r>
        <w:rPr>
          <w:rFonts w:hint="eastAsia" w:ascii="宋体" w:hAnsi="宋体" w:cs="宋体"/>
          <w:color w:val="auto"/>
          <w:sz w:val="24"/>
          <w:szCs w:val="24"/>
          <w:highlight w:val="none"/>
        </w:rPr>
        <w:t>合同（原件）</w:t>
      </w:r>
      <w:r>
        <w:rPr>
          <w:rFonts w:hint="eastAsia" w:ascii="宋体" w:hAnsi="宋体" w:eastAsia="宋体" w:cs="宋体"/>
          <w:color w:val="auto"/>
          <w:spacing w:val="0"/>
          <w:kern w:val="0"/>
          <w:sz w:val="24"/>
          <w:szCs w:val="24"/>
          <w:highlight w:val="none"/>
          <w:lang w:val="en-US" w:eastAsia="zh-CN" w:bidi="ar"/>
        </w:rPr>
        <w:t xml:space="preserve">。 </w:t>
      </w:r>
    </w:p>
    <w:p w14:paraId="45E8D1DD">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16．磋商有效期 </w:t>
      </w:r>
    </w:p>
    <w:p w14:paraId="0AE500B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16.1 磋商有效期见供应商须知前附表。磋商有效期短于此规定期限的磋商，将按无效磋商处理。 </w:t>
      </w:r>
    </w:p>
    <w:p w14:paraId="5159A27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16.2 特殊情况下，采购代理机构可于磋商有效期满之前要求供应商同意延长有效期，要求与答复均应为书面形式。供应商可以拒绝上述要求，其磋商保证金不被没收。拒绝延长磋商有效期的供应商不得再参与该项目后续采购活动。同意延长磋商有效期的供应商不能修改其磋商响应文件，关于磋商保证金的有关规定在延长的磋商有效期内继续有效。 </w:t>
      </w:r>
    </w:p>
    <w:p w14:paraId="44C2484F">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17．磋商响应文件的制作和签署 </w:t>
      </w:r>
    </w:p>
    <w:p w14:paraId="1AA7261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17.1 磋商响应文件应根据磋商文件的要求制作。供应商应填写全称，同时加盖公章，签署、盖章和内容应完整，如有遗漏，将被视为无效磋商。 </w:t>
      </w:r>
    </w:p>
    <w:p w14:paraId="1A699D5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17.2 磋商</w:t>
      </w:r>
      <w:r>
        <w:rPr>
          <w:rFonts w:hint="eastAsia" w:ascii="宋体" w:hAnsi="宋体" w:cs="宋体"/>
          <w:color w:val="auto"/>
          <w:spacing w:val="0"/>
          <w:kern w:val="0"/>
          <w:sz w:val="24"/>
          <w:szCs w:val="24"/>
          <w:highlight w:val="none"/>
          <w:lang w:val="en-US" w:eastAsia="zh-CN" w:bidi="ar"/>
        </w:rPr>
        <w:t>响应</w:t>
      </w:r>
      <w:r>
        <w:rPr>
          <w:rFonts w:hint="eastAsia" w:ascii="宋体" w:hAnsi="宋体" w:eastAsia="宋体" w:cs="宋体"/>
          <w:color w:val="auto"/>
          <w:spacing w:val="0"/>
          <w:kern w:val="0"/>
          <w:sz w:val="24"/>
          <w:szCs w:val="24"/>
          <w:highlight w:val="none"/>
          <w:lang w:val="en-US" w:eastAsia="zh-CN" w:bidi="ar"/>
        </w:rPr>
        <w:t>文件格式。供应商应严格按照磋商文件第</w:t>
      </w:r>
      <w:r>
        <w:rPr>
          <w:rFonts w:hint="eastAsia" w:ascii="宋体" w:hAnsi="宋体" w:cs="宋体"/>
          <w:color w:val="auto"/>
          <w:spacing w:val="0"/>
          <w:kern w:val="0"/>
          <w:sz w:val="24"/>
          <w:szCs w:val="24"/>
          <w:highlight w:val="none"/>
          <w:lang w:val="en-US" w:eastAsia="zh-CN" w:bidi="ar"/>
        </w:rPr>
        <w:t>六</w:t>
      </w:r>
      <w:r>
        <w:rPr>
          <w:rFonts w:hint="eastAsia" w:ascii="宋体" w:hAnsi="宋体" w:eastAsia="宋体" w:cs="宋体"/>
          <w:color w:val="auto"/>
          <w:spacing w:val="0"/>
          <w:kern w:val="0"/>
          <w:sz w:val="24"/>
          <w:szCs w:val="24"/>
          <w:highlight w:val="none"/>
          <w:lang w:val="en-US" w:eastAsia="zh-CN" w:bidi="ar"/>
        </w:rPr>
        <w:t xml:space="preserve">章提供的“磋商响应文件格式”填写相关内容。除明确允许供应商可以自行编写的外，供应商不得以“磋商响应文件格式”规定之外的方式填写相关内容。否则，供应商提供的磋商响应文件将作为无效磋商处理。 </w:t>
      </w:r>
    </w:p>
    <w:p w14:paraId="19655CD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17.3 对于没有格式要求的磋商响应文件由供应商自行编写。 </w:t>
      </w:r>
    </w:p>
    <w:p w14:paraId="1478C47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17.4 供应商应按“磋商须知前附表”准备磋商响应文件正本、副本和相应的电子文件。磋商响应文件的正本和副本应在其封面右上角清楚地标明“正本”或“副本”字样。 若正本和副本有不一致的内容，以正本书面磋商响应文件为准。 </w:t>
      </w:r>
    </w:p>
    <w:p w14:paraId="024CE5F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17.5 磋商响应文件的正本和副本均需打印或用不褪色、不变质的墨水书写，并由供应商的法定代表人或其授权代表在规定签章处签字或盖章。</w:t>
      </w:r>
    </w:p>
    <w:p w14:paraId="3F9F4EE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17.6 磋商响应文件的打印和书写应清楚工整，任何行间插字、涂改或增删，必须由供应商的法定代表人（或其授权代表）签字或盖个人印鉴。字迹潦草、表达不清或可能导致非唯一理解的磋商文件可能视为无效磋商。 </w:t>
      </w:r>
    </w:p>
    <w:p w14:paraId="48A1740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17.7 磋商响应文件正本和副本必须装订成册并逐页编码。 </w:t>
      </w:r>
    </w:p>
    <w:p w14:paraId="771F82D4">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17.8 电子文件制作要求</w:t>
      </w:r>
      <w:r>
        <w:rPr>
          <w:rFonts w:hint="eastAsia" w:ascii="宋体" w:hAnsi="宋体" w:cs="宋体"/>
          <w:b/>
          <w:bCs/>
          <w:color w:val="auto"/>
          <w:spacing w:val="0"/>
          <w:kern w:val="0"/>
          <w:sz w:val="24"/>
          <w:szCs w:val="24"/>
          <w:highlight w:val="none"/>
          <w:lang w:val="en-US" w:eastAsia="zh-CN" w:bidi="ar"/>
        </w:rPr>
        <w:t>。</w:t>
      </w:r>
      <w:r>
        <w:rPr>
          <w:rFonts w:hint="eastAsia" w:ascii="宋体" w:hAnsi="宋体" w:eastAsia="宋体" w:cs="宋体"/>
          <w:b/>
          <w:bCs/>
          <w:color w:val="auto"/>
          <w:spacing w:val="0"/>
          <w:kern w:val="0"/>
          <w:sz w:val="24"/>
          <w:szCs w:val="24"/>
          <w:highlight w:val="none"/>
          <w:lang w:val="en-US" w:eastAsia="zh-CN" w:bidi="ar"/>
        </w:rPr>
        <w:t xml:space="preserve">电子文件与纸质正本磋商响应文件的内容应保持一致，具有同等法律效力。 </w:t>
      </w:r>
    </w:p>
    <w:p w14:paraId="692DCB4B">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四、磋商 </w:t>
      </w:r>
    </w:p>
    <w:p w14:paraId="192301E8">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18.磋商内容要求 </w:t>
      </w:r>
    </w:p>
    <w:p w14:paraId="745E598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各供应商应仔细阅读磋商文件中的所有事项、格式、条款和要求，对磋商文件的全部内容及要求作出实质性响应，提交相应资料。 </w:t>
      </w:r>
    </w:p>
    <w:p w14:paraId="64CF64D0">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19、磋商响应文件的密封和标注 </w:t>
      </w:r>
    </w:p>
    <w:p w14:paraId="1E21B2F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19.</w:t>
      </w:r>
      <w:r>
        <w:rPr>
          <w:rFonts w:hint="eastAsia" w:ascii="宋体" w:hAnsi="宋体" w:cs="宋体"/>
          <w:color w:val="auto"/>
          <w:spacing w:val="0"/>
          <w:kern w:val="0"/>
          <w:sz w:val="24"/>
          <w:szCs w:val="24"/>
          <w:highlight w:val="none"/>
          <w:lang w:val="en-US" w:eastAsia="zh-CN" w:bidi="ar"/>
        </w:rPr>
        <w:t>1</w:t>
      </w:r>
      <w:r>
        <w:rPr>
          <w:rFonts w:hint="eastAsia" w:ascii="宋体" w:hAnsi="宋体" w:eastAsia="宋体" w:cs="宋体"/>
          <w:color w:val="auto"/>
          <w:spacing w:val="0"/>
          <w:kern w:val="0"/>
          <w:sz w:val="24"/>
          <w:szCs w:val="24"/>
          <w:highlight w:val="none"/>
          <w:lang w:val="en-US" w:eastAsia="zh-CN" w:bidi="ar"/>
        </w:rPr>
        <w:t xml:space="preserve"> 磋商响应文件正本、所有副本(所有副本密封在一个密封袋内)应分别装袋密封，电子文件放置正本袋内，密封袋上应分别标上“正本”、“副本”字样，并注明</w:t>
      </w:r>
      <w:r>
        <w:rPr>
          <w:rFonts w:hint="eastAsia" w:ascii="宋体" w:hAnsi="宋体" w:cs="宋体"/>
          <w:color w:val="auto"/>
          <w:spacing w:val="0"/>
          <w:kern w:val="0"/>
          <w:sz w:val="24"/>
          <w:szCs w:val="24"/>
          <w:highlight w:val="none"/>
          <w:lang w:val="en-US" w:eastAsia="zh-CN" w:bidi="ar"/>
        </w:rPr>
        <w:t>采购项目名称、项目编号、</w:t>
      </w:r>
      <w:r>
        <w:rPr>
          <w:rFonts w:hint="eastAsia" w:ascii="宋体" w:hAnsi="宋体" w:eastAsia="宋体" w:cs="宋体"/>
          <w:color w:val="auto"/>
          <w:spacing w:val="0"/>
          <w:kern w:val="0"/>
          <w:sz w:val="24"/>
          <w:szCs w:val="24"/>
          <w:highlight w:val="none"/>
          <w:lang w:val="en-US" w:eastAsia="zh-CN" w:bidi="ar"/>
        </w:rPr>
        <w:t>供应商名称、</w:t>
      </w:r>
      <w:r>
        <w:rPr>
          <w:rFonts w:hint="eastAsia" w:ascii="宋体" w:hAnsi="宋体" w:cs="宋体"/>
          <w:color w:val="auto"/>
          <w:spacing w:val="0"/>
          <w:kern w:val="0"/>
          <w:sz w:val="24"/>
          <w:szCs w:val="24"/>
          <w:highlight w:val="none"/>
          <w:lang w:val="en-US" w:eastAsia="zh-CN" w:bidi="ar"/>
        </w:rPr>
        <w:t>供应商地址、</w:t>
      </w:r>
      <w:r>
        <w:rPr>
          <w:rFonts w:hint="eastAsia" w:ascii="宋体" w:hAnsi="宋体" w:eastAsia="宋体" w:cs="宋体"/>
          <w:color w:val="auto"/>
          <w:spacing w:val="0"/>
          <w:kern w:val="0"/>
          <w:sz w:val="24"/>
          <w:szCs w:val="24"/>
          <w:highlight w:val="none"/>
          <w:lang w:val="en-US" w:eastAsia="zh-CN" w:bidi="ar"/>
        </w:rPr>
        <w:t>“</w:t>
      </w:r>
      <w:r>
        <w:rPr>
          <w:rFonts w:hint="eastAsia" w:ascii="宋体" w:hAnsi="宋体" w:cs="宋体"/>
          <w:color w:val="auto"/>
          <w:spacing w:val="0"/>
          <w:kern w:val="0"/>
          <w:sz w:val="24"/>
          <w:szCs w:val="24"/>
          <w:highlight w:val="none"/>
          <w:lang w:val="en-US" w:eastAsia="zh-CN" w:bidi="ar"/>
        </w:rPr>
        <w:t>于（磋商时间）</w:t>
      </w:r>
      <w:r>
        <w:rPr>
          <w:rFonts w:hint="eastAsia" w:ascii="宋体" w:hAnsi="宋体" w:eastAsia="宋体" w:cs="宋体"/>
          <w:color w:val="auto"/>
          <w:spacing w:val="0"/>
          <w:kern w:val="0"/>
          <w:sz w:val="24"/>
          <w:szCs w:val="24"/>
          <w:highlight w:val="none"/>
          <w:lang w:val="en-US" w:eastAsia="zh-CN" w:bidi="ar"/>
        </w:rPr>
        <w:t>启封”</w:t>
      </w:r>
      <w:r>
        <w:rPr>
          <w:rFonts w:hint="eastAsia" w:ascii="宋体" w:hAnsi="宋体" w:cs="宋体"/>
          <w:color w:val="auto"/>
          <w:spacing w:val="0"/>
          <w:kern w:val="0"/>
          <w:sz w:val="24"/>
          <w:szCs w:val="24"/>
          <w:highlight w:val="none"/>
          <w:lang w:val="en-US" w:eastAsia="zh-CN" w:bidi="ar"/>
        </w:rPr>
        <w:t>等</w:t>
      </w:r>
      <w:r>
        <w:rPr>
          <w:rFonts w:hint="eastAsia" w:ascii="宋体" w:hAnsi="宋体" w:eastAsia="宋体" w:cs="宋体"/>
          <w:color w:val="auto"/>
          <w:spacing w:val="0"/>
          <w:kern w:val="0"/>
          <w:sz w:val="24"/>
          <w:szCs w:val="24"/>
          <w:highlight w:val="none"/>
          <w:lang w:val="en-US" w:eastAsia="zh-CN" w:bidi="ar"/>
        </w:rPr>
        <w:t xml:space="preserve">字样。 </w:t>
      </w:r>
    </w:p>
    <w:p w14:paraId="65ACFFB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19.</w:t>
      </w: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 xml:space="preserve"> 所有外层密封袋的封口处，加封条密封，应粘贴牢固，并加盖密封章（供应商公章及法定代表人私章）。 </w:t>
      </w:r>
    </w:p>
    <w:p w14:paraId="046033D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19.</w:t>
      </w:r>
      <w:r>
        <w:rPr>
          <w:rFonts w:hint="eastAsia" w:ascii="宋体" w:hAnsi="宋体" w:cs="宋体"/>
          <w:color w:val="auto"/>
          <w:spacing w:val="0"/>
          <w:kern w:val="0"/>
          <w:sz w:val="24"/>
          <w:szCs w:val="24"/>
          <w:highlight w:val="none"/>
          <w:lang w:val="en-US" w:eastAsia="zh-CN" w:bidi="ar"/>
        </w:rPr>
        <w:t>3</w:t>
      </w:r>
      <w:r>
        <w:rPr>
          <w:rFonts w:hint="eastAsia" w:ascii="宋体" w:hAnsi="宋体" w:eastAsia="宋体" w:cs="宋体"/>
          <w:color w:val="auto"/>
          <w:spacing w:val="0"/>
          <w:kern w:val="0"/>
          <w:sz w:val="24"/>
          <w:szCs w:val="24"/>
          <w:highlight w:val="none"/>
          <w:lang w:val="en-US" w:eastAsia="zh-CN" w:bidi="ar"/>
        </w:rPr>
        <w:t xml:space="preserve"> 未按以上要求进行密封和标注的磋商文件，将按无效磋商处理。 </w:t>
      </w:r>
    </w:p>
    <w:p w14:paraId="1E0E953A">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20.磋商响应文件的递交 </w:t>
      </w:r>
    </w:p>
    <w:p w14:paraId="45B030D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20.1 供应商应在磋商文件规定的磋商截止时间前，将磋商响应文件按供应商须知前附表的规定密封后送达</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地点。磋商截止时间以后送达的磋商响应文件将被拒绝。 </w:t>
      </w:r>
    </w:p>
    <w:p w14:paraId="5BECF52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20.2 本次磋商不接受邮寄的磋商响应文件。 </w:t>
      </w:r>
    </w:p>
    <w:p w14:paraId="16D887A2">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21.磋商响应文件的修改和撤回 </w:t>
      </w:r>
    </w:p>
    <w:p w14:paraId="74E6783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21.1 供应商在递交了磋商响应文件后，可以修改或撤回其磋商响应文件，但必须在规定的磋商截止时间前，以书面形式通知采购代理机构。 </w:t>
      </w:r>
    </w:p>
    <w:p w14:paraId="3F7020B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21.2 供应商的修改书或撤回通知书，应由其法定代表人或授权代表签署并盖单位公章。修改书应按磋商须知</w:t>
      </w:r>
      <w:r>
        <w:rPr>
          <w:rFonts w:hint="eastAsia" w:ascii="宋体" w:hAnsi="宋体" w:cs="宋体"/>
          <w:color w:val="auto"/>
          <w:spacing w:val="0"/>
          <w:kern w:val="0"/>
          <w:sz w:val="24"/>
          <w:szCs w:val="24"/>
          <w:highlight w:val="none"/>
          <w:lang w:val="en-US" w:eastAsia="zh-CN" w:bidi="ar"/>
        </w:rPr>
        <w:t>前附表</w:t>
      </w:r>
      <w:r>
        <w:rPr>
          <w:rFonts w:hint="eastAsia" w:ascii="宋体" w:hAnsi="宋体" w:eastAsia="宋体" w:cs="宋体"/>
          <w:color w:val="auto"/>
          <w:spacing w:val="0"/>
          <w:kern w:val="0"/>
          <w:sz w:val="24"/>
          <w:szCs w:val="24"/>
          <w:highlight w:val="none"/>
          <w:lang w:val="en-US" w:eastAsia="zh-CN" w:bidi="ar"/>
        </w:rPr>
        <w:t>第</w:t>
      </w:r>
      <w:r>
        <w:rPr>
          <w:rFonts w:hint="eastAsia" w:ascii="宋体" w:hAnsi="宋体" w:cs="宋体"/>
          <w:color w:val="auto"/>
          <w:spacing w:val="0"/>
          <w:kern w:val="0"/>
          <w:sz w:val="24"/>
          <w:szCs w:val="24"/>
          <w:highlight w:val="none"/>
          <w:lang w:val="en-US" w:eastAsia="zh-CN" w:bidi="ar"/>
        </w:rPr>
        <w:t>20、21</w:t>
      </w:r>
      <w:r>
        <w:rPr>
          <w:rFonts w:hint="eastAsia" w:ascii="宋体" w:hAnsi="宋体" w:eastAsia="宋体" w:cs="宋体"/>
          <w:color w:val="auto"/>
          <w:spacing w:val="0"/>
          <w:kern w:val="0"/>
          <w:sz w:val="24"/>
          <w:szCs w:val="24"/>
          <w:highlight w:val="none"/>
          <w:lang w:val="en-US" w:eastAsia="zh-CN" w:bidi="ar"/>
        </w:rPr>
        <w:t xml:space="preserve">条规定进行密封和标注，并在密封袋上标注“磋商响应文件修改”或“磋商响应文件撤回通知”字样，“修改文件”作为磋商响应文件的组成部分；采购代理机构不退还供应商已撤回的磋商响应文件（包括纸质和电子版）。 </w:t>
      </w:r>
    </w:p>
    <w:p w14:paraId="14B0F3C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21.3 在磋商截止时间之后，供应商不得对其递交的磋商响应文件做任何修改或撤回。</w:t>
      </w:r>
    </w:p>
    <w:p w14:paraId="61F99740">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22.磋商纪律要求 </w:t>
      </w:r>
    </w:p>
    <w:p w14:paraId="3E574C1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供应商参加磋商不得有下列情形之一： </w:t>
      </w:r>
    </w:p>
    <w:p w14:paraId="6496705A">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（1）提供虚假材料谋取</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 </w:t>
      </w:r>
    </w:p>
    <w:p w14:paraId="7E6BB37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（2）采取不正当手段诋毁、排挤其他供应商； </w:t>
      </w:r>
    </w:p>
    <w:p w14:paraId="4DEB156C">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（3）与采购</w:t>
      </w:r>
      <w:r>
        <w:rPr>
          <w:rFonts w:hint="eastAsia" w:ascii="宋体" w:hAnsi="宋体" w:cs="宋体"/>
          <w:color w:val="auto"/>
          <w:spacing w:val="0"/>
          <w:kern w:val="0"/>
          <w:sz w:val="24"/>
          <w:szCs w:val="24"/>
          <w:highlight w:val="none"/>
          <w:lang w:val="en-US" w:eastAsia="zh-CN" w:bidi="ar"/>
        </w:rPr>
        <w:t>人、</w:t>
      </w:r>
      <w:r>
        <w:rPr>
          <w:rFonts w:hint="eastAsia" w:ascii="宋体" w:hAnsi="宋体" w:eastAsia="宋体" w:cs="宋体"/>
          <w:color w:val="auto"/>
          <w:spacing w:val="0"/>
          <w:kern w:val="0"/>
          <w:sz w:val="24"/>
          <w:szCs w:val="24"/>
          <w:highlight w:val="none"/>
          <w:lang w:val="en-US" w:eastAsia="zh-CN" w:bidi="ar"/>
        </w:rPr>
        <w:t xml:space="preserve">其他供应商恶意串通； </w:t>
      </w:r>
    </w:p>
    <w:p w14:paraId="56262D9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（4）向采购人、采购代理机构、磋商小组成员行贿或者提供其他不正当利益；</w:t>
      </w:r>
    </w:p>
    <w:p w14:paraId="3F8CA13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（5）在磋商过程中与采购</w:t>
      </w:r>
      <w:r>
        <w:rPr>
          <w:rFonts w:hint="eastAsia" w:ascii="宋体" w:hAnsi="宋体" w:cs="宋体"/>
          <w:color w:val="auto"/>
          <w:spacing w:val="0"/>
          <w:kern w:val="0"/>
          <w:sz w:val="24"/>
          <w:szCs w:val="24"/>
          <w:highlight w:val="none"/>
          <w:lang w:val="en-US" w:eastAsia="zh-CN" w:bidi="ar"/>
        </w:rPr>
        <w:t>人</w:t>
      </w:r>
      <w:r>
        <w:rPr>
          <w:rFonts w:hint="eastAsia" w:ascii="宋体" w:hAnsi="宋体" w:eastAsia="宋体" w:cs="宋体"/>
          <w:color w:val="auto"/>
          <w:spacing w:val="0"/>
          <w:kern w:val="0"/>
          <w:sz w:val="24"/>
          <w:szCs w:val="24"/>
          <w:highlight w:val="none"/>
          <w:lang w:val="en-US" w:eastAsia="zh-CN" w:bidi="ar"/>
        </w:rPr>
        <w:t xml:space="preserve">进行协商谈判； </w:t>
      </w:r>
    </w:p>
    <w:p w14:paraId="3CC54B4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（6）拒绝有关部门的监督检查或者向监督检查部门提供虚假情况。 </w:t>
      </w:r>
    </w:p>
    <w:p w14:paraId="6518465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highlight w:val="none"/>
        </w:rPr>
      </w:pPr>
      <w:r>
        <w:rPr>
          <w:rFonts w:hint="eastAsia" w:ascii="宋体" w:hAnsi="宋体" w:eastAsia="宋体" w:cs="宋体"/>
          <w:color w:val="auto"/>
          <w:spacing w:val="0"/>
          <w:kern w:val="0"/>
          <w:sz w:val="24"/>
          <w:szCs w:val="24"/>
          <w:highlight w:val="none"/>
          <w:lang w:val="en-US" w:eastAsia="zh-CN" w:bidi="ar"/>
        </w:rPr>
        <w:t>有上述情形之一的，属于不合格供应商，其磋商或</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资格将被取消。 </w:t>
      </w:r>
    </w:p>
    <w:p w14:paraId="341D4EBE">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五、</w:t>
      </w:r>
      <w:r>
        <w:rPr>
          <w:rFonts w:hint="eastAsia" w:ascii="宋体" w:hAnsi="宋体" w:cs="宋体"/>
          <w:b/>
          <w:bCs/>
          <w:color w:val="auto"/>
          <w:spacing w:val="0"/>
          <w:kern w:val="0"/>
          <w:sz w:val="28"/>
          <w:szCs w:val="28"/>
          <w:highlight w:val="none"/>
          <w:lang w:val="en-US" w:eastAsia="zh-CN" w:bidi="ar"/>
        </w:rPr>
        <w:t>磋商</w:t>
      </w:r>
      <w:r>
        <w:rPr>
          <w:rFonts w:hint="eastAsia" w:ascii="宋体" w:hAnsi="宋体" w:eastAsia="宋体" w:cs="宋体"/>
          <w:b/>
          <w:bCs/>
          <w:color w:val="auto"/>
          <w:spacing w:val="0"/>
          <w:kern w:val="0"/>
          <w:sz w:val="28"/>
          <w:szCs w:val="28"/>
          <w:highlight w:val="none"/>
          <w:lang w:val="en-US" w:eastAsia="zh-CN" w:bidi="ar"/>
        </w:rPr>
        <w:t xml:space="preserve"> </w:t>
      </w:r>
    </w:p>
    <w:p w14:paraId="7AEFC50B">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23.</w:t>
      </w:r>
      <w:r>
        <w:rPr>
          <w:rFonts w:hint="eastAsia" w:ascii="宋体" w:hAnsi="宋体" w:cs="宋体"/>
          <w:b/>
          <w:bCs/>
          <w:color w:val="auto"/>
          <w:spacing w:val="0"/>
          <w:kern w:val="0"/>
          <w:sz w:val="24"/>
          <w:szCs w:val="24"/>
          <w:highlight w:val="none"/>
          <w:lang w:val="en-US" w:eastAsia="zh-CN" w:bidi="ar"/>
        </w:rPr>
        <w:t>磋商</w:t>
      </w:r>
      <w:r>
        <w:rPr>
          <w:rFonts w:hint="eastAsia" w:ascii="宋体" w:hAnsi="宋体" w:eastAsia="宋体" w:cs="宋体"/>
          <w:b/>
          <w:bCs/>
          <w:color w:val="auto"/>
          <w:spacing w:val="0"/>
          <w:kern w:val="0"/>
          <w:sz w:val="24"/>
          <w:szCs w:val="24"/>
          <w:highlight w:val="none"/>
          <w:lang w:val="en-US" w:eastAsia="zh-CN" w:bidi="ar"/>
        </w:rPr>
        <w:t xml:space="preserve">时间和地点 </w:t>
      </w:r>
    </w:p>
    <w:p w14:paraId="3BD106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23.1 采购代理机构在供应商须知前附表中规定的磋商截</w:t>
      </w:r>
      <w:r>
        <w:rPr>
          <w:rFonts w:hint="eastAsia" w:ascii="宋体" w:hAnsi="宋体" w:cs="宋体"/>
          <w:color w:val="auto"/>
          <w:spacing w:val="0"/>
          <w:kern w:val="0"/>
          <w:sz w:val="24"/>
          <w:szCs w:val="24"/>
          <w:highlight w:val="none"/>
          <w:lang w:val="en-US" w:eastAsia="zh-CN" w:bidi="ar"/>
        </w:rPr>
        <w:t>止</w:t>
      </w:r>
      <w:r>
        <w:rPr>
          <w:rFonts w:hint="eastAsia" w:ascii="宋体" w:hAnsi="宋体" w:eastAsia="宋体" w:cs="宋体"/>
          <w:color w:val="auto"/>
          <w:spacing w:val="0"/>
          <w:kern w:val="0"/>
          <w:sz w:val="24"/>
          <w:szCs w:val="24"/>
          <w:highlight w:val="none"/>
          <w:lang w:val="en-US" w:eastAsia="zh-CN" w:bidi="ar"/>
        </w:rPr>
        <w:t>时间和地点组织</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，采购人、供应商须派代表参加并签到以证明其出席。</w:t>
      </w:r>
    </w:p>
    <w:p w14:paraId="6CF2838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23.2</w:t>
      </w:r>
      <w:r>
        <w:rPr>
          <w:rFonts w:hint="eastAsia" w:ascii="宋体" w:hAnsi="宋体" w:cs="宋体"/>
          <w:color w:val="auto"/>
          <w:spacing w:val="0"/>
          <w:kern w:val="0"/>
          <w:sz w:val="24"/>
          <w:szCs w:val="24"/>
          <w:highlight w:val="none"/>
          <w:lang w:val="en-US" w:eastAsia="zh-CN" w:bidi="ar"/>
        </w:rPr>
        <w:t xml:space="preserve"> 磋商</w:t>
      </w:r>
      <w:r>
        <w:rPr>
          <w:rFonts w:hint="eastAsia" w:ascii="宋体" w:hAnsi="宋体" w:eastAsia="宋体" w:cs="宋体"/>
          <w:color w:val="auto"/>
          <w:spacing w:val="0"/>
          <w:kern w:val="0"/>
          <w:sz w:val="24"/>
          <w:szCs w:val="24"/>
          <w:highlight w:val="none"/>
          <w:lang w:val="en-US" w:eastAsia="zh-CN" w:bidi="ar"/>
        </w:rPr>
        <w:t>时，采购代理机构邀请有关</w:t>
      </w:r>
      <w:r>
        <w:rPr>
          <w:rFonts w:hint="eastAsia" w:ascii="宋体" w:hAnsi="宋体" w:cs="宋体"/>
          <w:color w:val="auto"/>
          <w:spacing w:val="0"/>
          <w:kern w:val="0"/>
          <w:sz w:val="24"/>
          <w:szCs w:val="24"/>
          <w:highlight w:val="none"/>
          <w:lang w:val="en-US" w:eastAsia="zh-CN" w:bidi="ar"/>
        </w:rPr>
        <w:t>采购人</w:t>
      </w:r>
      <w:r>
        <w:rPr>
          <w:rFonts w:hint="eastAsia" w:ascii="宋体" w:hAnsi="宋体" w:eastAsia="宋体" w:cs="宋体"/>
          <w:color w:val="auto"/>
          <w:spacing w:val="0"/>
          <w:kern w:val="0"/>
          <w:sz w:val="24"/>
          <w:szCs w:val="24"/>
          <w:highlight w:val="none"/>
          <w:lang w:val="en-US" w:eastAsia="zh-CN" w:bidi="ar"/>
        </w:rPr>
        <w:t>监督</w:t>
      </w:r>
      <w:r>
        <w:rPr>
          <w:rFonts w:hint="eastAsia" w:ascii="宋体" w:hAnsi="宋体" w:cs="宋体"/>
          <w:color w:val="auto"/>
          <w:spacing w:val="0"/>
          <w:kern w:val="0"/>
          <w:sz w:val="24"/>
          <w:szCs w:val="24"/>
          <w:highlight w:val="none"/>
          <w:lang w:val="en-US" w:eastAsia="zh-CN" w:bidi="ar"/>
        </w:rPr>
        <w:t>部门</w:t>
      </w:r>
      <w:r>
        <w:rPr>
          <w:rFonts w:hint="eastAsia" w:ascii="宋体" w:hAnsi="宋体" w:eastAsia="宋体" w:cs="宋体"/>
          <w:color w:val="auto"/>
          <w:spacing w:val="0"/>
          <w:kern w:val="0"/>
          <w:sz w:val="24"/>
          <w:szCs w:val="24"/>
          <w:highlight w:val="none"/>
          <w:lang w:val="en-US" w:eastAsia="zh-CN" w:bidi="ar"/>
        </w:rPr>
        <w:t>对</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进行现场监督。 </w:t>
      </w:r>
    </w:p>
    <w:p w14:paraId="1EAF3326">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24.</w:t>
      </w:r>
      <w:r>
        <w:rPr>
          <w:rFonts w:hint="eastAsia" w:ascii="宋体" w:hAnsi="宋体" w:cs="宋体"/>
          <w:b/>
          <w:bCs/>
          <w:color w:val="auto"/>
          <w:spacing w:val="0"/>
          <w:kern w:val="0"/>
          <w:sz w:val="24"/>
          <w:szCs w:val="24"/>
          <w:highlight w:val="none"/>
          <w:lang w:val="en-US" w:eastAsia="zh-CN" w:bidi="ar"/>
        </w:rPr>
        <w:t>磋商</w:t>
      </w:r>
      <w:r>
        <w:rPr>
          <w:rFonts w:hint="eastAsia" w:ascii="宋体" w:hAnsi="宋体" w:eastAsia="宋体" w:cs="宋体"/>
          <w:b/>
          <w:bCs/>
          <w:color w:val="auto"/>
          <w:spacing w:val="0"/>
          <w:kern w:val="0"/>
          <w:sz w:val="24"/>
          <w:szCs w:val="24"/>
          <w:highlight w:val="none"/>
          <w:lang w:val="en-US" w:eastAsia="zh-CN" w:bidi="ar"/>
        </w:rPr>
        <w:t xml:space="preserve">程序 </w:t>
      </w:r>
    </w:p>
    <w:p w14:paraId="2D1F21B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24.1 </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会议由采购代理机构主持。主持人按照磋商文件规定的</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时间宣布</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，按照规定要求主持</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会。</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将按以下程序进行（但不限于）： </w:t>
      </w:r>
    </w:p>
    <w:p w14:paraId="7D304557">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（1）宣布</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会开始并致辞。 </w:t>
      </w:r>
    </w:p>
    <w:p w14:paraId="06AFDF0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（2）宣布会场纪律和有关注意事项。 </w:t>
      </w:r>
    </w:p>
    <w:p w14:paraId="580897A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（3）宣布参加</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会的现场监督人员和主持人、会议记录等磋商工作人员，根据“响应文件递交登记表”宣布参加磋商的供应商名单。 </w:t>
      </w:r>
    </w:p>
    <w:p w14:paraId="23456F83">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（4）宣布检查磋商响应文件的密封情况。由供应商或其推荐的代表与</w:t>
      </w:r>
      <w:r>
        <w:rPr>
          <w:rFonts w:hint="eastAsia" w:ascii="宋体" w:hAnsi="宋体" w:cs="宋体"/>
          <w:color w:val="auto"/>
          <w:spacing w:val="0"/>
          <w:kern w:val="0"/>
          <w:sz w:val="24"/>
          <w:szCs w:val="24"/>
          <w:highlight w:val="none"/>
          <w:lang w:val="en-US" w:eastAsia="zh-CN" w:bidi="ar"/>
        </w:rPr>
        <w:t>监督人员</w:t>
      </w:r>
      <w:r>
        <w:rPr>
          <w:rFonts w:hint="eastAsia" w:ascii="宋体" w:hAnsi="宋体" w:eastAsia="宋体" w:cs="宋体"/>
          <w:color w:val="auto"/>
          <w:spacing w:val="0"/>
          <w:kern w:val="0"/>
          <w:sz w:val="24"/>
          <w:szCs w:val="24"/>
          <w:highlight w:val="none"/>
          <w:lang w:val="en-US" w:eastAsia="zh-CN" w:bidi="ar"/>
        </w:rPr>
        <w:t xml:space="preserve">共同检查磋商响应文件密封情况，经检查无误后，签字确认。 </w:t>
      </w:r>
    </w:p>
    <w:p w14:paraId="5CFAAD0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（5）</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。对磋商响应文件的密封确认无误后，由采购代理机构工作人员按照供应商须知前附表规定的开启顺序当众开启响应文件，公布项目名称、供应商名称等内容，并记录在案</w:t>
      </w:r>
      <w:r>
        <w:rPr>
          <w:rFonts w:hint="eastAsia" w:ascii="宋体" w:hAnsi="宋体" w:cs="宋体"/>
          <w:color w:val="auto"/>
          <w:spacing w:val="0"/>
          <w:kern w:val="0"/>
          <w:sz w:val="24"/>
          <w:szCs w:val="24"/>
          <w:highlight w:val="none"/>
          <w:lang w:val="en-US" w:eastAsia="zh-CN" w:bidi="ar"/>
        </w:rPr>
        <w:t>。</w:t>
      </w:r>
      <w:r>
        <w:rPr>
          <w:rFonts w:hint="eastAsia" w:ascii="宋体" w:hAnsi="宋体" w:eastAsia="宋体" w:cs="宋体"/>
          <w:color w:val="auto"/>
          <w:spacing w:val="0"/>
          <w:kern w:val="0"/>
          <w:sz w:val="24"/>
          <w:szCs w:val="24"/>
          <w:highlight w:val="none"/>
          <w:lang w:val="en-US" w:eastAsia="zh-CN" w:bidi="ar"/>
        </w:rPr>
        <w:t>由</w:t>
      </w:r>
      <w:r>
        <w:rPr>
          <w:rFonts w:hint="eastAsia" w:ascii="宋体" w:hAnsi="宋体" w:cs="宋体"/>
          <w:color w:val="auto"/>
          <w:spacing w:val="0"/>
          <w:kern w:val="0"/>
          <w:sz w:val="24"/>
          <w:szCs w:val="24"/>
          <w:highlight w:val="none"/>
          <w:lang w:val="en-US" w:eastAsia="zh-CN" w:bidi="ar"/>
        </w:rPr>
        <w:t>采购人代表及</w:t>
      </w:r>
      <w:r>
        <w:rPr>
          <w:rFonts w:hint="eastAsia" w:ascii="宋体" w:hAnsi="宋体" w:eastAsia="宋体" w:cs="宋体"/>
          <w:color w:val="auto"/>
          <w:spacing w:val="0"/>
          <w:kern w:val="0"/>
          <w:sz w:val="24"/>
          <w:szCs w:val="24"/>
          <w:highlight w:val="none"/>
          <w:lang w:val="en-US" w:eastAsia="zh-CN" w:bidi="ar"/>
        </w:rPr>
        <w:t>监督</w:t>
      </w:r>
      <w:r>
        <w:rPr>
          <w:rFonts w:hint="eastAsia" w:ascii="宋体" w:hAnsi="宋体" w:cs="宋体"/>
          <w:color w:val="auto"/>
          <w:spacing w:val="0"/>
          <w:kern w:val="0"/>
          <w:sz w:val="24"/>
          <w:szCs w:val="24"/>
          <w:highlight w:val="none"/>
          <w:lang w:val="en-US" w:eastAsia="zh-CN" w:bidi="ar"/>
        </w:rPr>
        <w:t>人员</w:t>
      </w:r>
      <w:r>
        <w:rPr>
          <w:rFonts w:hint="eastAsia" w:ascii="宋体" w:hAnsi="宋体" w:eastAsia="宋体" w:cs="宋体"/>
          <w:color w:val="auto"/>
          <w:spacing w:val="0"/>
          <w:kern w:val="0"/>
          <w:sz w:val="24"/>
          <w:szCs w:val="24"/>
          <w:highlight w:val="none"/>
          <w:lang w:val="en-US" w:eastAsia="zh-CN" w:bidi="ar"/>
        </w:rPr>
        <w:t>签字确认。</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过程由采购代理机构指定专人记录。</w:t>
      </w:r>
    </w:p>
    <w:p w14:paraId="440FB0A8">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（6）磋商小组集中与各供应商分别进行磋商，并给所有参加磋商供应商平等的磋商机会</w:t>
      </w:r>
    </w:p>
    <w:p w14:paraId="460D274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w:t>
      </w:r>
      <w:r>
        <w:rPr>
          <w:rFonts w:hint="eastAsia" w:ascii="宋体" w:hAnsi="宋体" w:cs="宋体"/>
          <w:color w:val="auto"/>
          <w:spacing w:val="0"/>
          <w:kern w:val="0"/>
          <w:sz w:val="24"/>
          <w:szCs w:val="24"/>
          <w:highlight w:val="none"/>
          <w:lang w:val="en-US" w:eastAsia="zh-CN" w:bidi="ar"/>
        </w:rPr>
        <w:t>7</w:t>
      </w:r>
      <w:r>
        <w:rPr>
          <w:rFonts w:hint="eastAsia" w:ascii="宋体" w:hAnsi="宋体" w:eastAsia="宋体" w:cs="宋体"/>
          <w:color w:val="auto"/>
          <w:spacing w:val="0"/>
          <w:kern w:val="0"/>
          <w:sz w:val="24"/>
          <w:szCs w:val="24"/>
          <w:highlight w:val="none"/>
          <w:lang w:val="en-US" w:eastAsia="zh-CN" w:bidi="ar"/>
        </w:rPr>
        <w:t>）宣布</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会结束。 </w:t>
      </w:r>
    </w:p>
    <w:p w14:paraId="0A01B86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highlight w:val="none"/>
        </w:rPr>
      </w:pPr>
      <w:r>
        <w:rPr>
          <w:rFonts w:hint="eastAsia" w:ascii="宋体" w:hAnsi="宋体" w:eastAsia="宋体" w:cs="宋体"/>
          <w:color w:val="auto"/>
          <w:spacing w:val="0"/>
          <w:kern w:val="0"/>
          <w:sz w:val="24"/>
          <w:szCs w:val="24"/>
          <w:highlight w:val="none"/>
          <w:lang w:val="en-US" w:eastAsia="zh-CN" w:bidi="ar"/>
        </w:rPr>
        <w:t>24.2 采购代理机构对</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过程进行文字记录，并存档备查。 </w:t>
      </w:r>
    </w:p>
    <w:p w14:paraId="5F7A5185">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六、评标 </w:t>
      </w:r>
    </w:p>
    <w:p w14:paraId="1F09FED0">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25.磋商小组 </w:t>
      </w:r>
    </w:p>
    <w:p w14:paraId="26A9F24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25.1 </w:t>
      </w:r>
      <w:r>
        <w:rPr>
          <w:rFonts w:hint="eastAsia" w:ascii="宋体" w:hAnsi="宋体" w:eastAsia="宋体" w:cs="宋体"/>
          <w:color w:val="auto"/>
          <w:spacing w:val="0"/>
          <w:sz w:val="24"/>
          <w:szCs w:val="24"/>
          <w:highlight w:val="none"/>
        </w:rPr>
        <w:t>磋商小组由采购人代表和评审专家组成，采购人代表和评审专家人数见供应商须知前附表</w:t>
      </w:r>
      <w:r>
        <w:rPr>
          <w:rFonts w:hint="eastAsia" w:ascii="宋体" w:hAnsi="宋体" w:eastAsia="宋体" w:cs="宋体"/>
          <w:color w:val="auto"/>
          <w:spacing w:val="0"/>
          <w:kern w:val="0"/>
          <w:sz w:val="24"/>
          <w:szCs w:val="24"/>
          <w:highlight w:val="none"/>
          <w:lang w:val="en-US" w:eastAsia="zh-CN" w:bidi="ar"/>
        </w:rPr>
        <w:t>。磋商小组于</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 xml:space="preserve">前在专家库中随机抽取。 </w:t>
      </w:r>
    </w:p>
    <w:p w14:paraId="383BA9E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25.2 </w:t>
      </w:r>
      <w:r>
        <w:rPr>
          <w:rFonts w:hint="eastAsia" w:ascii="宋体" w:hAnsi="宋体" w:eastAsia="宋体" w:cs="宋体"/>
          <w:color w:val="auto"/>
          <w:spacing w:val="0"/>
          <w:sz w:val="24"/>
          <w:szCs w:val="24"/>
          <w:highlight w:val="none"/>
        </w:rPr>
        <w:t>磋商小组</w:t>
      </w:r>
      <w:r>
        <w:rPr>
          <w:rFonts w:hint="eastAsia" w:ascii="宋体" w:hAnsi="宋体" w:eastAsia="宋体" w:cs="宋体"/>
          <w:color w:val="auto"/>
          <w:spacing w:val="0"/>
          <w:kern w:val="0"/>
          <w:sz w:val="24"/>
          <w:szCs w:val="24"/>
          <w:highlight w:val="none"/>
          <w:lang w:val="en-US" w:eastAsia="zh-CN" w:bidi="ar"/>
        </w:rPr>
        <w:t xml:space="preserve">成员到位后，推荐一名评审专家担任组长，并由评审组长负责组织该项目评审工作。 </w:t>
      </w:r>
    </w:p>
    <w:p w14:paraId="64118A0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25.3 磋商小组成员有下列情形之一的，应当回避： </w:t>
      </w:r>
    </w:p>
    <w:p w14:paraId="45F5E6DB">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（1）参加采购活动前3年内与供应商存在劳动关系；</w:t>
      </w:r>
    </w:p>
    <w:p w14:paraId="18E88496">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（2）参加采购活动前3年内担任供应商的董事、监事</w:t>
      </w:r>
      <w:r>
        <w:rPr>
          <w:rFonts w:hint="eastAsia" w:ascii="宋体" w:hAnsi="宋体" w:cs="宋体"/>
          <w:color w:val="auto"/>
          <w:spacing w:val="0"/>
          <w:sz w:val="24"/>
          <w:szCs w:val="24"/>
          <w:highlight w:val="none"/>
          <w:lang w:eastAsia="zh-CN"/>
        </w:rPr>
        <w:t>；</w:t>
      </w:r>
    </w:p>
    <w:p w14:paraId="4E12C5EE">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（3）参加采购活动前3年内是供应商的控</w:t>
      </w:r>
      <w:r>
        <w:rPr>
          <w:rFonts w:hint="eastAsia" w:ascii="宋体" w:hAnsi="宋体" w:cs="宋体"/>
          <w:color w:val="auto"/>
          <w:spacing w:val="0"/>
          <w:sz w:val="24"/>
          <w:szCs w:val="24"/>
          <w:highlight w:val="none"/>
          <w:lang w:eastAsia="zh-CN"/>
        </w:rPr>
        <w:t>股</w:t>
      </w:r>
      <w:r>
        <w:rPr>
          <w:rFonts w:hint="eastAsia" w:ascii="宋体" w:hAnsi="宋体" w:eastAsia="宋体" w:cs="宋体"/>
          <w:color w:val="auto"/>
          <w:spacing w:val="0"/>
          <w:sz w:val="24"/>
          <w:szCs w:val="24"/>
          <w:highlight w:val="none"/>
        </w:rPr>
        <w:t>股东或者实际</w:t>
      </w:r>
      <w:r>
        <w:rPr>
          <w:rFonts w:hint="eastAsia" w:ascii="宋体" w:hAnsi="宋体" w:cs="宋体"/>
          <w:color w:val="auto"/>
          <w:spacing w:val="0"/>
          <w:sz w:val="24"/>
          <w:szCs w:val="24"/>
          <w:highlight w:val="none"/>
          <w:lang w:eastAsia="zh-CN"/>
        </w:rPr>
        <w:t>控</w:t>
      </w:r>
      <w:r>
        <w:rPr>
          <w:rFonts w:hint="eastAsia" w:ascii="宋体" w:hAnsi="宋体" w:eastAsia="宋体" w:cs="宋体"/>
          <w:color w:val="auto"/>
          <w:spacing w:val="0"/>
          <w:sz w:val="24"/>
          <w:szCs w:val="24"/>
          <w:highlight w:val="none"/>
        </w:rPr>
        <w:t>制人；</w:t>
      </w:r>
    </w:p>
    <w:p w14:paraId="332F252A">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（4）与供应商的法定代表人或者负责人有夫妻、直系血亲、三代以内旁系血亲或者近姻关系；</w:t>
      </w:r>
    </w:p>
    <w:p w14:paraId="7A8A85F4">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（5）曾因在招标、评标以及其他与招标投标有关活动中从事违法行为而受过行政处罚或刑事处罚的</w:t>
      </w:r>
      <w:r>
        <w:rPr>
          <w:rFonts w:hint="eastAsia" w:ascii="宋体" w:hAnsi="宋体" w:cs="宋体"/>
          <w:color w:val="auto"/>
          <w:spacing w:val="0"/>
          <w:sz w:val="24"/>
          <w:szCs w:val="24"/>
          <w:highlight w:val="none"/>
          <w:lang w:eastAsia="zh-CN"/>
        </w:rPr>
        <w:t>；</w:t>
      </w:r>
    </w:p>
    <w:p w14:paraId="561AC51C">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sz w:val="24"/>
          <w:szCs w:val="24"/>
          <w:highlight w:val="none"/>
        </w:rPr>
        <w:t>（6）与供应商有其他可能影响政府采购活动公平、公正进行的关系。</w:t>
      </w:r>
      <w:r>
        <w:rPr>
          <w:rFonts w:hint="eastAsia" w:ascii="宋体" w:hAnsi="宋体" w:eastAsia="宋体" w:cs="宋体"/>
          <w:color w:val="auto"/>
          <w:spacing w:val="0"/>
          <w:kern w:val="0"/>
          <w:sz w:val="24"/>
          <w:szCs w:val="24"/>
          <w:highlight w:val="none"/>
          <w:lang w:val="en-US" w:eastAsia="zh-CN" w:bidi="ar"/>
        </w:rPr>
        <w:t xml:space="preserve"> </w:t>
      </w:r>
    </w:p>
    <w:p w14:paraId="40853580">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26.评标原则 </w:t>
      </w:r>
    </w:p>
    <w:p w14:paraId="7DDD541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26.1 评标原则应遵循公平、公正、科学和择优的原则。</w:t>
      </w:r>
    </w:p>
    <w:p w14:paraId="07F42AE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26.2 磋商小组有权对整个磋商过程中出现的一切问题，根据《中华人民共和国政府采购法》、《中华人民共和国政府采购法实施条例》、《政府采购竞争性磋商采购方式管理暂行办法》以及《财政部关于政府采购争性磋商采购方式管理暂行办法</w:t>
      </w:r>
      <w:r>
        <w:rPr>
          <w:rFonts w:hint="eastAsia" w:ascii="宋体" w:hAnsi="宋体" w:cs="宋体"/>
          <w:color w:val="auto"/>
          <w:spacing w:val="0"/>
          <w:kern w:val="0"/>
          <w:sz w:val="24"/>
          <w:szCs w:val="24"/>
          <w:highlight w:val="none"/>
          <w:lang w:val="en-US" w:eastAsia="zh-CN" w:bidi="ar"/>
        </w:rPr>
        <w:t>有关问题的补充通知</w:t>
      </w:r>
      <w:r>
        <w:rPr>
          <w:rFonts w:hint="eastAsia" w:ascii="宋体" w:hAnsi="宋体" w:eastAsia="宋体" w:cs="宋体"/>
          <w:color w:val="auto"/>
          <w:spacing w:val="0"/>
          <w:kern w:val="0"/>
          <w:sz w:val="24"/>
          <w:szCs w:val="24"/>
          <w:highlight w:val="none"/>
          <w:lang w:val="en-US" w:eastAsia="zh-CN" w:bidi="ar"/>
        </w:rPr>
        <w:t xml:space="preserve">》等相关规定进行处理。 </w:t>
      </w:r>
    </w:p>
    <w:p w14:paraId="57E712AD">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27. 评标 </w:t>
      </w:r>
    </w:p>
    <w:p w14:paraId="0D66BFB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27.1 磋商小组严格按照磋商文件规定的评标方法及标准对各磋商响应文件进行评审。 </w:t>
      </w:r>
    </w:p>
    <w:p w14:paraId="27A548E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27.2 磋商小组独立履行下列职责： </w:t>
      </w:r>
    </w:p>
    <w:p w14:paraId="676FD5F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（1）审查磋商响应文件是否符合磋商文件要求，并作出评价； </w:t>
      </w:r>
    </w:p>
    <w:p w14:paraId="1C2CE4A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（2）要求供应商对磋商响应文件有关事项作出解释或者澄清； </w:t>
      </w:r>
    </w:p>
    <w:p w14:paraId="38BDF71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（3）推荐</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候选供应商名单，或者受采购人委托按照事先确定的办法直接确定</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供应商； </w:t>
      </w:r>
    </w:p>
    <w:p w14:paraId="7A804B7B">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（4）向采购人或者有关部门报告非法干预评标工作的行为。 </w:t>
      </w:r>
    </w:p>
    <w:p w14:paraId="2260254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27.3 评标过程严格保密 </w:t>
      </w:r>
    </w:p>
    <w:p w14:paraId="215B0F3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w:t>
      </w:r>
      <w:r>
        <w:rPr>
          <w:rFonts w:hint="eastAsia" w:ascii="宋体" w:hAnsi="宋体" w:cs="宋体"/>
          <w:color w:val="auto"/>
          <w:spacing w:val="0"/>
          <w:kern w:val="0"/>
          <w:sz w:val="24"/>
          <w:szCs w:val="24"/>
          <w:highlight w:val="none"/>
          <w:lang w:val="en-US" w:eastAsia="zh-CN" w:bidi="ar"/>
        </w:rPr>
        <w:t>磋商</w:t>
      </w:r>
      <w:r>
        <w:rPr>
          <w:rFonts w:hint="eastAsia" w:ascii="宋体" w:hAnsi="宋体" w:eastAsia="宋体" w:cs="宋体"/>
          <w:color w:val="auto"/>
          <w:spacing w:val="0"/>
          <w:kern w:val="0"/>
          <w:sz w:val="24"/>
          <w:szCs w:val="24"/>
          <w:highlight w:val="none"/>
          <w:lang w:val="en-US" w:eastAsia="zh-CN" w:bidi="ar"/>
        </w:rPr>
        <w:t>后，直至授予</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人合同为止，凡属于对磋商响应文件的审查、澄清、评价和比较的有关资料以及</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候选人的推荐情况，与评标有关的其他任何情况均严格保密；</w:t>
      </w:r>
    </w:p>
    <w:p w14:paraId="669962D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（2）供应商对磋商小组的评标过程或合同授予决定施加影响的任何行为都可能导致其磋商被拒绝。 </w:t>
      </w:r>
    </w:p>
    <w:p w14:paraId="67E9B42D">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七、定标 </w:t>
      </w:r>
    </w:p>
    <w:p w14:paraId="7F762423">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default" w:ascii="宋体" w:hAnsi="宋体" w:eastAsia="宋体" w:cs="宋体"/>
          <w:b/>
          <w:bCs/>
          <w:color w:val="auto"/>
          <w:spacing w:val="0"/>
          <w:kern w:val="2"/>
          <w:sz w:val="24"/>
          <w:szCs w:val="24"/>
          <w:highlight w:val="none"/>
          <w:lang w:val="en-US" w:eastAsia="zh-CN" w:bidi="ar-SA"/>
        </w:rPr>
      </w:pPr>
      <w:r>
        <w:rPr>
          <w:rFonts w:hint="eastAsia" w:ascii="宋体" w:hAnsi="宋体" w:cs="宋体"/>
          <w:b/>
          <w:bCs/>
          <w:color w:val="auto"/>
          <w:spacing w:val="0"/>
          <w:kern w:val="2"/>
          <w:sz w:val="24"/>
          <w:szCs w:val="24"/>
          <w:highlight w:val="none"/>
          <w:lang w:val="en-US" w:eastAsia="zh-CN" w:bidi="ar-SA"/>
        </w:rPr>
        <w:t>28、定标</w:t>
      </w:r>
    </w:p>
    <w:p w14:paraId="57107F85">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28.1 确定成交供应商方式</w:t>
      </w:r>
    </w:p>
    <w:p w14:paraId="7E4DFBD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采购人应当自收到评审报告之日起</w:t>
      </w:r>
      <w:r>
        <w:rPr>
          <w:rFonts w:hint="eastAsia" w:ascii="宋体" w:hAnsi="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rPr>
        <w:t>个工作日内，从评审报告提出的成交候选供应商中，按照得分排序由高到低的原则确定成交供应商。</w:t>
      </w:r>
    </w:p>
    <w:p w14:paraId="7D311956">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28.2 成交公告</w:t>
      </w:r>
    </w:p>
    <w:p w14:paraId="2710A5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pacing w:val="0"/>
          <w:sz w:val="24"/>
          <w:szCs w:val="24"/>
          <w:highlight w:val="none"/>
        </w:rPr>
      </w:pPr>
      <w:r>
        <w:rPr>
          <w:rFonts w:hint="eastAsia" w:ascii="宋体" w:hAnsi="宋体"/>
          <w:color w:val="auto"/>
          <w:spacing w:val="0"/>
          <w:sz w:val="24"/>
          <w:szCs w:val="24"/>
          <w:highlight w:val="none"/>
        </w:rPr>
        <w:t xml:space="preserve"> （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47741B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bCs/>
          <w:color w:val="auto"/>
          <w:spacing w:val="0"/>
          <w:kern w:val="44"/>
          <w:sz w:val="24"/>
          <w:szCs w:val="24"/>
          <w:highlight w:val="none"/>
          <w:lang w:val="en-US" w:eastAsia="zh-CN" w:bidi="ar-SA"/>
        </w:rPr>
      </w:pPr>
      <w:r>
        <w:rPr>
          <w:rFonts w:hint="eastAsia" w:ascii="宋体" w:hAnsi="宋体"/>
          <w:color w:val="auto"/>
          <w:spacing w:val="0"/>
          <w:sz w:val="24"/>
          <w:szCs w:val="24"/>
          <w:highlight w:val="none"/>
        </w:rPr>
        <w:t xml:space="preserve"> （2）采购代理机构收到采购人“成交复函”后，二个工作日内在</w:t>
      </w:r>
      <w:r>
        <w:rPr>
          <w:rFonts w:hint="eastAsia" w:ascii="宋体" w:hAnsi="宋体"/>
          <w:color w:val="auto"/>
          <w:spacing w:val="0"/>
          <w:sz w:val="24"/>
          <w:szCs w:val="24"/>
          <w:highlight w:val="none"/>
          <w:lang w:val="en-US" w:eastAsia="zh-CN"/>
        </w:rPr>
        <w:t>《陕西采购与招标网》</w:t>
      </w:r>
      <w:r>
        <w:rPr>
          <w:rFonts w:hint="eastAsia" w:ascii="宋体" w:hAnsi="宋体"/>
          <w:color w:val="auto"/>
          <w:spacing w:val="0"/>
          <w:sz w:val="24"/>
          <w:szCs w:val="24"/>
          <w:highlight w:val="none"/>
        </w:rPr>
        <w:t>上发布公告，公示期无异议后，向成交供应商发出“成交通知书”。</w:t>
      </w:r>
    </w:p>
    <w:p w14:paraId="2699AAC8">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28.3</w:t>
      </w:r>
      <w:r>
        <w:rPr>
          <w:rFonts w:hint="eastAsia" w:ascii="宋体" w:hAnsi="宋体" w:cs="宋体"/>
          <w:b/>
          <w:bCs/>
          <w:color w:val="auto"/>
          <w:spacing w:val="0"/>
          <w:kern w:val="2"/>
          <w:sz w:val="24"/>
          <w:szCs w:val="24"/>
          <w:highlight w:val="none"/>
          <w:lang w:val="en-US" w:eastAsia="zh-CN" w:bidi="ar-SA"/>
        </w:rPr>
        <w:t xml:space="preserve"> </w:t>
      </w:r>
      <w:r>
        <w:rPr>
          <w:rFonts w:hint="eastAsia" w:ascii="宋体" w:hAnsi="宋体" w:eastAsia="宋体" w:cs="宋体"/>
          <w:b/>
          <w:bCs/>
          <w:color w:val="auto"/>
          <w:spacing w:val="0"/>
          <w:kern w:val="2"/>
          <w:sz w:val="24"/>
          <w:szCs w:val="24"/>
          <w:highlight w:val="none"/>
          <w:lang w:val="en-US" w:eastAsia="zh-CN" w:bidi="ar-SA"/>
        </w:rPr>
        <w:t>成交结果质疑</w:t>
      </w:r>
    </w:p>
    <w:p w14:paraId="79A849D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供应商认为成交结果使自己的权益受到损害的，可以在知道或者应知其权益受到损害之日起7个工作日内，以书面形式一次性向采购人、采购代理机构提出质疑。</w:t>
      </w:r>
    </w:p>
    <w:p w14:paraId="439A4089">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28.4</w:t>
      </w:r>
      <w:r>
        <w:rPr>
          <w:rFonts w:hint="eastAsia" w:ascii="宋体" w:hAnsi="宋体" w:cs="宋体"/>
          <w:b/>
          <w:bCs/>
          <w:color w:val="auto"/>
          <w:spacing w:val="0"/>
          <w:kern w:val="2"/>
          <w:sz w:val="24"/>
          <w:szCs w:val="24"/>
          <w:highlight w:val="none"/>
          <w:lang w:val="en-US" w:eastAsia="zh-CN" w:bidi="ar-SA"/>
        </w:rPr>
        <w:t xml:space="preserve"> </w:t>
      </w:r>
      <w:r>
        <w:rPr>
          <w:rFonts w:hint="eastAsia" w:ascii="宋体" w:hAnsi="宋体" w:eastAsia="宋体" w:cs="宋体"/>
          <w:b/>
          <w:bCs/>
          <w:color w:val="auto"/>
          <w:spacing w:val="0"/>
          <w:kern w:val="2"/>
          <w:sz w:val="24"/>
          <w:szCs w:val="24"/>
          <w:highlight w:val="none"/>
          <w:lang w:val="en-US" w:eastAsia="zh-CN" w:bidi="ar-SA"/>
        </w:rPr>
        <w:t>成交供应商履约能力审查</w:t>
      </w:r>
    </w:p>
    <w:p w14:paraId="61EB251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成交供应商的经营、财务状况发生较大变化或存在违法行为，采购人认为可能影响其履约能力的，将在发出成交通知书前提请原磋商小组按照磋商文件规定的标准和方法进行审查确认。</w:t>
      </w:r>
    </w:p>
    <w:p w14:paraId="21EC540A">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eastAsia="宋体" w:cs="宋体"/>
          <w:b/>
          <w:bCs/>
          <w:color w:val="auto"/>
          <w:spacing w:val="0"/>
          <w:kern w:val="2"/>
          <w:sz w:val="24"/>
          <w:szCs w:val="24"/>
          <w:highlight w:val="none"/>
          <w:lang w:val="en-US" w:eastAsia="zh-CN" w:bidi="ar-SA"/>
        </w:rPr>
        <w:t>28.5 成交通知</w:t>
      </w:r>
    </w:p>
    <w:p w14:paraId="5BF0BCF3">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在公告成交结果的同时，采购人以书面形式向成交供应商发出成交通知书，同时将成交结果通知其他参加磋商的供应商。</w:t>
      </w:r>
    </w:p>
    <w:p w14:paraId="094180E9">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成交通知书发出后，采购人不得违法改变成交结果，成交供应商无正当理由不得放弃。</w:t>
      </w:r>
    </w:p>
    <w:p w14:paraId="526D3527">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9"/>
        <w:rPr>
          <w:rFonts w:hint="eastAsia" w:ascii="宋体" w:hAnsi="宋体" w:eastAsia="宋体" w:cs="宋体"/>
          <w:b/>
          <w:bCs/>
          <w:color w:val="auto"/>
          <w:spacing w:val="0"/>
          <w:kern w:val="2"/>
          <w:sz w:val="24"/>
          <w:szCs w:val="24"/>
          <w:highlight w:val="none"/>
          <w:lang w:val="en-US" w:eastAsia="zh-CN" w:bidi="ar-SA"/>
        </w:rPr>
      </w:pPr>
      <w:r>
        <w:rPr>
          <w:rFonts w:hint="eastAsia" w:ascii="宋体" w:hAnsi="宋体" w:cs="宋体"/>
          <w:b/>
          <w:bCs/>
          <w:color w:val="auto"/>
          <w:spacing w:val="0"/>
          <w:kern w:val="2"/>
          <w:sz w:val="24"/>
          <w:szCs w:val="24"/>
          <w:highlight w:val="none"/>
          <w:lang w:val="en-US" w:eastAsia="zh-CN" w:bidi="ar-SA"/>
        </w:rPr>
        <w:t>28</w:t>
      </w:r>
      <w:r>
        <w:rPr>
          <w:rFonts w:hint="eastAsia" w:ascii="宋体" w:hAnsi="宋体" w:eastAsia="宋体" w:cs="宋体"/>
          <w:b/>
          <w:bCs/>
          <w:color w:val="auto"/>
          <w:spacing w:val="0"/>
          <w:kern w:val="2"/>
          <w:sz w:val="24"/>
          <w:szCs w:val="24"/>
          <w:highlight w:val="none"/>
          <w:lang w:val="en-US" w:eastAsia="zh-CN" w:bidi="ar-SA"/>
        </w:rPr>
        <w:t>.</w:t>
      </w:r>
      <w:r>
        <w:rPr>
          <w:rFonts w:hint="eastAsia" w:ascii="宋体" w:hAnsi="宋体" w:cs="宋体"/>
          <w:b/>
          <w:bCs/>
          <w:color w:val="auto"/>
          <w:spacing w:val="0"/>
          <w:kern w:val="2"/>
          <w:sz w:val="24"/>
          <w:szCs w:val="24"/>
          <w:highlight w:val="none"/>
          <w:lang w:val="en-US" w:eastAsia="zh-CN" w:bidi="ar-SA"/>
        </w:rPr>
        <w:t xml:space="preserve">6 </w:t>
      </w:r>
      <w:r>
        <w:rPr>
          <w:rFonts w:hint="eastAsia" w:ascii="宋体" w:hAnsi="宋体" w:eastAsia="宋体" w:cs="宋体"/>
          <w:b/>
          <w:bCs/>
          <w:color w:val="auto"/>
          <w:spacing w:val="0"/>
          <w:kern w:val="2"/>
          <w:sz w:val="24"/>
          <w:szCs w:val="24"/>
          <w:highlight w:val="none"/>
          <w:lang w:val="en-US" w:eastAsia="zh-CN" w:bidi="ar-SA"/>
        </w:rPr>
        <w:t>签订合同</w:t>
      </w:r>
    </w:p>
    <w:p w14:paraId="41151C8B">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spacing w:val="0"/>
          <w:sz w:val="24"/>
          <w:szCs w:val="24"/>
          <w:highlight w:val="none"/>
        </w:rPr>
      </w:pPr>
      <w:r>
        <w:rPr>
          <w:rFonts w:hint="eastAsia" w:ascii="宋体" w:hAnsi="宋体" w:cs="宋体"/>
          <w:b/>
          <w:color w:val="auto"/>
          <w:spacing w:val="0"/>
          <w:sz w:val="24"/>
          <w:szCs w:val="24"/>
          <w:highlight w:val="none"/>
          <w:lang w:val="en-US" w:eastAsia="zh-CN"/>
        </w:rPr>
        <w:t>28</w:t>
      </w:r>
      <w:r>
        <w:rPr>
          <w:rFonts w:hint="eastAsia" w:ascii="宋体" w:hAnsi="宋体" w:eastAsia="宋体" w:cs="宋体"/>
          <w:b/>
          <w:color w:val="auto"/>
          <w:spacing w:val="0"/>
          <w:sz w:val="24"/>
          <w:szCs w:val="24"/>
          <w:highlight w:val="none"/>
        </w:rPr>
        <w:t>.</w:t>
      </w:r>
      <w:r>
        <w:rPr>
          <w:rFonts w:hint="eastAsia" w:ascii="宋体" w:hAnsi="宋体" w:cs="宋体"/>
          <w:b/>
          <w:color w:val="auto"/>
          <w:spacing w:val="0"/>
          <w:sz w:val="24"/>
          <w:szCs w:val="24"/>
          <w:highlight w:val="none"/>
          <w:lang w:val="en-US" w:eastAsia="zh-CN"/>
        </w:rPr>
        <w:t>6</w:t>
      </w:r>
      <w:r>
        <w:rPr>
          <w:rFonts w:hint="eastAsia" w:ascii="宋体" w:hAnsi="宋体" w:eastAsia="宋体" w:cs="宋体"/>
          <w:b/>
          <w:color w:val="auto"/>
          <w:spacing w:val="0"/>
          <w:sz w:val="24"/>
          <w:szCs w:val="24"/>
          <w:highlight w:val="none"/>
        </w:rPr>
        <w:t>.1</w:t>
      </w:r>
      <w:r>
        <w:rPr>
          <w:rFonts w:hint="eastAsia" w:ascii="宋体" w:hAnsi="宋体" w:cs="宋体"/>
          <w:b/>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采购人应当自成交通知书发出之日起</w:t>
      </w:r>
      <w:r>
        <w:rPr>
          <w:rFonts w:hint="eastAsia" w:ascii="宋体" w:hAnsi="宋体" w:cs="宋体"/>
          <w:color w:val="auto"/>
          <w:spacing w:val="0"/>
          <w:sz w:val="24"/>
          <w:szCs w:val="24"/>
          <w:highlight w:val="none"/>
          <w:lang w:val="en-US" w:eastAsia="zh-CN"/>
        </w:rPr>
        <w:t>25</w:t>
      </w:r>
      <w:r>
        <w:rPr>
          <w:rFonts w:hint="eastAsia" w:ascii="宋体" w:hAnsi="宋体" w:eastAsia="宋体" w:cs="宋体"/>
          <w:color w:val="auto"/>
          <w:spacing w:val="0"/>
          <w:sz w:val="24"/>
          <w:szCs w:val="24"/>
          <w:highlight w:val="none"/>
        </w:rPr>
        <w:t>日内，按照磋商文件和成交供应商响应文件的规定，与成交供应商签订书面合同。所签订的合同不得对磋商文件确定的事项和成交供应商响应文件作实质性修改。</w:t>
      </w:r>
    </w:p>
    <w:p w14:paraId="1107BAA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采购人不得向成交供应商提出任何不合理的要求作为签订合同的条件。</w:t>
      </w:r>
    </w:p>
    <w:p w14:paraId="49A517E8">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spacing w:val="0"/>
          <w:sz w:val="24"/>
          <w:szCs w:val="24"/>
          <w:highlight w:val="none"/>
        </w:rPr>
      </w:pPr>
      <w:r>
        <w:rPr>
          <w:rFonts w:hint="eastAsia" w:ascii="宋体" w:hAnsi="宋体" w:cs="宋体"/>
          <w:b/>
          <w:color w:val="auto"/>
          <w:spacing w:val="0"/>
          <w:sz w:val="24"/>
          <w:szCs w:val="24"/>
          <w:highlight w:val="none"/>
          <w:lang w:val="en-US" w:eastAsia="zh-CN"/>
        </w:rPr>
        <w:t>28</w:t>
      </w:r>
      <w:r>
        <w:rPr>
          <w:rFonts w:hint="eastAsia" w:ascii="宋体" w:hAnsi="宋体" w:eastAsia="宋体" w:cs="宋体"/>
          <w:b/>
          <w:color w:val="auto"/>
          <w:spacing w:val="0"/>
          <w:sz w:val="24"/>
          <w:szCs w:val="24"/>
          <w:highlight w:val="none"/>
        </w:rPr>
        <w:t>.</w:t>
      </w:r>
      <w:r>
        <w:rPr>
          <w:rFonts w:hint="eastAsia" w:ascii="宋体" w:hAnsi="宋体" w:cs="宋体"/>
          <w:b/>
          <w:color w:val="auto"/>
          <w:spacing w:val="0"/>
          <w:sz w:val="24"/>
          <w:szCs w:val="24"/>
          <w:highlight w:val="none"/>
          <w:lang w:val="en-US" w:eastAsia="zh-CN"/>
        </w:rPr>
        <w:t>6</w:t>
      </w:r>
      <w:r>
        <w:rPr>
          <w:rFonts w:hint="eastAsia" w:ascii="宋体" w:hAnsi="宋体" w:eastAsia="宋体" w:cs="宋体"/>
          <w:b/>
          <w:color w:val="auto"/>
          <w:spacing w:val="0"/>
          <w:sz w:val="24"/>
          <w:szCs w:val="24"/>
          <w:highlight w:val="none"/>
        </w:rPr>
        <w:t>.2</w:t>
      </w:r>
      <w:r>
        <w:rPr>
          <w:rFonts w:hint="eastAsia" w:ascii="宋体" w:hAnsi="宋体" w:cs="宋体"/>
          <w:b/>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成交供应商无正当理由拒签合同的，采购人取消其成交资格。</w:t>
      </w:r>
    </w:p>
    <w:p w14:paraId="56488C51">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spacing w:val="0"/>
          <w:sz w:val="24"/>
          <w:szCs w:val="24"/>
          <w:highlight w:val="none"/>
        </w:rPr>
      </w:pPr>
      <w:r>
        <w:rPr>
          <w:rFonts w:hint="eastAsia" w:ascii="宋体" w:hAnsi="宋体" w:cs="宋体"/>
          <w:b/>
          <w:color w:val="auto"/>
          <w:spacing w:val="0"/>
          <w:sz w:val="24"/>
          <w:szCs w:val="24"/>
          <w:highlight w:val="none"/>
          <w:lang w:val="en-US" w:eastAsia="zh-CN"/>
        </w:rPr>
        <w:t>28</w:t>
      </w:r>
      <w:r>
        <w:rPr>
          <w:rFonts w:hint="eastAsia" w:ascii="宋体" w:hAnsi="宋体" w:eastAsia="宋体" w:cs="宋体"/>
          <w:b/>
          <w:color w:val="auto"/>
          <w:spacing w:val="0"/>
          <w:sz w:val="24"/>
          <w:szCs w:val="24"/>
          <w:highlight w:val="none"/>
        </w:rPr>
        <w:t>.</w:t>
      </w:r>
      <w:r>
        <w:rPr>
          <w:rFonts w:hint="eastAsia" w:ascii="宋体" w:hAnsi="宋体" w:cs="宋体"/>
          <w:b/>
          <w:color w:val="auto"/>
          <w:spacing w:val="0"/>
          <w:sz w:val="24"/>
          <w:szCs w:val="24"/>
          <w:highlight w:val="none"/>
          <w:lang w:val="en-US" w:eastAsia="zh-CN"/>
        </w:rPr>
        <w:t>6</w:t>
      </w:r>
      <w:r>
        <w:rPr>
          <w:rFonts w:hint="eastAsia" w:ascii="宋体" w:hAnsi="宋体" w:eastAsia="宋体" w:cs="宋体"/>
          <w:b/>
          <w:color w:val="auto"/>
          <w:spacing w:val="0"/>
          <w:sz w:val="24"/>
          <w:szCs w:val="24"/>
          <w:highlight w:val="none"/>
        </w:rPr>
        <w:t>.3</w:t>
      </w:r>
      <w:r>
        <w:rPr>
          <w:rFonts w:hint="eastAsia" w:ascii="宋体" w:hAnsi="宋体" w:cs="宋体"/>
          <w:b/>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发出成交通知书后，采购人无正当理由拒签合同的，给成交供应商造成损失的，应当赔偿损失。</w:t>
      </w:r>
    </w:p>
    <w:p w14:paraId="75E42D68">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spacing w:val="0"/>
          <w:sz w:val="24"/>
          <w:szCs w:val="24"/>
          <w:highlight w:val="none"/>
        </w:rPr>
      </w:pPr>
      <w:r>
        <w:rPr>
          <w:rFonts w:hint="eastAsia" w:ascii="宋体" w:hAnsi="宋体" w:cs="宋体"/>
          <w:b/>
          <w:color w:val="auto"/>
          <w:spacing w:val="0"/>
          <w:sz w:val="24"/>
          <w:szCs w:val="24"/>
          <w:highlight w:val="none"/>
          <w:lang w:val="en-US" w:eastAsia="zh-CN"/>
        </w:rPr>
        <w:t>28</w:t>
      </w:r>
      <w:r>
        <w:rPr>
          <w:rFonts w:hint="eastAsia" w:ascii="宋体" w:hAnsi="宋体" w:eastAsia="宋体" w:cs="宋体"/>
          <w:b/>
          <w:color w:val="auto"/>
          <w:spacing w:val="0"/>
          <w:sz w:val="24"/>
          <w:szCs w:val="24"/>
          <w:highlight w:val="none"/>
        </w:rPr>
        <w:t>.</w:t>
      </w:r>
      <w:r>
        <w:rPr>
          <w:rFonts w:hint="eastAsia" w:ascii="宋体" w:hAnsi="宋体" w:cs="宋体"/>
          <w:b/>
          <w:color w:val="auto"/>
          <w:spacing w:val="0"/>
          <w:sz w:val="24"/>
          <w:szCs w:val="24"/>
          <w:highlight w:val="none"/>
          <w:lang w:val="en-US" w:eastAsia="zh-CN"/>
        </w:rPr>
        <w:t>6</w:t>
      </w:r>
      <w:r>
        <w:rPr>
          <w:rFonts w:hint="eastAsia" w:ascii="宋体" w:hAnsi="宋体" w:eastAsia="宋体" w:cs="宋体"/>
          <w:b/>
          <w:color w:val="auto"/>
          <w:spacing w:val="0"/>
          <w:sz w:val="24"/>
          <w:szCs w:val="24"/>
          <w:highlight w:val="none"/>
        </w:rPr>
        <w:t>.4</w:t>
      </w:r>
      <w:r>
        <w:rPr>
          <w:rFonts w:hint="eastAsia" w:ascii="宋体" w:hAnsi="宋体" w:cs="宋体"/>
          <w:b/>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成交供应商拒绝签订合同的，采购人可以确定其他供应商作为成交供应商并签订合同，也可以重新开展采购活动。拒绝签订合同的成交供应商不得参加对该项目重新开展的采购活动。</w:t>
      </w:r>
    </w:p>
    <w:p w14:paraId="11FD9594">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color w:val="auto"/>
          <w:spacing w:val="0"/>
          <w:sz w:val="24"/>
          <w:szCs w:val="24"/>
          <w:highlight w:val="none"/>
        </w:rPr>
      </w:pPr>
      <w:r>
        <w:rPr>
          <w:rFonts w:hint="eastAsia" w:ascii="宋体" w:hAnsi="宋体" w:cs="宋体"/>
          <w:b/>
          <w:color w:val="auto"/>
          <w:spacing w:val="0"/>
          <w:sz w:val="24"/>
          <w:szCs w:val="24"/>
          <w:highlight w:val="none"/>
          <w:lang w:val="en-US" w:eastAsia="zh-CN"/>
        </w:rPr>
        <w:t>28</w:t>
      </w:r>
      <w:r>
        <w:rPr>
          <w:rFonts w:hint="eastAsia" w:ascii="宋体" w:hAnsi="宋体" w:eastAsia="宋体" w:cs="宋体"/>
          <w:b/>
          <w:color w:val="auto"/>
          <w:spacing w:val="0"/>
          <w:sz w:val="24"/>
          <w:szCs w:val="24"/>
          <w:highlight w:val="none"/>
        </w:rPr>
        <w:t>.</w:t>
      </w:r>
      <w:r>
        <w:rPr>
          <w:rFonts w:hint="eastAsia" w:ascii="宋体" w:hAnsi="宋体" w:cs="宋体"/>
          <w:b/>
          <w:color w:val="auto"/>
          <w:spacing w:val="0"/>
          <w:sz w:val="24"/>
          <w:szCs w:val="24"/>
          <w:highlight w:val="none"/>
          <w:lang w:val="en-US" w:eastAsia="zh-CN"/>
        </w:rPr>
        <w:t>6</w:t>
      </w:r>
      <w:r>
        <w:rPr>
          <w:rFonts w:hint="eastAsia" w:ascii="宋体" w:hAnsi="宋体" w:eastAsia="宋体" w:cs="宋体"/>
          <w:b/>
          <w:color w:val="auto"/>
          <w:spacing w:val="0"/>
          <w:sz w:val="24"/>
          <w:szCs w:val="24"/>
          <w:highlight w:val="none"/>
        </w:rPr>
        <w:t>.5</w:t>
      </w:r>
      <w:r>
        <w:rPr>
          <w:rFonts w:hint="eastAsia" w:ascii="宋体" w:hAnsi="宋体" w:cs="宋体"/>
          <w:b/>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联合体成交的，联合体各方应当共同与采购人签订合同，就成交项目向采购人承担连带责任。</w:t>
      </w:r>
    </w:p>
    <w:p w14:paraId="09EEDFC4">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八、代理服务费 </w:t>
      </w:r>
    </w:p>
    <w:p w14:paraId="2297EB38">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2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29. </w:t>
      </w:r>
      <w:r>
        <w:rPr>
          <w:rFonts w:hint="eastAsia" w:ascii="宋体" w:hAnsi="宋体" w:eastAsia="宋体" w:cs="宋体"/>
          <w:b/>
          <w:bCs/>
          <w:color w:val="auto"/>
          <w:spacing w:val="20"/>
          <w:kern w:val="0"/>
          <w:sz w:val="24"/>
          <w:szCs w:val="24"/>
          <w:highlight w:val="none"/>
          <w:lang w:val="en-US" w:eastAsia="zh-CN" w:bidi="ar"/>
        </w:rPr>
        <w:t xml:space="preserve">代理服务费的数额及交纳方式 </w:t>
      </w:r>
    </w:p>
    <w:p w14:paraId="29376CB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29.1 </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供应商在领取《</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通知书》之前，应向采购代理机构交纳代理服务费。</w:t>
      </w:r>
    </w:p>
    <w:p w14:paraId="2D8D50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pacing w:val="0"/>
          <w:kern w:val="0"/>
          <w:sz w:val="24"/>
          <w:szCs w:val="24"/>
          <w:highlight w:val="none"/>
          <w:lang w:val="en-US" w:eastAsia="zh-CN" w:bidi="ar"/>
        </w:rPr>
        <w:t xml:space="preserve">29.2 </w:t>
      </w:r>
      <w:r>
        <w:rPr>
          <w:rFonts w:hint="eastAsia" w:ascii="宋体" w:hAnsi="宋体" w:eastAsia="宋体" w:cs="宋体"/>
          <w:b w:val="0"/>
          <w:bCs w:val="0"/>
          <w:color w:val="auto"/>
          <w:sz w:val="24"/>
          <w:szCs w:val="24"/>
          <w:highlight w:val="none"/>
          <w:lang w:eastAsia="zh-CN"/>
        </w:rPr>
        <w:t>招标代理服务费的计算方法：以成交金额为基数，参照国家计委颁布《招标代理服务收费管理暂行办法》（计价格[2002]1980号）和国家发展改革委员会办公厅颁发的《关于招标代理服务收费有关问题的通知》（发改办价格[2003]857号）文件规定执行。</w:t>
      </w:r>
    </w:p>
    <w:p w14:paraId="50EAE03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29.3 代理服务费以转账、电汇或现金等形式交纳。不得用磋商保证金冲抵。 </w:t>
      </w:r>
    </w:p>
    <w:p w14:paraId="369B9C0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29.4 </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供应商未按 29.1 条款规定交纳磋商代理服务费的，采购代理机构</w:t>
      </w:r>
      <w:r>
        <w:rPr>
          <w:rFonts w:hint="eastAsia" w:ascii="宋体" w:hAnsi="宋体" w:cs="宋体"/>
          <w:color w:val="auto"/>
          <w:spacing w:val="0"/>
          <w:kern w:val="0"/>
          <w:sz w:val="24"/>
          <w:szCs w:val="24"/>
          <w:highlight w:val="none"/>
          <w:lang w:val="en-US" w:eastAsia="zh-CN" w:bidi="ar"/>
        </w:rPr>
        <w:t>有权不予退还</w:t>
      </w:r>
      <w:r>
        <w:rPr>
          <w:rFonts w:hint="eastAsia" w:ascii="宋体" w:hAnsi="宋体" w:eastAsia="宋体" w:cs="宋体"/>
          <w:color w:val="auto"/>
          <w:spacing w:val="0"/>
          <w:kern w:val="0"/>
          <w:sz w:val="24"/>
          <w:szCs w:val="24"/>
          <w:highlight w:val="none"/>
          <w:lang w:val="en-US" w:eastAsia="zh-CN" w:bidi="ar"/>
        </w:rPr>
        <w:t xml:space="preserve">其磋商保证金。 </w:t>
      </w:r>
    </w:p>
    <w:p w14:paraId="54E4C1C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29.5 </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单位服务费交纳信息 </w:t>
      </w:r>
    </w:p>
    <w:p w14:paraId="0E00BBC8">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outlineLvl w:val="1"/>
        <w:rPr>
          <w:rFonts w:hint="eastAsia" w:ascii="宋体" w:hAnsi="宋体" w:eastAsia="宋体" w:cs="宋体"/>
          <w:b w:val="0"/>
          <w:bCs w:val="0"/>
          <w:color w:val="auto"/>
          <w:spacing w:val="0"/>
          <w:kern w:val="0"/>
          <w:sz w:val="24"/>
          <w:szCs w:val="24"/>
          <w:highlight w:val="none"/>
          <w:lang w:val="en-US" w:eastAsia="zh-CN" w:bidi="ar"/>
        </w:rPr>
      </w:pPr>
      <w:r>
        <w:rPr>
          <w:rFonts w:hint="eastAsia" w:ascii="宋体" w:hAnsi="宋体" w:eastAsia="宋体" w:cs="宋体"/>
          <w:b w:val="0"/>
          <w:bCs w:val="0"/>
          <w:color w:val="auto"/>
          <w:spacing w:val="0"/>
          <w:kern w:val="0"/>
          <w:sz w:val="24"/>
          <w:szCs w:val="24"/>
          <w:highlight w:val="none"/>
          <w:lang w:val="en-US" w:eastAsia="zh-CN" w:bidi="ar"/>
        </w:rPr>
        <w:t>户  名：陕西中海招标有限公司</w:t>
      </w:r>
    </w:p>
    <w:p w14:paraId="082A6B5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outlineLvl w:val="1"/>
        <w:rPr>
          <w:rFonts w:hint="eastAsia" w:ascii="宋体" w:hAnsi="宋体" w:eastAsia="宋体" w:cs="宋体"/>
          <w:b w:val="0"/>
          <w:bCs w:val="0"/>
          <w:color w:val="auto"/>
          <w:spacing w:val="0"/>
          <w:kern w:val="0"/>
          <w:sz w:val="24"/>
          <w:szCs w:val="24"/>
          <w:highlight w:val="none"/>
          <w:lang w:val="en-US" w:eastAsia="zh-CN" w:bidi="ar"/>
        </w:rPr>
      </w:pPr>
      <w:r>
        <w:rPr>
          <w:rFonts w:hint="eastAsia" w:ascii="宋体" w:hAnsi="宋体" w:eastAsia="宋体" w:cs="宋体"/>
          <w:b w:val="0"/>
          <w:bCs w:val="0"/>
          <w:color w:val="auto"/>
          <w:spacing w:val="0"/>
          <w:kern w:val="0"/>
          <w:sz w:val="24"/>
          <w:szCs w:val="24"/>
          <w:highlight w:val="none"/>
          <w:lang w:val="en-US" w:eastAsia="zh-CN" w:bidi="ar"/>
        </w:rPr>
        <w:t>开户行：中国银行西安二环世纪星支行营业部</w:t>
      </w:r>
    </w:p>
    <w:p w14:paraId="2DF3D8FC">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outlineLvl w:val="1"/>
        <w:rPr>
          <w:rFonts w:hint="eastAsia" w:ascii="宋体" w:hAnsi="宋体" w:eastAsia="宋体" w:cs="宋体"/>
          <w:b w:val="0"/>
          <w:bCs w:val="0"/>
          <w:color w:val="auto"/>
          <w:spacing w:val="0"/>
          <w:kern w:val="0"/>
          <w:sz w:val="24"/>
          <w:szCs w:val="24"/>
          <w:highlight w:val="none"/>
          <w:lang w:val="en-US" w:eastAsia="zh-CN" w:bidi="ar"/>
        </w:rPr>
      </w:pPr>
      <w:r>
        <w:rPr>
          <w:rFonts w:hint="eastAsia" w:ascii="宋体" w:hAnsi="宋体" w:eastAsia="宋体" w:cs="宋体"/>
          <w:b w:val="0"/>
          <w:bCs w:val="0"/>
          <w:color w:val="auto"/>
          <w:spacing w:val="0"/>
          <w:kern w:val="0"/>
          <w:sz w:val="24"/>
          <w:szCs w:val="24"/>
          <w:highlight w:val="none"/>
          <w:lang w:val="en-US" w:eastAsia="zh-CN" w:bidi="ar"/>
        </w:rPr>
        <w:t>行  号：1047 9100 3702</w:t>
      </w:r>
    </w:p>
    <w:p w14:paraId="5FD0D89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outlineLvl w:val="1"/>
        <w:rPr>
          <w:rFonts w:hint="eastAsia" w:ascii="宋体" w:hAnsi="宋体" w:eastAsia="宋体" w:cs="宋体"/>
          <w:b w:val="0"/>
          <w:bCs w:val="0"/>
          <w:color w:val="auto"/>
          <w:spacing w:val="0"/>
          <w:kern w:val="0"/>
          <w:sz w:val="24"/>
          <w:szCs w:val="24"/>
          <w:highlight w:val="none"/>
          <w:lang w:val="en-US" w:eastAsia="zh-CN" w:bidi="ar"/>
        </w:rPr>
      </w:pPr>
      <w:r>
        <w:rPr>
          <w:rFonts w:hint="eastAsia" w:ascii="宋体" w:hAnsi="宋体" w:eastAsia="宋体" w:cs="宋体"/>
          <w:b w:val="0"/>
          <w:bCs w:val="0"/>
          <w:color w:val="auto"/>
          <w:spacing w:val="0"/>
          <w:kern w:val="0"/>
          <w:sz w:val="24"/>
          <w:szCs w:val="24"/>
          <w:highlight w:val="none"/>
          <w:lang w:val="en-US" w:eastAsia="zh-CN" w:bidi="ar"/>
        </w:rPr>
        <w:t>账  号：1020 0176 8739</w:t>
      </w:r>
    </w:p>
    <w:p w14:paraId="6509333E">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九、质疑与投诉 </w:t>
      </w:r>
    </w:p>
    <w:p w14:paraId="0D1C3C12">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30. 质疑 </w:t>
      </w:r>
    </w:p>
    <w:p w14:paraId="5D4B918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30.1 质疑与投诉事宜依据《中华人民共和国政府采购法》、《中华人民共和国财政部令（第 20 号）》、《政府采购法实施条例（国务院第 658 号令）》及《陕财办采资（2016）53 号》规定执行。</w:t>
      </w:r>
    </w:p>
    <w:p w14:paraId="3AB622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30.2 出现供应商认为采购文件、采购过程和</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成交结果使自己的权益受到损害的，可以在知道或者应知其权益受到损害之日起七个工作日内，以书面形式向采购人提出质疑。供应商应知其权益受到损害之日，是指：对可以质疑的采购文件提出质疑的，为收到采购文件之日或者采购文件公告期限届满之日；对采购过程提出质疑的，为各采购程序环节结束之日；对</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或者成交结果提出质疑的，为</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或者成交结果公告期限届满之日。 </w:t>
      </w:r>
    </w:p>
    <w:p w14:paraId="1448A9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30.3 采购人或者采购代理机构应当在3个工作日内对供应商依法提出的询问作出答复。供应商提出的询问或者质疑超出采购人对采购代理机构委托授权范围的，采购代理机构应当告知供应商向采购人提出。</w:t>
      </w:r>
      <w:r>
        <w:rPr>
          <w:rFonts w:hint="eastAsia" w:ascii="宋体" w:hAnsi="宋体" w:cs="宋体"/>
          <w:color w:val="auto"/>
          <w:spacing w:val="0"/>
          <w:kern w:val="0"/>
          <w:sz w:val="24"/>
          <w:szCs w:val="24"/>
          <w:highlight w:val="none"/>
          <w:lang w:val="en-US" w:eastAsia="zh-CN" w:bidi="ar"/>
        </w:rPr>
        <w:t>磋商小组</w:t>
      </w:r>
      <w:r>
        <w:rPr>
          <w:rFonts w:hint="eastAsia" w:ascii="宋体" w:hAnsi="宋体" w:eastAsia="宋体" w:cs="宋体"/>
          <w:color w:val="auto"/>
          <w:spacing w:val="0"/>
          <w:kern w:val="0"/>
          <w:sz w:val="24"/>
          <w:szCs w:val="24"/>
          <w:highlight w:val="none"/>
          <w:lang w:val="en-US" w:eastAsia="zh-CN" w:bidi="ar"/>
        </w:rPr>
        <w:t xml:space="preserve">应当配合采购人或者采购代理机构答复供应商的询问和质疑。 </w:t>
      </w:r>
    </w:p>
    <w:p w14:paraId="042E1F60">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30.4 出现供应商认为采购文件、采购过程、</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和成交结果使自己的合法权益受到损害的，应当首先依法向采购人、采购代理机构提出质疑。 </w:t>
      </w:r>
    </w:p>
    <w:p w14:paraId="141AF6E2">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30.</w:t>
      </w:r>
      <w:r>
        <w:rPr>
          <w:rFonts w:hint="eastAsia" w:ascii="宋体" w:hAnsi="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val="en-US" w:eastAsia="zh-CN" w:bidi="ar"/>
        </w:rPr>
        <w:t xml:space="preserve"> </w:t>
      </w:r>
      <w:r>
        <w:rPr>
          <w:rFonts w:hint="eastAsia" w:ascii="宋体" w:hAnsi="宋体" w:eastAsia="宋体" w:cs="宋体"/>
          <w:color w:val="auto"/>
          <w:kern w:val="2"/>
          <w:sz w:val="24"/>
          <w:szCs w:val="24"/>
          <w:highlight w:val="none"/>
          <w:lang w:val="en-US" w:eastAsia="zh-CN" w:bidi="ar-SA"/>
        </w:rPr>
        <w:t>接收质疑函的方式：书面形式</w:t>
      </w:r>
    </w:p>
    <w:p w14:paraId="4E2D6358">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1200" w:firstLineChars="5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联系部门：</w:t>
      </w:r>
      <w:r>
        <w:rPr>
          <w:rFonts w:hint="eastAsia" w:ascii="宋体" w:hAnsi="宋体" w:eastAsia="宋体" w:cs="宋体"/>
          <w:b w:val="0"/>
          <w:bCs w:val="0"/>
          <w:color w:val="auto"/>
          <w:kern w:val="2"/>
          <w:sz w:val="24"/>
          <w:szCs w:val="24"/>
          <w:highlight w:val="none"/>
          <w:lang w:val="en-US" w:eastAsia="zh-CN" w:bidi="ar-SA"/>
        </w:rPr>
        <w:t>陕西中海招标有限公司</w:t>
      </w:r>
    </w:p>
    <w:p w14:paraId="13BDB386">
      <w:pPr>
        <w:keepNext w:val="0"/>
        <w:keepLines w:val="0"/>
        <w:pageBreakBefore w:val="0"/>
        <w:kinsoku/>
        <w:wordWrap/>
        <w:overflowPunct/>
        <w:topLinePunct w:val="0"/>
        <w:autoSpaceDE/>
        <w:autoSpaceDN/>
        <w:bidi w:val="0"/>
        <w:adjustRightInd/>
        <w:snapToGrid/>
        <w:spacing w:line="360" w:lineRule="auto"/>
        <w:ind w:firstLine="1200" w:firstLineChars="5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w:t>
      </w: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系</w:t>
      </w: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人：</w:t>
      </w:r>
      <w:r>
        <w:rPr>
          <w:rFonts w:hint="eastAsia" w:ascii="宋体" w:hAnsi="宋体" w:eastAsia="宋体" w:cs="宋体"/>
          <w:b w:val="0"/>
          <w:bCs w:val="0"/>
          <w:color w:val="auto"/>
          <w:kern w:val="2"/>
          <w:sz w:val="24"/>
          <w:szCs w:val="24"/>
          <w:highlight w:val="none"/>
          <w:vertAlign w:val="baseline"/>
          <w:lang w:val="en-US" w:eastAsia="zh-CN" w:bidi="ar-SA"/>
        </w:rPr>
        <w:t>樊静</w:t>
      </w:r>
    </w:p>
    <w:p w14:paraId="6845D546">
      <w:pPr>
        <w:keepNext w:val="0"/>
        <w:keepLines w:val="0"/>
        <w:pageBreakBefore w:val="0"/>
        <w:kinsoku/>
        <w:wordWrap/>
        <w:overflowPunct/>
        <w:topLinePunct w:val="0"/>
        <w:autoSpaceDE/>
        <w:autoSpaceDN/>
        <w:bidi w:val="0"/>
        <w:adjustRightInd/>
        <w:snapToGrid/>
        <w:spacing w:line="360" w:lineRule="auto"/>
        <w:ind w:firstLine="1200" w:firstLineChars="5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联系电话：</w:t>
      </w:r>
      <w:r>
        <w:rPr>
          <w:rFonts w:hint="eastAsia" w:ascii="宋体" w:hAnsi="宋体" w:eastAsia="宋体" w:cs="宋体"/>
          <w:b w:val="0"/>
          <w:bCs w:val="0"/>
          <w:color w:val="auto"/>
          <w:kern w:val="2"/>
          <w:sz w:val="24"/>
          <w:szCs w:val="24"/>
          <w:highlight w:val="none"/>
          <w:vertAlign w:val="baseline"/>
          <w:lang w:val="en-US" w:eastAsia="zh-CN" w:bidi="ar-SA"/>
        </w:rPr>
        <w:t>18602927100</w:t>
      </w:r>
    </w:p>
    <w:p w14:paraId="2219D607">
      <w:pPr>
        <w:keepNext w:val="0"/>
        <w:keepLines w:val="0"/>
        <w:pageBreakBefore w:val="0"/>
        <w:kinsoku/>
        <w:wordWrap/>
        <w:overflowPunct/>
        <w:topLinePunct w:val="0"/>
        <w:autoSpaceDE/>
        <w:autoSpaceDN/>
        <w:bidi w:val="0"/>
        <w:adjustRightInd/>
        <w:snapToGrid/>
        <w:spacing w:line="360" w:lineRule="auto"/>
        <w:ind w:firstLine="1200" w:firstLineChars="500"/>
        <w:textAlignment w:val="auto"/>
        <w:rPr>
          <w:color w:val="auto"/>
          <w:spacing w:val="0"/>
          <w:sz w:val="24"/>
          <w:szCs w:val="24"/>
          <w:highlight w:val="none"/>
        </w:rPr>
      </w:pPr>
      <w:r>
        <w:rPr>
          <w:rFonts w:hint="eastAsia" w:ascii="宋体" w:hAnsi="宋体" w:eastAsia="宋体" w:cs="宋体"/>
          <w:color w:val="auto"/>
          <w:kern w:val="2"/>
          <w:sz w:val="24"/>
          <w:szCs w:val="24"/>
          <w:highlight w:val="none"/>
          <w:lang w:val="en-US" w:eastAsia="zh-CN" w:bidi="ar-SA"/>
        </w:rPr>
        <w:t>通讯地址：</w:t>
      </w:r>
      <w:r>
        <w:rPr>
          <w:rFonts w:hint="eastAsia" w:ascii="宋体" w:hAnsi="宋体" w:cs="宋体"/>
          <w:color w:val="auto"/>
          <w:spacing w:val="0"/>
          <w:sz w:val="24"/>
          <w:szCs w:val="24"/>
          <w:highlight w:val="none"/>
          <w:lang w:val="en-US" w:eastAsia="zh-CN"/>
        </w:rPr>
        <w:t>西安市莲湖区西关正街58号英达大厦809号</w:t>
      </w:r>
    </w:p>
    <w:p w14:paraId="1604BEBD">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31.关于质疑函的提交：</w:t>
      </w:r>
    </w:p>
    <w:p w14:paraId="689CF0E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31.1 一</w:t>
      </w:r>
      <w:r>
        <w:rPr>
          <w:rFonts w:hint="eastAsia" w:ascii="宋体" w:hAnsi="宋体" w:cs="宋体"/>
          <w:color w:val="auto"/>
          <w:spacing w:val="0"/>
          <w:kern w:val="0"/>
          <w:sz w:val="24"/>
          <w:szCs w:val="24"/>
          <w:highlight w:val="none"/>
          <w:lang w:val="en-US" w:eastAsia="zh-CN" w:bidi="ar"/>
        </w:rPr>
        <w:t>份</w:t>
      </w:r>
      <w:r>
        <w:rPr>
          <w:rFonts w:hint="eastAsia" w:ascii="宋体" w:hAnsi="宋体" w:eastAsia="宋体" w:cs="宋体"/>
          <w:color w:val="auto"/>
          <w:spacing w:val="0"/>
          <w:kern w:val="0"/>
          <w:sz w:val="24"/>
          <w:szCs w:val="24"/>
          <w:highlight w:val="none"/>
          <w:lang w:val="en-US" w:eastAsia="zh-CN" w:bidi="ar"/>
        </w:rPr>
        <w:t xml:space="preserve">质疑函只能针对一个项目提出质疑，质疑人需要对两个（含）以上项目提出质疑的，应当分别提交质疑函。根据“谁主张、谁举证”的原则，质疑事项必要的证据材料应当由质疑人提供。 </w:t>
      </w:r>
    </w:p>
    <w:p w14:paraId="3154437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31.2 质疑函必须由法定代表人签署本人姓名（或印盖本人姓名章）并加盖单位公章，不得加盖合同专用章等各种形式的专用章。质疑函由参加采购项目的授权代表签署本人姓名（或印盖本人姓名章）的，应当同时提供法定代表人允许其办理质疑事项的特别授权。 </w:t>
      </w:r>
    </w:p>
    <w:p w14:paraId="6E6C6A9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31.3 采购代理机构于收到质疑函后一个工作日内对质疑函的形式进行审查，符合条件的质疑，予以受理并向质疑人发出质疑签收单。收到质疑函原件并向质疑人发出质疑签收单之日，为质疑正式受理之日。质疑处理工作在受理质疑事项后七个工作日内完成。对于供应商依法提出的询问事项，应当在三个工作日内作出答复 </w:t>
      </w:r>
    </w:p>
    <w:p w14:paraId="3DED1A9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31.4 质疑受理时采购项目评审工作已经完成的,质疑事项由采购项目的原评审委员会进行复核，质疑受理时尚未成立评审委员会的，应当从专家库中随机抽取专家组建评审委员会进行复核。 </w:t>
      </w:r>
    </w:p>
    <w:p w14:paraId="3F6918F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31.5 质疑处理过程中，质疑人要求撤回质疑的，应当以书面方式提交质疑撤销函，由法定代表人签署本人姓名（或印盖本人姓名章）并加盖单位公章。采购代理机构收到质疑撤销函后，上报有关监督部门视具体情况决定是否终止质疑处理工作。 </w:t>
      </w:r>
    </w:p>
    <w:p w14:paraId="24BD827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31.6 供应商进行虚假和恶意质疑的，采购代理机构将提请有关部门将其列入不良记录名单，在一至三年内禁止其参加政府采购活动，并在相关媒体上公布处理决定。</w:t>
      </w:r>
    </w:p>
    <w:p w14:paraId="3CA473FA">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32.投诉 </w:t>
      </w:r>
    </w:p>
    <w:p w14:paraId="029A610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供应商和其他利害关系人认为本次采购活动违反法律、法规和规章规定的，有权向有关监督机构投诉。</w:t>
      </w:r>
    </w:p>
    <w:p w14:paraId="7C84424D">
      <w:pPr>
        <w:pageBreakBefore w:val="0"/>
        <w:kinsoku/>
        <w:wordWrap/>
        <w:overflowPunct/>
        <w:topLinePunct w:val="0"/>
        <w:autoSpaceDE/>
        <w:autoSpaceDN/>
        <w:bidi w:val="0"/>
        <w:spacing w:line="360" w:lineRule="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br w:type="page"/>
      </w:r>
    </w:p>
    <w:p w14:paraId="62E6D6A3">
      <w:pPr>
        <w:pageBreakBefore w:val="0"/>
        <w:kinsoku/>
        <w:wordWrap/>
        <w:overflowPunct/>
        <w:topLinePunct w:val="0"/>
        <w:autoSpaceDE/>
        <w:autoSpaceDN/>
        <w:bidi w:val="0"/>
        <w:spacing w:line="360" w:lineRule="auto"/>
        <w:jc w:val="center"/>
        <w:textAlignment w:val="auto"/>
        <w:outlineLvl w:val="0"/>
        <w:rPr>
          <w:rFonts w:hint="eastAsia" w:ascii="Times New Roman" w:hAnsi="Times New Roman" w:cs="Times New Roman"/>
          <w:b/>
          <w:bCs/>
          <w:color w:val="auto"/>
          <w:spacing w:val="0"/>
          <w:kern w:val="44"/>
          <w:sz w:val="32"/>
          <w:szCs w:val="32"/>
          <w:highlight w:val="none"/>
          <w:lang w:val="en-US" w:eastAsia="zh-CN" w:bidi="ar-SA"/>
        </w:rPr>
      </w:pPr>
      <w:bookmarkStart w:id="15" w:name="_Toc14683"/>
      <w:r>
        <w:rPr>
          <w:rFonts w:hint="eastAsia" w:ascii="Times New Roman" w:hAnsi="Times New Roman" w:cs="Times New Roman"/>
          <w:b/>
          <w:bCs/>
          <w:color w:val="auto"/>
          <w:spacing w:val="0"/>
          <w:kern w:val="44"/>
          <w:sz w:val="32"/>
          <w:szCs w:val="32"/>
          <w:highlight w:val="none"/>
          <w:lang w:val="en-US" w:eastAsia="zh-CN" w:bidi="ar-SA"/>
        </w:rPr>
        <w:t>第三章</w:t>
      </w:r>
      <w:r>
        <w:rPr>
          <w:rFonts w:hint="eastAsia" w:cs="Times New Roman"/>
          <w:b/>
          <w:bCs/>
          <w:color w:val="auto"/>
          <w:spacing w:val="0"/>
          <w:kern w:val="44"/>
          <w:sz w:val="32"/>
          <w:szCs w:val="32"/>
          <w:highlight w:val="none"/>
          <w:lang w:val="en-US" w:eastAsia="zh-CN" w:bidi="ar-SA"/>
        </w:rPr>
        <w:t xml:space="preserve">  </w:t>
      </w:r>
      <w:r>
        <w:rPr>
          <w:rFonts w:hint="eastAsia" w:ascii="Times New Roman" w:hAnsi="Times New Roman" w:cs="Times New Roman"/>
          <w:b/>
          <w:bCs/>
          <w:color w:val="auto"/>
          <w:spacing w:val="0"/>
          <w:kern w:val="44"/>
          <w:sz w:val="32"/>
          <w:szCs w:val="32"/>
          <w:highlight w:val="none"/>
          <w:lang w:val="en-US" w:eastAsia="zh-CN" w:bidi="ar-SA"/>
        </w:rPr>
        <w:t>评标办法</w:t>
      </w:r>
      <w:bookmarkEnd w:id="15"/>
    </w:p>
    <w:p w14:paraId="4AEC531A">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根据《中华人民共和国政府采购法》、《中华人民共和国政府采购法实施条例》、《政府采购竞争性磋商采购方式管理暂行办法》以及《财政部关于政府采购争性磋商采购方式管理暂行办法有关问题的补充通知》等法律规章，结合采购项目特点制定本评标办法。 </w:t>
      </w:r>
    </w:p>
    <w:p w14:paraId="4EF6A491">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一、评标程序 </w:t>
      </w:r>
    </w:p>
    <w:p w14:paraId="34DA1C1F">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1.本采购项目评标按照下列工作程序进行： </w:t>
      </w:r>
    </w:p>
    <w:p w14:paraId="244CC293">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（1）磋商响应文件初审； </w:t>
      </w:r>
    </w:p>
    <w:p w14:paraId="5AD72AE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（2）澄清有关问题； </w:t>
      </w:r>
    </w:p>
    <w:p w14:paraId="1106F676">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（3）比较与评价； </w:t>
      </w:r>
    </w:p>
    <w:p w14:paraId="70FFC2A8">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（4）推荐</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供应商名单； </w:t>
      </w:r>
    </w:p>
    <w:p w14:paraId="7253F02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（5）编写评标报告。 </w:t>
      </w:r>
    </w:p>
    <w:p w14:paraId="3397827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 .磋商响应文件初审 </w:t>
      </w:r>
    </w:p>
    <w:p w14:paraId="398B687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2.1 磋商响应文件资格性审查，包括资质审查及有效性审查；即对供应商的资质及磋商响应文件资格证明文件、磋商保证金交纳情况有效性进行审查，以确保供应商是否具备相应资格；符合性审查，即对磋商响应文件的完整性和对磋商文件的响应程度进行审查，以确定是否对磋商文件实在性内容作出响应。 </w:t>
      </w:r>
    </w:p>
    <w:p w14:paraId="6EA9789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2.2 在资格性、符合性检查时，磋商响应文件被认定无效磋商的，不得进入后续评标环节。</w:t>
      </w:r>
    </w:p>
    <w:p w14:paraId="59CADCA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 磋商响应文件的澄清 </w:t>
      </w:r>
    </w:p>
    <w:p w14:paraId="7644EB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3.1 为有助于磋商响应文件的审查、比较和评价，磋商小组可要求供应商对其磋商响应文件中非实质性的有关问题进行澄清、说明或者补正。有关澄清、说明或者补正的要求和答复应以书面（含电传、传真）形式提交，并由其法定代表人（或授权代表人）签字。供应商的澄清、说明或者补正不得超出磋商文件的范围或者改变磋商响应文件的实质性内容。 </w:t>
      </w:r>
    </w:p>
    <w:p w14:paraId="2ECD5CC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 磋商响应文件比较与评价 </w:t>
      </w:r>
    </w:p>
    <w:p w14:paraId="56D30BF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kern w:val="0"/>
          <w:sz w:val="24"/>
          <w:szCs w:val="24"/>
          <w:highlight w:val="none"/>
          <w:lang w:val="en-US" w:eastAsia="zh-CN" w:bidi="ar"/>
        </w:rPr>
        <w:t>4.1 以磋商文件为依据，对磋商响应文件分别从磋商报价、</w:t>
      </w:r>
      <w:r>
        <w:rPr>
          <w:rFonts w:hint="eastAsia" w:ascii="宋体" w:hAnsi="宋体" w:cs="宋体"/>
          <w:color w:val="auto"/>
          <w:kern w:val="0"/>
          <w:sz w:val="24"/>
          <w:szCs w:val="24"/>
          <w:highlight w:val="none"/>
          <w:lang w:val="en-US" w:eastAsia="zh-CN" w:bidi="ar"/>
        </w:rPr>
        <w:t>服务方案</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质量保证、服务承诺及业绩</w:t>
      </w:r>
      <w:r>
        <w:rPr>
          <w:rFonts w:hint="eastAsia" w:ascii="宋体" w:hAnsi="宋体" w:eastAsia="宋体" w:cs="宋体"/>
          <w:color w:val="auto"/>
          <w:spacing w:val="0"/>
          <w:kern w:val="0"/>
          <w:sz w:val="24"/>
          <w:szCs w:val="24"/>
          <w:highlight w:val="none"/>
          <w:lang w:val="en-US" w:eastAsia="zh-CN" w:bidi="ar"/>
        </w:rPr>
        <w:t xml:space="preserve">进行比较和评价，并按照百分制进行综合赋分。 </w:t>
      </w:r>
    </w:p>
    <w:p w14:paraId="018C7A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4.2 磋商小组认定实质性响应磋商文件的磋商是磋商响应文件与磋商文件要求的全部条款、条件和规格相符，没有实质性负偏离。磋商小组决定磋商响应文件的响应性依据磋商响应文件本身的内容，而不寻求外部的证据。 </w:t>
      </w:r>
    </w:p>
    <w:p w14:paraId="072F71D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4.3 如果磋商响应文件没有实质性响应磋商文件的要求，磋商小组将予以拒绝。磋商供应商不得通过修正或撤消不合要求的偏离或保留从而使其磋商成为实质性响应的磋商。</w:t>
      </w:r>
    </w:p>
    <w:p w14:paraId="1EA7CE8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4.4 磋商小组只对确定为实质性响应磋商文件要求的磋商文件，根据磋商文件的要求采用相同的评标程序、评分办法及标准进行评价和比较。</w:t>
      </w:r>
    </w:p>
    <w:p w14:paraId="194F9622">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二、定标及定标程序 </w:t>
      </w:r>
    </w:p>
    <w:p w14:paraId="2C6140F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（见第二章第 28 条） </w:t>
      </w:r>
    </w:p>
    <w:p w14:paraId="0C01CB97">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三、评标方法 </w:t>
      </w:r>
    </w:p>
    <w:p w14:paraId="4FB20EE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pacing w:val="0"/>
          <w:sz w:val="24"/>
          <w:highlight w:val="none"/>
        </w:rPr>
      </w:pPr>
      <w:r>
        <w:rPr>
          <w:rFonts w:hint="eastAsia" w:ascii="宋体" w:hAnsi="宋体" w:eastAsia="宋体" w:cs="宋体"/>
          <w:color w:val="auto"/>
          <w:spacing w:val="0"/>
          <w:kern w:val="0"/>
          <w:sz w:val="24"/>
          <w:szCs w:val="24"/>
          <w:highlight w:val="none"/>
          <w:lang w:val="en-US" w:eastAsia="zh-CN" w:bidi="ar"/>
        </w:rPr>
        <w:t>1. 本采购项目评标方法采用综合评分法。</w:t>
      </w:r>
      <w:r>
        <w:rPr>
          <w:rFonts w:hint="eastAsia" w:ascii="宋体" w:hAnsi="宋体"/>
          <w:color w:val="auto"/>
          <w:spacing w:val="0"/>
          <w:sz w:val="24"/>
          <w:highlight w:val="none"/>
        </w:rPr>
        <w:t>二次报价为最终报价，在满足磋商文件所有实质性要求前提下，提交最终报价。如采购需求没有实质性变化，各供应商的报价应逐次降低。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6906258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 磋商响应文件中如果出现计算错误，可按以下原则进行修正： </w:t>
      </w:r>
    </w:p>
    <w:p w14:paraId="14116674">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（1）磋商响应文件中的大写金额与小写金额不一致的，以大写金额为准； </w:t>
      </w:r>
    </w:p>
    <w:p w14:paraId="3A58287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（2）磋商响应文件中的总价金额与按单价计算的汇总金额不一致的，以单价计算的汇总金额为准； </w:t>
      </w:r>
    </w:p>
    <w:p w14:paraId="2A29B6A0">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（3）磋商响应文件中的单价金额有明显小数点错误的，以总价为准，并修改单价； </w:t>
      </w:r>
    </w:p>
    <w:p w14:paraId="4439C9C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（4）磋商响应文件中图表与文字表述不一致的，以文字表述为准； </w:t>
      </w:r>
    </w:p>
    <w:p w14:paraId="1D442559">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（5）磋商响应文件正本与副本不一致的，以正本为准； </w:t>
      </w:r>
    </w:p>
    <w:p w14:paraId="00BB7AB3">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（6）对不同文字文本磋商响应文件的解释发生异议的，以中文文本为准。 </w:t>
      </w:r>
    </w:p>
    <w:p w14:paraId="53306342">
      <w:pPr>
        <w:keepNext w:val="0"/>
        <w:keepLines w:val="0"/>
        <w:pageBreakBefore w:val="0"/>
        <w:widowControl/>
        <w:suppressLineNumbers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kern w:val="0"/>
          <w:sz w:val="24"/>
          <w:szCs w:val="24"/>
          <w:highlight w:val="none"/>
          <w:lang w:val="en-US" w:eastAsia="zh-CN" w:bidi="ar"/>
        </w:rPr>
        <w:t xml:space="preserve">按上述修正错误的方法调整的磋商报价应对供应商具有约束力。如果磋商供应商不接受修正后的价格，其磋商将被拒绝。 </w:t>
      </w:r>
    </w:p>
    <w:p w14:paraId="3D1C674A">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3. 磋商响应文件中，若某项有不合理报价（或零报价、漏报价）的，经磋商小组评审后，此项得分为零，不参与磋商报价分值的计算。</w:t>
      </w:r>
    </w:p>
    <w:p w14:paraId="68B1E34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 评委打分超过得分界限或未按本办法赋分时，该评委的打分，按废票处理。 </w:t>
      </w:r>
    </w:p>
    <w:p w14:paraId="05C5D3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 评标过程中，各种数字的计算结果，均保留两位小数，第三位“四舍五入”，但计算百分数时应精确到千分位，万分位“四舍五入”。 </w:t>
      </w:r>
    </w:p>
    <w:p w14:paraId="69D3229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6. 针对本项目材料提供相同品牌且通过资格审查、符合性审查的不同供应商，按一家供应商计算，评审后得分最高的供应商获得</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人推荐资格；评审得分相同的，磋商报价低的供应商获得</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人推荐资格. </w:t>
      </w:r>
    </w:p>
    <w:p w14:paraId="5C7986C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7. 评标过程中，若出现本评标办法以外的特殊情况时，将暂停评标，待磋商小组商榷后，再进行评定。 </w:t>
      </w:r>
    </w:p>
    <w:p w14:paraId="186A6E2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8.评标过程中，若出现合格供应商只有2家的，采购活动可以继续进行；少于 2 家时，采购人应当终止采购活动，发布项目终止采购公告并说明原因，重新开展采购活动。 </w:t>
      </w:r>
    </w:p>
    <w:p w14:paraId="55E25E4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9. 排名第一的候选人，主动放弃</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，或因不可抗力不能履行合同，或被查实存在影响</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结果的违法行为等情形，已不再符合</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条件的，采购人可以按照磋商小组提出的</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候选人名单排序依次确定其他</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候选人为</w:t>
      </w:r>
      <w:r>
        <w:rPr>
          <w:rFonts w:hint="eastAsia" w:ascii="宋体" w:hAnsi="宋体" w:cs="宋体"/>
          <w:color w:val="auto"/>
          <w:spacing w:val="0"/>
          <w:kern w:val="0"/>
          <w:sz w:val="24"/>
          <w:szCs w:val="24"/>
          <w:highlight w:val="none"/>
          <w:lang w:val="en-US" w:eastAsia="zh-CN" w:bidi="ar"/>
        </w:rPr>
        <w:t>成交</w:t>
      </w:r>
      <w:r>
        <w:rPr>
          <w:rFonts w:hint="eastAsia" w:ascii="宋体" w:hAnsi="宋体" w:eastAsia="宋体" w:cs="宋体"/>
          <w:color w:val="auto"/>
          <w:spacing w:val="0"/>
          <w:kern w:val="0"/>
          <w:sz w:val="24"/>
          <w:szCs w:val="24"/>
          <w:highlight w:val="none"/>
          <w:lang w:val="en-US" w:eastAsia="zh-CN" w:bidi="ar"/>
        </w:rPr>
        <w:t xml:space="preserve">人。 </w:t>
      </w:r>
    </w:p>
    <w:p w14:paraId="5EBC299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10. 主观评分偏离核查：本项目主观评分项总分3</w:t>
      </w:r>
      <w:r>
        <w:rPr>
          <w:rFonts w:hint="eastAsia" w:ascii="宋体" w:hAnsi="宋体" w:cs="宋体"/>
          <w:color w:val="auto"/>
          <w:spacing w:val="0"/>
          <w:kern w:val="0"/>
          <w:sz w:val="24"/>
          <w:szCs w:val="24"/>
          <w:highlight w:val="none"/>
          <w:lang w:val="en-US" w:eastAsia="zh-CN" w:bidi="ar"/>
        </w:rPr>
        <w:t>0</w:t>
      </w:r>
      <w:r>
        <w:rPr>
          <w:rFonts w:hint="eastAsia" w:ascii="宋体" w:hAnsi="宋体" w:eastAsia="宋体" w:cs="宋体"/>
          <w:color w:val="auto"/>
          <w:spacing w:val="0"/>
          <w:kern w:val="0"/>
          <w:sz w:val="24"/>
          <w:szCs w:val="24"/>
          <w:highlight w:val="none"/>
          <w:lang w:val="en-US" w:eastAsia="zh-CN" w:bidi="ar"/>
        </w:rPr>
        <w:t>分，适用陕财办采函[2026]10号规定。对同一供应商主观项评分偏离15%以上的，磋商小组应当进行核查。核查程序：由评分偏离最大的评审专家说明打分理由，磋商小组讨论确认后记录在评审报告中。</w:t>
      </w:r>
    </w:p>
    <w:p w14:paraId="7AB3B02C">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四、评标细则及标准（综合评分法） </w:t>
      </w:r>
    </w:p>
    <w:p w14:paraId="067DF0B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1. 本次综合评分的主要因素是：</w:t>
      </w:r>
      <w:r>
        <w:rPr>
          <w:rFonts w:hint="eastAsia" w:ascii="宋体" w:hAnsi="宋体" w:cs="宋体"/>
          <w:color w:val="auto"/>
          <w:spacing w:val="0"/>
          <w:kern w:val="0"/>
          <w:sz w:val="24"/>
          <w:szCs w:val="24"/>
          <w:highlight w:val="none"/>
          <w:lang w:val="en-US" w:eastAsia="zh-CN" w:bidi="ar"/>
        </w:rPr>
        <w:t>商务部分</w:t>
      </w:r>
      <w:r>
        <w:rPr>
          <w:rFonts w:hint="eastAsia" w:ascii="宋体" w:hAnsi="宋体" w:eastAsia="宋体" w:cs="宋体"/>
          <w:color w:val="auto"/>
          <w:spacing w:val="0"/>
          <w:kern w:val="0"/>
          <w:sz w:val="24"/>
          <w:szCs w:val="24"/>
          <w:highlight w:val="none"/>
          <w:lang w:val="en-US" w:eastAsia="zh-CN" w:bidi="ar"/>
        </w:rPr>
        <w:t>、</w:t>
      </w:r>
      <w:r>
        <w:rPr>
          <w:rFonts w:hint="eastAsia" w:ascii="宋体" w:hAnsi="宋体" w:cs="宋体"/>
          <w:color w:val="auto"/>
          <w:spacing w:val="0"/>
          <w:kern w:val="0"/>
          <w:sz w:val="24"/>
          <w:szCs w:val="24"/>
          <w:highlight w:val="none"/>
          <w:lang w:val="en-US" w:eastAsia="zh-CN" w:bidi="ar"/>
        </w:rPr>
        <w:t>技术部分</w:t>
      </w:r>
      <w:r>
        <w:rPr>
          <w:rFonts w:hint="eastAsia" w:ascii="宋体" w:hAnsi="宋体" w:eastAsia="宋体" w:cs="宋体"/>
          <w:color w:val="auto"/>
          <w:spacing w:val="0"/>
          <w:kern w:val="0"/>
          <w:sz w:val="24"/>
          <w:szCs w:val="24"/>
          <w:highlight w:val="none"/>
          <w:lang w:val="en-US" w:eastAsia="zh-CN" w:bidi="ar"/>
        </w:rPr>
        <w:t xml:space="preserve">。 </w:t>
      </w:r>
    </w:p>
    <w:p w14:paraId="1F523E5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2</w:t>
      </w:r>
      <w:r>
        <w:rPr>
          <w:rFonts w:hint="eastAsia" w:ascii="宋体" w:hAnsi="宋体" w:eastAsia="宋体" w:cs="宋体"/>
          <w:color w:val="auto"/>
          <w:spacing w:val="0"/>
          <w:kern w:val="0"/>
          <w:sz w:val="24"/>
          <w:szCs w:val="24"/>
          <w:highlight w:val="none"/>
          <w:lang w:val="en-US" w:eastAsia="zh-CN" w:bidi="ar"/>
        </w:rPr>
        <w:t xml:space="preserve">. 除价格因素外，磋商小组成员应依据磋商文件规定的评分标准和方法独立对其他因素进行比较打分。 </w:t>
      </w:r>
    </w:p>
    <w:p w14:paraId="568DC6B8">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3</w:t>
      </w:r>
      <w:r>
        <w:rPr>
          <w:rFonts w:hint="eastAsia" w:ascii="宋体" w:hAnsi="宋体" w:eastAsia="宋体" w:cs="宋体"/>
          <w:color w:val="auto"/>
          <w:spacing w:val="0"/>
          <w:kern w:val="0"/>
          <w:sz w:val="24"/>
          <w:szCs w:val="24"/>
          <w:highlight w:val="none"/>
          <w:lang w:val="en-US" w:eastAsia="zh-CN" w:bidi="ar"/>
        </w:rPr>
        <w:t xml:space="preserve">. 资格性审查： </w:t>
      </w:r>
    </w:p>
    <w:p w14:paraId="0D0AEB2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3</w:t>
      </w:r>
      <w:r>
        <w:rPr>
          <w:rFonts w:hint="eastAsia" w:ascii="宋体" w:hAnsi="宋体" w:eastAsia="宋体" w:cs="宋体"/>
          <w:color w:val="auto"/>
          <w:spacing w:val="0"/>
          <w:kern w:val="0"/>
          <w:sz w:val="24"/>
          <w:szCs w:val="24"/>
          <w:highlight w:val="none"/>
          <w:lang w:val="en-US" w:eastAsia="zh-CN" w:bidi="ar"/>
        </w:rPr>
        <w:t>.1 资质审查：由</w:t>
      </w:r>
      <w:r>
        <w:rPr>
          <w:rFonts w:hint="eastAsia" w:ascii="宋体" w:hAnsi="宋体" w:cs="宋体"/>
          <w:color w:val="auto"/>
          <w:spacing w:val="0"/>
          <w:kern w:val="0"/>
          <w:sz w:val="24"/>
          <w:szCs w:val="24"/>
          <w:highlight w:val="none"/>
          <w:lang w:val="en-US" w:eastAsia="zh-CN" w:bidi="ar"/>
        </w:rPr>
        <w:t>采购人或采购代理机构</w:t>
      </w:r>
      <w:r>
        <w:rPr>
          <w:rFonts w:hint="eastAsia" w:ascii="宋体" w:hAnsi="宋体" w:eastAsia="宋体" w:cs="宋体"/>
          <w:color w:val="auto"/>
          <w:spacing w:val="0"/>
          <w:kern w:val="0"/>
          <w:sz w:val="24"/>
          <w:szCs w:val="24"/>
          <w:highlight w:val="none"/>
          <w:lang w:val="en-US" w:eastAsia="zh-CN" w:bidi="ar"/>
        </w:rPr>
        <w:t xml:space="preserve">对各供应商提交的资质进行审查，缺其中一项或某项达不到磋商文件要求，均按无效文件处理； </w:t>
      </w:r>
    </w:p>
    <w:p w14:paraId="358166E2">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3</w:t>
      </w:r>
      <w:r>
        <w:rPr>
          <w:rFonts w:hint="eastAsia" w:ascii="宋体" w:hAnsi="宋体" w:eastAsia="宋体" w:cs="宋体"/>
          <w:color w:val="auto"/>
          <w:spacing w:val="0"/>
          <w:kern w:val="0"/>
          <w:sz w:val="24"/>
          <w:szCs w:val="24"/>
          <w:highlight w:val="none"/>
          <w:lang w:val="en-US" w:eastAsia="zh-CN" w:bidi="ar"/>
        </w:rPr>
        <w:t>.2 资质有效性评审：磋商文件中的资质证明文件为必备资质，</w:t>
      </w:r>
      <w:r>
        <w:rPr>
          <w:rFonts w:hint="eastAsia" w:ascii="宋体" w:hAnsi="宋体" w:cs="宋体"/>
          <w:color w:val="auto"/>
          <w:spacing w:val="0"/>
          <w:kern w:val="0"/>
          <w:sz w:val="24"/>
          <w:szCs w:val="24"/>
          <w:highlight w:val="none"/>
          <w:lang w:val="en-US" w:eastAsia="zh-CN" w:bidi="ar"/>
        </w:rPr>
        <w:t>评审专家</w:t>
      </w:r>
      <w:r>
        <w:rPr>
          <w:rFonts w:hint="eastAsia" w:ascii="宋体" w:hAnsi="宋体" w:eastAsia="宋体" w:cs="宋体"/>
          <w:color w:val="auto"/>
          <w:spacing w:val="0"/>
          <w:kern w:val="0"/>
          <w:sz w:val="24"/>
          <w:szCs w:val="24"/>
          <w:highlight w:val="none"/>
          <w:lang w:val="en-US" w:eastAsia="zh-CN" w:bidi="ar"/>
        </w:rPr>
        <w:t xml:space="preserve">对各供应商磋商响应文件中的资质证明文件进行审查，缺其中一项或某项达不到磋商文件要求，均按无效文件处理。 </w:t>
      </w:r>
    </w:p>
    <w:p w14:paraId="3E53C1B2">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有效评审的内容： </w:t>
      </w:r>
    </w:p>
    <w:p w14:paraId="3AC31683">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1、具有独立承担民事责任能力的法人、其他组织或自然人，并出具合法有效的营业执照或事业单位法人证书等国家规定的相关证明，自然人参与的提供其身份证明。</w:t>
      </w:r>
    </w:p>
    <w:p w14:paraId="250AB08D">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2、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p>
    <w:p w14:paraId="4B149F8F">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3、税收缴纳证明：提供2025年1月至今已缴纳至少一个月的依法缴纳税款的相关凭据（时间以税款所属日期为准），凭据应有税务机关或代收机关的公章或业务专用章。依法免税或无须缴纳税款的供应商，应提供相关证明文件。</w:t>
      </w:r>
    </w:p>
    <w:p w14:paraId="7ADFB3A1">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4、社会保障资金缴纳证明：提供2025年1月至今已缴存的至少一个月的社会保障资金缴存单据或社保机构开具的社会保险参保缴费情况证明，依法不需要缴纳社会保障资金的单位应提供相关证明材料。 </w:t>
      </w:r>
    </w:p>
    <w:p w14:paraId="17DBA57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5、书面声明：参加本次政府采购活动前三年内在经营活动中没有重大违法记录，以及未被列入失信被执行人、重大税收违法失信主体、严重失信主体名单的书面声明。本项目拒绝被列入失信被执行人、重大税收违法失信主体、严重失信主体的供应商参与。</w:t>
      </w:r>
    </w:p>
    <w:p w14:paraId="06A25205">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 xml:space="preserve">6、提供具有履行合同所必需的设备和专业技术能力的承诺函； </w:t>
      </w:r>
    </w:p>
    <w:p w14:paraId="754C7F3C">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7、法定代表人授权书及被授权人身份证。（法定代表人直接参与磋商只须提交其身份证原件）；</w:t>
      </w:r>
    </w:p>
    <w:p w14:paraId="279F8DCE">
      <w:pPr>
        <w:keepNext w:val="0"/>
        <w:keepLines w:val="0"/>
        <w:pageBreakBefore w:val="0"/>
        <w:widowControl/>
        <w:suppressLineNumbers w:val="0"/>
        <w:kinsoku/>
        <w:wordWrap/>
        <w:overflowPunct/>
        <w:topLinePunct w:val="0"/>
        <w:autoSpaceDE/>
        <w:autoSpaceDN/>
        <w:bidi w:val="0"/>
        <w:adjustRightInd/>
        <w:spacing w:line="360" w:lineRule="auto"/>
        <w:ind w:firstLine="480" w:firstLineChars="200"/>
        <w:jc w:val="left"/>
        <w:textAlignment w:val="auto"/>
        <w:rPr>
          <w:rFonts w:hint="eastAsia"/>
          <w:lang w:val="en-US" w:eastAsia="zh-CN"/>
        </w:rPr>
      </w:pPr>
      <w:r>
        <w:rPr>
          <w:rFonts w:hint="eastAsia" w:ascii="宋体" w:hAnsi="宋体" w:eastAsia="宋体" w:cs="宋体"/>
          <w:color w:val="auto"/>
          <w:spacing w:val="0"/>
          <w:kern w:val="0"/>
          <w:sz w:val="24"/>
          <w:szCs w:val="24"/>
          <w:highlight w:val="none"/>
          <w:lang w:val="en-US" w:eastAsia="zh-CN" w:bidi="ar"/>
        </w:rPr>
        <w:t>8、提供中小企业声明函（本项目为非专门面向中、小、微型企业采购项目）。</w:t>
      </w:r>
    </w:p>
    <w:p w14:paraId="6FD38B0C">
      <w:pPr>
        <w:pageBreakBefore w:val="0"/>
        <w:kinsoku/>
        <w:wordWrap/>
        <w:overflowPunct/>
        <w:topLinePunct w:val="0"/>
        <w:autoSpaceDE/>
        <w:autoSpaceDN/>
        <w:bidi w:val="0"/>
        <w:spacing w:line="360" w:lineRule="auto"/>
        <w:ind w:firstLine="482" w:firstLineChars="200"/>
        <w:textAlignment w:val="auto"/>
        <w:outlineLvl w:val="9"/>
        <w:rPr>
          <w:rFonts w:hint="default"/>
          <w:color w:val="auto"/>
          <w:spacing w:val="0"/>
          <w:sz w:val="24"/>
          <w:szCs w:val="24"/>
          <w:highlight w:val="none"/>
          <w:lang w:val="en-US" w:eastAsia="zh-CN"/>
        </w:rPr>
      </w:pPr>
      <w:r>
        <w:rPr>
          <w:rFonts w:hint="eastAsia" w:ascii="宋体" w:hAnsi="宋体" w:eastAsia="宋体" w:cs="宋体"/>
          <w:b/>
          <w:bCs/>
          <w:color w:val="auto"/>
          <w:spacing w:val="0"/>
          <w:kern w:val="0"/>
          <w:sz w:val="24"/>
          <w:szCs w:val="24"/>
          <w:highlight w:val="none"/>
          <w:lang w:val="en-US" w:eastAsia="zh-CN" w:bidi="ar"/>
        </w:rPr>
        <w:t>注：上述资质文件</w:t>
      </w:r>
      <w:r>
        <w:rPr>
          <w:rFonts w:hint="eastAsia" w:ascii="宋体" w:hAnsi="宋体" w:cs="宋体"/>
          <w:b/>
          <w:bCs/>
          <w:color w:val="auto"/>
          <w:spacing w:val="0"/>
          <w:kern w:val="0"/>
          <w:sz w:val="24"/>
          <w:szCs w:val="24"/>
          <w:highlight w:val="none"/>
          <w:lang w:val="en-US" w:eastAsia="zh-CN" w:bidi="ar"/>
        </w:rPr>
        <w:t>1-7项</w:t>
      </w:r>
      <w:r>
        <w:rPr>
          <w:rFonts w:hint="eastAsia" w:ascii="宋体" w:hAnsi="宋体" w:eastAsia="宋体" w:cs="宋体"/>
          <w:b/>
          <w:bCs/>
          <w:color w:val="auto"/>
          <w:spacing w:val="0"/>
          <w:kern w:val="0"/>
          <w:sz w:val="24"/>
          <w:szCs w:val="24"/>
          <w:highlight w:val="none"/>
          <w:lang w:val="en-US" w:eastAsia="zh-CN" w:bidi="ar"/>
        </w:rPr>
        <w:t>为必备资质，缺少一项或某项达不到磋商文件要求的按无效磋商</w:t>
      </w:r>
      <w:r>
        <w:rPr>
          <w:rFonts w:hint="eastAsia" w:ascii="宋体" w:hAnsi="宋体" w:cs="宋体"/>
          <w:b/>
          <w:bCs/>
          <w:color w:val="auto"/>
          <w:spacing w:val="0"/>
          <w:kern w:val="0"/>
          <w:sz w:val="24"/>
          <w:szCs w:val="24"/>
          <w:highlight w:val="none"/>
          <w:lang w:val="en-US" w:eastAsia="zh-CN" w:bidi="ar"/>
        </w:rPr>
        <w:t>响应</w:t>
      </w:r>
      <w:r>
        <w:rPr>
          <w:rFonts w:hint="eastAsia" w:ascii="宋体" w:hAnsi="宋体" w:eastAsia="宋体" w:cs="宋体"/>
          <w:b/>
          <w:bCs/>
          <w:color w:val="auto"/>
          <w:spacing w:val="0"/>
          <w:kern w:val="0"/>
          <w:sz w:val="24"/>
          <w:szCs w:val="24"/>
          <w:highlight w:val="none"/>
          <w:lang w:val="en-US" w:eastAsia="zh-CN" w:bidi="ar"/>
        </w:rPr>
        <w:t>文件处理。第8项中小企业声明函</w:t>
      </w:r>
      <w:r>
        <w:rPr>
          <w:rFonts w:hint="eastAsia" w:ascii="宋体" w:hAnsi="宋体" w:cs="宋体"/>
          <w:b/>
          <w:bCs/>
          <w:color w:val="auto"/>
          <w:spacing w:val="0"/>
          <w:kern w:val="0"/>
          <w:sz w:val="24"/>
          <w:szCs w:val="24"/>
          <w:highlight w:val="none"/>
          <w:lang w:val="en-US" w:eastAsia="zh-CN" w:bidi="ar"/>
        </w:rPr>
        <w:t>仅作为价格扣除依据，不纳入资格审查否决范围。</w:t>
      </w:r>
    </w:p>
    <w:p w14:paraId="7F26883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cs="宋体"/>
          <w:color w:val="auto"/>
          <w:spacing w:val="0"/>
          <w:kern w:val="0"/>
          <w:sz w:val="24"/>
          <w:szCs w:val="24"/>
          <w:highlight w:val="none"/>
          <w:lang w:val="en-US" w:eastAsia="zh-CN" w:bidi="ar"/>
        </w:rPr>
        <w:t>4</w:t>
      </w:r>
      <w:r>
        <w:rPr>
          <w:rFonts w:hint="eastAsia" w:ascii="宋体" w:hAnsi="宋体" w:eastAsia="宋体" w:cs="宋体"/>
          <w:color w:val="auto"/>
          <w:spacing w:val="0"/>
          <w:kern w:val="0"/>
          <w:sz w:val="24"/>
          <w:szCs w:val="24"/>
          <w:highlight w:val="none"/>
          <w:lang w:val="en-US" w:eastAsia="zh-CN" w:bidi="ar"/>
        </w:rPr>
        <w:t>. 符合性评审：主要对供应商磋商响应文件进行商务和技术符合性的审定。出现下列情形之一者，其磋商响应文件按无效文件处理：</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658"/>
        <w:gridCol w:w="5155"/>
      </w:tblGrid>
      <w:tr w14:paraId="346814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l2br w:val="nil"/>
              <w:tr2bl w:val="nil"/>
            </w:tcBorders>
            <w:vAlign w:val="center"/>
          </w:tcPr>
          <w:p w14:paraId="67025576">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spacing w:val="0"/>
                <w:sz w:val="24"/>
                <w:szCs w:val="24"/>
                <w:highlight w:val="none"/>
                <w:vertAlign w:val="baseline"/>
                <w:lang w:eastAsia="zh-CN"/>
              </w:rPr>
            </w:pPr>
            <w:r>
              <w:rPr>
                <w:rFonts w:hint="eastAsia" w:ascii="宋体" w:hAnsi="宋体" w:eastAsia="宋体" w:cs="宋体"/>
                <w:b/>
                <w:bCs/>
                <w:color w:val="auto"/>
                <w:spacing w:val="0"/>
                <w:kern w:val="0"/>
                <w:sz w:val="24"/>
                <w:szCs w:val="24"/>
                <w:highlight w:val="none"/>
                <w:lang w:val="en-US" w:eastAsia="zh-CN" w:bidi="ar"/>
              </w:rPr>
              <w:br w:type="page"/>
            </w:r>
            <w:r>
              <w:rPr>
                <w:rFonts w:hint="eastAsia" w:ascii="宋体" w:hAnsi="宋体" w:eastAsia="宋体" w:cs="宋体"/>
                <w:b/>
                <w:bCs/>
                <w:color w:val="auto"/>
                <w:spacing w:val="0"/>
                <w:sz w:val="24"/>
                <w:szCs w:val="24"/>
                <w:highlight w:val="none"/>
                <w:vertAlign w:val="baseline"/>
                <w:lang w:eastAsia="zh-CN"/>
              </w:rPr>
              <w:t>序号</w:t>
            </w:r>
          </w:p>
        </w:tc>
        <w:tc>
          <w:tcPr>
            <w:tcW w:w="2658" w:type="dxa"/>
            <w:tcBorders>
              <w:tl2br w:val="nil"/>
              <w:tr2bl w:val="nil"/>
            </w:tcBorders>
            <w:vAlign w:val="center"/>
          </w:tcPr>
          <w:p w14:paraId="3432CDB6">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spacing w:val="0"/>
                <w:sz w:val="24"/>
                <w:szCs w:val="24"/>
                <w:highlight w:val="none"/>
                <w:vertAlign w:val="baseline"/>
                <w:lang w:eastAsia="zh-CN"/>
              </w:rPr>
            </w:pPr>
            <w:r>
              <w:rPr>
                <w:rFonts w:hint="eastAsia" w:ascii="宋体" w:hAnsi="宋体" w:eastAsia="宋体" w:cs="宋体"/>
                <w:b/>
                <w:bCs/>
                <w:color w:val="auto"/>
                <w:spacing w:val="0"/>
                <w:sz w:val="24"/>
                <w:szCs w:val="24"/>
                <w:highlight w:val="none"/>
                <w:vertAlign w:val="baseline"/>
                <w:lang w:val="en-US" w:eastAsia="zh-CN"/>
              </w:rPr>
              <w:t>评审项目</w:t>
            </w:r>
          </w:p>
        </w:tc>
        <w:tc>
          <w:tcPr>
            <w:tcW w:w="5155" w:type="dxa"/>
            <w:tcBorders>
              <w:tl2br w:val="nil"/>
              <w:tr2bl w:val="nil"/>
            </w:tcBorders>
            <w:vAlign w:val="center"/>
          </w:tcPr>
          <w:p w14:paraId="44DC1D96">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bCs/>
                <w:color w:val="auto"/>
                <w:spacing w:val="0"/>
                <w:sz w:val="24"/>
                <w:szCs w:val="24"/>
                <w:highlight w:val="none"/>
                <w:vertAlign w:val="baseline"/>
                <w:lang w:eastAsia="zh-CN"/>
              </w:rPr>
            </w:pPr>
            <w:r>
              <w:rPr>
                <w:rFonts w:hint="eastAsia" w:ascii="宋体" w:hAnsi="宋体" w:eastAsia="宋体" w:cs="宋体"/>
                <w:b/>
                <w:bCs/>
                <w:color w:val="auto"/>
                <w:spacing w:val="0"/>
                <w:sz w:val="24"/>
                <w:szCs w:val="24"/>
                <w:highlight w:val="none"/>
                <w:vertAlign w:val="baseline"/>
                <w:lang w:val="en-US" w:eastAsia="zh-CN"/>
              </w:rPr>
              <w:t>评审标准</w:t>
            </w:r>
          </w:p>
        </w:tc>
      </w:tr>
      <w:tr w14:paraId="3A8EE8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l2br w:val="nil"/>
              <w:tr2bl w:val="nil"/>
            </w:tcBorders>
            <w:vAlign w:val="center"/>
          </w:tcPr>
          <w:p w14:paraId="292B1F9F">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1</w:t>
            </w:r>
          </w:p>
        </w:tc>
        <w:tc>
          <w:tcPr>
            <w:tcW w:w="2658" w:type="dxa"/>
            <w:tcBorders>
              <w:tl2br w:val="nil"/>
              <w:tr2bl w:val="nil"/>
            </w:tcBorders>
            <w:vAlign w:val="center"/>
          </w:tcPr>
          <w:p w14:paraId="73843B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磋商响应文件格式及签署盖章</w:t>
            </w:r>
          </w:p>
        </w:tc>
        <w:tc>
          <w:tcPr>
            <w:tcW w:w="5155" w:type="dxa"/>
            <w:tcBorders>
              <w:tl2br w:val="nil"/>
              <w:tr2bl w:val="nil"/>
            </w:tcBorders>
            <w:vAlign w:val="center"/>
          </w:tcPr>
          <w:p w14:paraId="26C030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eastAsia="zh-CN"/>
              </w:rPr>
              <w:t>是否按磋商文件要求的数量、语言、计量单位、报价货币及签字盖章</w:t>
            </w:r>
          </w:p>
        </w:tc>
      </w:tr>
      <w:tr w14:paraId="400431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709" w:type="dxa"/>
            <w:tcBorders>
              <w:tl2br w:val="nil"/>
              <w:tr2bl w:val="nil"/>
            </w:tcBorders>
            <w:vAlign w:val="center"/>
          </w:tcPr>
          <w:p w14:paraId="603574EE">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2</w:t>
            </w:r>
          </w:p>
        </w:tc>
        <w:tc>
          <w:tcPr>
            <w:tcW w:w="2658" w:type="dxa"/>
            <w:tcBorders>
              <w:tl2br w:val="nil"/>
              <w:tr2bl w:val="nil"/>
            </w:tcBorders>
            <w:vAlign w:val="center"/>
          </w:tcPr>
          <w:p w14:paraId="2DACE0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报价唯一且合理</w:t>
            </w:r>
          </w:p>
        </w:tc>
        <w:tc>
          <w:tcPr>
            <w:tcW w:w="5155" w:type="dxa"/>
            <w:tcBorders>
              <w:tl2br w:val="nil"/>
              <w:tr2bl w:val="nil"/>
            </w:tcBorders>
            <w:vAlign w:val="center"/>
          </w:tcPr>
          <w:p w14:paraId="3B2DF8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只能有一个有效报价，不得提交选择性报价，且报价不</w:t>
            </w:r>
            <w:r>
              <w:rPr>
                <w:rFonts w:hint="eastAsia" w:ascii="宋体" w:hAnsi="宋体" w:cs="宋体"/>
                <w:b w:val="0"/>
                <w:bCs w:val="0"/>
                <w:color w:val="auto"/>
                <w:spacing w:val="0"/>
                <w:sz w:val="24"/>
                <w:szCs w:val="24"/>
                <w:highlight w:val="none"/>
                <w:vertAlign w:val="baseline"/>
                <w:lang w:val="en-US" w:eastAsia="zh-CN"/>
              </w:rPr>
              <w:t>超过</w:t>
            </w:r>
            <w:r>
              <w:rPr>
                <w:rFonts w:hint="eastAsia" w:ascii="宋体" w:hAnsi="宋体" w:eastAsia="宋体" w:cs="宋体"/>
                <w:b w:val="0"/>
                <w:bCs w:val="0"/>
                <w:color w:val="auto"/>
                <w:spacing w:val="0"/>
                <w:sz w:val="24"/>
                <w:szCs w:val="24"/>
                <w:highlight w:val="none"/>
                <w:vertAlign w:val="baseline"/>
                <w:lang w:val="en-US" w:eastAsia="zh-CN"/>
              </w:rPr>
              <w:t>采购预算</w:t>
            </w:r>
            <w:r>
              <w:rPr>
                <w:rFonts w:hint="eastAsia" w:ascii="宋体" w:hAnsi="宋体" w:cs="宋体"/>
                <w:b w:val="0"/>
                <w:bCs w:val="0"/>
                <w:color w:val="auto"/>
                <w:spacing w:val="0"/>
                <w:sz w:val="24"/>
                <w:szCs w:val="24"/>
                <w:highlight w:val="none"/>
                <w:vertAlign w:val="baseline"/>
                <w:lang w:val="en-US" w:eastAsia="zh-CN"/>
              </w:rPr>
              <w:t>；</w:t>
            </w:r>
            <w:r>
              <w:rPr>
                <w:rFonts w:hint="eastAsia" w:ascii="宋体" w:hAnsi="宋体" w:eastAsia="宋体" w:cs="宋体"/>
                <w:b w:val="0"/>
                <w:bCs w:val="0"/>
                <w:color w:val="auto"/>
                <w:spacing w:val="0"/>
                <w:sz w:val="24"/>
                <w:szCs w:val="24"/>
                <w:highlight w:val="none"/>
                <w:vertAlign w:val="baseline"/>
                <w:lang w:val="en-US" w:eastAsia="zh-CN"/>
              </w:rPr>
              <w:t>投标报价明显低于成本价</w:t>
            </w:r>
            <w:r>
              <w:rPr>
                <w:rFonts w:hint="eastAsia" w:ascii="宋体" w:hAnsi="宋体" w:cs="宋体"/>
                <w:b w:val="0"/>
                <w:bCs w:val="0"/>
                <w:color w:val="auto"/>
                <w:spacing w:val="0"/>
                <w:sz w:val="24"/>
                <w:szCs w:val="24"/>
                <w:highlight w:val="none"/>
                <w:vertAlign w:val="baseline"/>
                <w:lang w:val="en-US" w:eastAsia="zh-CN"/>
              </w:rPr>
              <w:t>且不能</w:t>
            </w:r>
            <w:r>
              <w:rPr>
                <w:rFonts w:hint="eastAsia" w:ascii="宋体" w:hAnsi="宋体" w:eastAsia="宋体" w:cs="宋体"/>
                <w:b w:val="0"/>
                <w:bCs w:val="0"/>
                <w:color w:val="auto"/>
                <w:spacing w:val="0"/>
                <w:sz w:val="24"/>
                <w:szCs w:val="24"/>
                <w:highlight w:val="none"/>
                <w:vertAlign w:val="baseline"/>
                <w:lang w:val="en-US" w:eastAsia="zh-CN"/>
              </w:rPr>
              <w:t>合理说明</w:t>
            </w:r>
            <w:r>
              <w:rPr>
                <w:rFonts w:hint="eastAsia" w:ascii="宋体" w:hAnsi="宋体" w:cs="宋体"/>
                <w:b w:val="0"/>
                <w:bCs w:val="0"/>
                <w:color w:val="auto"/>
                <w:spacing w:val="0"/>
                <w:sz w:val="24"/>
                <w:szCs w:val="24"/>
                <w:highlight w:val="none"/>
                <w:vertAlign w:val="baseline"/>
                <w:lang w:val="en-US" w:eastAsia="zh-CN"/>
              </w:rPr>
              <w:t>的，按无效处理。</w:t>
            </w:r>
          </w:p>
        </w:tc>
      </w:tr>
      <w:tr w14:paraId="114F95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l2br w:val="nil"/>
              <w:tr2bl w:val="nil"/>
            </w:tcBorders>
            <w:vAlign w:val="center"/>
          </w:tcPr>
          <w:p w14:paraId="6178C5AA">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3</w:t>
            </w:r>
          </w:p>
        </w:tc>
        <w:tc>
          <w:tcPr>
            <w:tcW w:w="2658" w:type="dxa"/>
            <w:tcBorders>
              <w:tl2br w:val="nil"/>
              <w:tr2bl w:val="nil"/>
            </w:tcBorders>
            <w:vAlign w:val="center"/>
          </w:tcPr>
          <w:p w14:paraId="600805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pacing w:val="0"/>
                <w:sz w:val="24"/>
                <w:szCs w:val="24"/>
                <w:highlight w:val="none"/>
                <w:vertAlign w:val="baseline"/>
                <w:lang w:val="en-US" w:eastAsia="zh-CN"/>
              </w:rPr>
            </w:pPr>
            <w:r>
              <w:rPr>
                <w:rFonts w:hint="eastAsia" w:ascii="宋体" w:hAnsi="宋体" w:cs="宋体"/>
                <w:b w:val="0"/>
                <w:bCs w:val="0"/>
                <w:color w:val="auto"/>
                <w:spacing w:val="0"/>
                <w:sz w:val="24"/>
                <w:szCs w:val="24"/>
                <w:highlight w:val="none"/>
                <w:vertAlign w:val="baseline"/>
                <w:lang w:val="en-US" w:eastAsia="zh-CN"/>
              </w:rPr>
              <w:t>磋商保证金</w:t>
            </w:r>
          </w:p>
        </w:tc>
        <w:tc>
          <w:tcPr>
            <w:tcW w:w="5155" w:type="dxa"/>
            <w:tcBorders>
              <w:tl2br w:val="nil"/>
              <w:tr2bl w:val="nil"/>
            </w:tcBorders>
            <w:vAlign w:val="center"/>
          </w:tcPr>
          <w:p w14:paraId="2AE4BC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按要求提供</w:t>
            </w:r>
            <w:r>
              <w:rPr>
                <w:rFonts w:hint="eastAsia" w:ascii="宋体" w:hAnsi="宋体" w:cs="宋体"/>
                <w:b w:val="0"/>
                <w:bCs w:val="0"/>
                <w:color w:val="auto"/>
                <w:spacing w:val="0"/>
                <w:sz w:val="24"/>
                <w:szCs w:val="24"/>
                <w:highlight w:val="none"/>
                <w:vertAlign w:val="baseline"/>
                <w:lang w:val="en-US" w:eastAsia="zh-CN"/>
              </w:rPr>
              <w:t>磋商保证金</w:t>
            </w:r>
          </w:p>
        </w:tc>
      </w:tr>
      <w:tr w14:paraId="6C6A42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l2br w:val="nil"/>
              <w:tr2bl w:val="nil"/>
            </w:tcBorders>
            <w:vAlign w:val="center"/>
          </w:tcPr>
          <w:p w14:paraId="2ECF3792">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4</w:t>
            </w:r>
          </w:p>
        </w:tc>
        <w:tc>
          <w:tcPr>
            <w:tcW w:w="2658" w:type="dxa"/>
            <w:tcBorders>
              <w:tl2br w:val="nil"/>
              <w:tr2bl w:val="nil"/>
            </w:tcBorders>
            <w:vAlign w:val="center"/>
          </w:tcPr>
          <w:p w14:paraId="519500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磋商响应文件内容及对磋商文件响应程度</w:t>
            </w:r>
          </w:p>
        </w:tc>
        <w:tc>
          <w:tcPr>
            <w:tcW w:w="5155" w:type="dxa"/>
            <w:tcBorders>
              <w:tl2br w:val="nil"/>
              <w:tr2bl w:val="nil"/>
            </w:tcBorders>
            <w:vAlign w:val="center"/>
          </w:tcPr>
          <w:p w14:paraId="741E5E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磋商响应文件内容齐全、无遗漏；要求全面响应，不能有任何采购人不能接受的附加条件</w:t>
            </w:r>
          </w:p>
        </w:tc>
      </w:tr>
      <w:tr w14:paraId="4CFD84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l2br w:val="nil"/>
              <w:tr2bl w:val="nil"/>
            </w:tcBorders>
            <w:vAlign w:val="center"/>
          </w:tcPr>
          <w:p w14:paraId="647DFB9A">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5</w:t>
            </w:r>
          </w:p>
        </w:tc>
        <w:tc>
          <w:tcPr>
            <w:tcW w:w="2658" w:type="dxa"/>
            <w:tcBorders>
              <w:tl2br w:val="nil"/>
              <w:tr2bl w:val="nil"/>
            </w:tcBorders>
            <w:vAlign w:val="center"/>
          </w:tcPr>
          <w:p w14:paraId="7C3964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磋商有效期</w:t>
            </w:r>
          </w:p>
        </w:tc>
        <w:tc>
          <w:tcPr>
            <w:tcW w:w="5155" w:type="dxa"/>
            <w:tcBorders>
              <w:tl2br w:val="nil"/>
              <w:tr2bl w:val="nil"/>
            </w:tcBorders>
            <w:vAlign w:val="center"/>
          </w:tcPr>
          <w:p w14:paraId="0C37FC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应满足磋商文件中的规定</w:t>
            </w:r>
          </w:p>
        </w:tc>
      </w:tr>
      <w:tr w14:paraId="040ED0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l2br w:val="nil"/>
              <w:tr2bl w:val="nil"/>
            </w:tcBorders>
            <w:vAlign w:val="center"/>
          </w:tcPr>
          <w:p w14:paraId="4E9E2EC7">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val="0"/>
                <w:bCs w:val="0"/>
                <w:color w:val="auto"/>
                <w:spacing w:val="0"/>
                <w:sz w:val="24"/>
                <w:szCs w:val="24"/>
                <w:highlight w:val="none"/>
                <w:vertAlign w:val="baseline"/>
                <w:lang w:val="en-US" w:eastAsia="zh-CN"/>
              </w:rPr>
            </w:pPr>
            <w:r>
              <w:rPr>
                <w:rFonts w:hint="eastAsia" w:ascii="宋体" w:hAnsi="宋体" w:eastAsia="宋体" w:cs="宋体"/>
                <w:b w:val="0"/>
                <w:bCs w:val="0"/>
                <w:color w:val="auto"/>
                <w:spacing w:val="0"/>
                <w:sz w:val="24"/>
                <w:szCs w:val="24"/>
                <w:highlight w:val="none"/>
                <w:vertAlign w:val="baseline"/>
                <w:lang w:val="en-US" w:eastAsia="zh-CN"/>
              </w:rPr>
              <w:t>6</w:t>
            </w:r>
          </w:p>
        </w:tc>
        <w:tc>
          <w:tcPr>
            <w:tcW w:w="2658" w:type="dxa"/>
            <w:tcBorders>
              <w:tl2br w:val="nil"/>
              <w:tr2bl w:val="nil"/>
            </w:tcBorders>
            <w:vAlign w:val="center"/>
          </w:tcPr>
          <w:p w14:paraId="1B0F4E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其他</w:t>
            </w:r>
          </w:p>
        </w:tc>
        <w:tc>
          <w:tcPr>
            <w:tcW w:w="5155" w:type="dxa"/>
            <w:tcBorders>
              <w:tl2br w:val="nil"/>
              <w:tr2bl w:val="nil"/>
            </w:tcBorders>
            <w:vAlign w:val="center"/>
          </w:tcPr>
          <w:p w14:paraId="1B330D9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pacing w:val="0"/>
                <w:sz w:val="24"/>
                <w:szCs w:val="24"/>
                <w:highlight w:val="none"/>
                <w:vertAlign w:val="baseline"/>
                <w:lang w:eastAsia="zh-CN"/>
              </w:rPr>
            </w:pPr>
            <w:r>
              <w:rPr>
                <w:rFonts w:hint="eastAsia" w:ascii="宋体" w:hAnsi="宋体" w:eastAsia="宋体" w:cs="宋体"/>
                <w:b w:val="0"/>
                <w:bCs w:val="0"/>
                <w:color w:val="auto"/>
                <w:spacing w:val="0"/>
                <w:sz w:val="24"/>
                <w:szCs w:val="24"/>
                <w:highlight w:val="none"/>
                <w:vertAlign w:val="baseline"/>
                <w:lang w:val="en-US" w:eastAsia="zh-CN"/>
              </w:rPr>
              <w:t>磋商响应文件符合法律法规要求的</w:t>
            </w:r>
          </w:p>
        </w:tc>
      </w:tr>
    </w:tbl>
    <w:p w14:paraId="634191A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cs="宋体"/>
          <w:color w:val="auto"/>
          <w:spacing w:val="0"/>
          <w:kern w:val="0"/>
          <w:sz w:val="24"/>
          <w:szCs w:val="24"/>
          <w:highlight w:val="none"/>
          <w:lang w:val="en-US" w:eastAsia="zh-CN" w:bidi="ar"/>
        </w:rPr>
        <w:t>5</w:t>
      </w:r>
      <w:r>
        <w:rPr>
          <w:rFonts w:hint="eastAsia" w:ascii="宋体" w:hAnsi="宋体" w:eastAsia="宋体" w:cs="宋体"/>
          <w:color w:val="auto"/>
          <w:spacing w:val="0"/>
          <w:kern w:val="0"/>
          <w:sz w:val="24"/>
          <w:szCs w:val="24"/>
          <w:highlight w:val="none"/>
          <w:lang w:val="en-US" w:eastAsia="zh-CN" w:bidi="ar"/>
        </w:rPr>
        <w:t xml:space="preserve">.非实质性偏离是指磋商响应文件在实质上响应磋商文件的要求，但在个别地方存在一些不规则、不一致、不完整的内容，并且澄清、说明或者补正这些内容不会改变磋商响应文件的实质性内容。以下情况属于非实质性偏离： </w:t>
      </w:r>
    </w:p>
    <w:p w14:paraId="22AE2BD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（1）文字表述的内容含义不明确； </w:t>
      </w:r>
    </w:p>
    <w:p w14:paraId="2C24EF2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（2）同类问题表述不一致； </w:t>
      </w:r>
    </w:p>
    <w:p w14:paraId="31BCA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（3）有明显文字和计算错误； </w:t>
      </w:r>
    </w:p>
    <w:p w14:paraId="081A262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（4）提供的技术信息和数据资料不完整； </w:t>
      </w:r>
    </w:p>
    <w:p w14:paraId="2A4EB64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（5）磋商响应文件未按磋商文件要求进行装订或未编制目录、页码； </w:t>
      </w:r>
    </w:p>
    <w:p w14:paraId="4933F3C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（6）磋商小组认定的其他非实质性偏离。</w:t>
      </w:r>
    </w:p>
    <w:p w14:paraId="3ECCCD5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磋商响应文件有上述（1）至（</w:t>
      </w:r>
      <w:r>
        <w:rPr>
          <w:rFonts w:hint="eastAsia" w:ascii="宋体" w:hAnsi="宋体" w:cs="宋体"/>
          <w:color w:val="auto"/>
          <w:spacing w:val="0"/>
          <w:kern w:val="0"/>
          <w:sz w:val="24"/>
          <w:szCs w:val="24"/>
          <w:highlight w:val="none"/>
          <w:lang w:val="en-US" w:eastAsia="zh-CN" w:bidi="ar"/>
        </w:rPr>
        <w:t>6</w:t>
      </w:r>
      <w:r>
        <w:rPr>
          <w:rFonts w:hint="eastAsia" w:ascii="宋体" w:hAnsi="宋体" w:eastAsia="宋体" w:cs="宋体"/>
          <w:color w:val="auto"/>
          <w:spacing w:val="0"/>
          <w:kern w:val="0"/>
          <w:sz w:val="24"/>
          <w:szCs w:val="24"/>
          <w:highlight w:val="none"/>
          <w:lang w:val="en-US" w:eastAsia="zh-CN" w:bidi="ar"/>
        </w:rPr>
        <w:t xml:space="preserve">）情形之一的，磋商小组应当书面要求供应商在规定的时间内予以澄清、说明或补正。供应商拒不或在规定的时间内没有进行澄清、说明或补正或澄清、说明、补正的内容也不能说明问题的，视为磋商响应文件制作不规范，按每一项非实质性偏离进行扣分处理，直至该项分值扣完为止。磋商小组不接受供应商主动提出的澄清、说明或补正。 </w:t>
      </w:r>
    </w:p>
    <w:p w14:paraId="7ADFC99A">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color w:val="auto"/>
          <w:highlight w:val="none"/>
        </w:rPr>
      </w:pPr>
      <w:r>
        <w:rPr>
          <w:rFonts w:hint="eastAsia" w:ascii="宋体" w:hAnsi="宋体" w:cs="宋体"/>
          <w:color w:val="auto"/>
          <w:spacing w:val="0"/>
          <w:kern w:val="0"/>
          <w:sz w:val="24"/>
          <w:szCs w:val="24"/>
          <w:highlight w:val="none"/>
          <w:lang w:val="en-US" w:eastAsia="zh-CN" w:bidi="ar"/>
        </w:rPr>
        <w:t>6.</w:t>
      </w:r>
      <w:r>
        <w:rPr>
          <w:rFonts w:hint="eastAsia" w:ascii="宋体" w:hAnsi="宋体" w:eastAsia="宋体" w:cs="宋体"/>
          <w:color w:val="auto"/>
          <w:spacing w:val="0"/>
          <w:kern w:val="0"/>
          <w:sz w:val="24"/>
          <w:szCs w:val="24"/>
          <w:highlight w:val="none"/>
          <w:lang w:val="en-US" w:eastAsia="zh-CN" w:bidi="ar"/>
        </w:rPr>
        <w:t>在磋商响应文件初审过程中，如果出现磋商小组成员意见不一致的情况，按照少数服从多数的原则确定。</w:t>
      </w:r>
    </w:p>
    <w:p w14:paraId="074438D8">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pacing w:val="0"/>
          <w:kern w:val="0"/>
          <w:sz w:val="24"/>
          <w:szCs w:val="24"/>
          <w:highlight w:val="none"/>
          <w:lang w:val="en-US" w:eastAsia="zh-CN" w:bidi="ar"/>
        </w:rPr>
      </w:pPr>
      <w:r>
        <w:rPr>
          <w:rFonts w:hint="eastAsia" w:ascii="宋体" w:hAnsi="宋体" w:cs="宋体"/>
          <w:b/>
          <w:bCs/>
          <w:color w:val="auto"/>
          <w:spacing w:val="0"/>
          <w:kern w:val="0"/>
          <w:sz w:val="24"/>
          <w:szCs w:val="24"/>
          <w:highlight w:val="none"/>
          <w:lang w:val="en-US" w:eastAsia="zh-CN" w:bidi="ar"/>
        </w:rPr>
        <w:t>7</w:t>
      </w:r>
      <w:r>
        <w:rPr>
          <w:rFonts w:hint="eastAsia" w:ascii="宋体" w:hAnsi="宋体" w:eastAsia="宋体" w:cs="宋体"/>
          <w:b/>
          <w:bCs/>
          <w:color w:val="auto"/>
          <w:spacing w:val="0"/>
          <w:kern w:val="0"/>
          <w:sz w:val="24"/>
          <w:szCs w:val="24"/>
          <w:highlight w:val="none"/>
          <w:lang w:val="en-US" w:eastAsia="zh-CN" w:bidi="ar"/>
        </w:rPr>
        <w:t>. 综合评分明细表（满分 100 分）</w:t>
      </w:r>
    </w:p>
    <w:tbl>
      <w:tblPr>
        <w:tblStyle w:val="16"/>
        <w:tblW w:w="9297" w:type="dxa"/>
        <w:tblInd w:w="0" w:type="dxa"/>
        <w:tblLayout w:type="fixed"/>
        <w:tblCellMar>
          <w:top w:w="0" w:type="dxa"/>
          <w:left w:w="108" w:type="dxa"/>
          <w:bottom w:w="0" w:type="dxa"/>
          <w:right w:w="108" w:type="dxa"/>
        </w:tblCellMar>
      </w:tblPr>
      <w:tblGrid>
        <w:gridCol w:w="1180"/>
        <w:gridCol w:w="1634"/>
        <w:gridCol w:w="6483"/>
      </w:tblGrid>
      <w:tr w14:paraId="1C514E1D">
        <w:tblPrEx>
          <w:tblCellMar>
            <w:top w:w="0" w:type="dxa"/>
            <w:left w:w="108" w:type="dxa"/>
            <w:bottom w:w="0" w:type="dxa"/>
            <w:right w:w="108" w:type="dxa"/>
          </w:tblCellMar>
        </w:tblPrEx>
        <w:trPr>
          <w:trHeight w:val="624"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14:paraId="1AA56735">
            <w:pPr>
              <w:pageBreakBefore w:val="0"/>
              <w:shd w:val="clear"/>
              <w:kinsoku/>
              <w:overflowPunct/>
              <w:topLinePunct w:val="0"/>
              <w:autoSpaceDE/>
              <w:autoSpaceDN/>
              <w:bidi w:val="0"/>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类别</w:t>
            </w:r>
          </w:p>
        </w:tc>
        <w:tc>
          <w:tcPr>
            <w:tcW w:w="1634" w:type="dxa"/>
            <w:tcBorders>
              <w:top w:val="single" w:color="auto" w:sz="4" w:space="0"/>
              <w:left w:val="single" w:color="auto" w:sz="4" w:space="0"/>
              <w:bottom w:val="single" w:color="auto" w:sz="4" w:space="0"/>
              <w:right w:val="single" w:color="auto" w:sz="4" w:space="0"/>
            </w:tcBorders>
            <w:noWrap w:val="0"/>
            <w:vAlign w:val="center"/>
          </w:tcPr>
          <w:p w14:paraId="478AC02E">
            <w:pPr>
              <w:pageBreakBefore w:val="0"/>
              <w:shd w:val="clear"/>
              <w:kinsoku/>
              <w:overflowPunct/>
              <w:topLinePunct w:val="0"/>
              <w:autoSpaceDE/>
              <w:autoSpaceDN/>
              <w:bidi w:val="0"/>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评分因素</w:t>
            </w:r>
            <w:r>
              <w:rPr>
                <w:rFonts w:hint="eastAsia" w:ascii="宋体" w:hAnsi="宋体" w:eastAsia="宋体" w:cs="宋体"/>
                <w:b/>
                <w:bCs/>
                <w:color w:val="auto"/>
                <w:sz w:val="24"/>
                <w:szCs w:val="24"/>
                <w:highlight w:val="none"/>
                <w:lang w:eastAsia="zh-CN"/>
              </w:rPr>
              <w:t>及分值</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0E7684C7">
            <w:pPr>
              <w:pageBreakBefore w:val="0"/>
              <w:shd w:val="clear"/>
              <w:kinsoku/>
              <w:overflowPunct/>
              <w:topLinePunct w:val="0"/>
              <w:autoSpaceDE/>
              <w:autoSpaceDN/>
              <w:bidi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r>
      <w:tr w14:paraId="2C70BCC0">
        <w:tblPrEx>
          <w:tblCellMar>
            <w:top w:w="0" w:type="dxa"/>
            <w:left w:w="108" w:type="dxa"/>
            <w:bottom w:w="0" w:type="dxa"/>
            <w:right w:w="108" w:type="dxa"/>
          </w:tblCellMar>
        </w:tblPrEx>
        <w:trPr>
          <w:trHeight w:val="90"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14:paraId="1D1FB080">
            <w:pPr>
              <w:spacing w:line="360" w:lineRule="auto"/>
              <w:jc w:val="center"/>
              <w:rPr>
                <w:rFonts w:hint="eastAsia"/>
                <w:lang w:val="en-US" w:eastAsia="zh-CN"/>
              </w:rPr>
            </w:pPr>
            <w:r>
              <w:rPr>
                <w:rFonts w:hint="eastAsia"/>
                <w:lang w:val="en-US" w:eastAsia="zh-CN"/>
              </w:rPr>
              <w:t>商务部分（20分）</w:t>
            </w:r>
          </w:p>
        </w:tc>
        <w:tc>
          <w:tcPr>
            <w:tcW w:w="1634" w:type="dxa"/>
            <w:tcBorders>
              <w:top w:val="single" w:color="auto" w:sz="4" w:space="0"/>
              <w:left w:val="single" w:color="auto" w:sz="4" w:space="0"/>
              <w:bottom w:val="single" w:color="auto" w:sz="4" w:space="0"/>
              <w:right w:val="single" w:color="auto" w:sz="4" w:space="0"/>
            </w:tcBorders>
            <w:noWrap w:val="0"/>
            <w:vAlign w:val="center"/>
          </w:tcPr>
          <w:p w14:paraId="21435874">
            <w:pPr>
              <w:spacing w:line="360" w:lineRule="auto"/>
              <w:jc w:val="center"/>
              <w:rPr>
                <w:rFonts w:hint="eastAsia"/>
                <w:lang w:val="en-US" w:eastAsia="zh-CN"/>
              </w:rPr>
            </w:pPr>
            <w:r>
              <w:rPr>
                <w:rFonts w:hint="eastAsia"/>
                <w:lang w:val="en-US" w:eastAsia="zh-CN"/>
              </w:rPr>
              <w:t>磋商报价</w:t>
            </w:r>
          </w:p>
          <w:p w14:paraId="366C3CFE">
            <w:pPr>
              <w:spacing w:line="360" w:lineRule="auto"/>
              <w:jc w:val="center"/>
              <w:rPr>
                <w:rFonts w:hint="eastAsia"/>
                <w:lang w:val="en-US" w:eastAsia="zh-CN"/>
              </w:rPr>
            </w:pPr>
            <w:r>
              <w:rPr>
                <w:rFonts w:hint="eastAsia"/>
                <w:lang w:val="en-US" w:eastAsia="zh-CN"/>
              </w:rPr>
              <w:t>（20分）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5AE8CE6B">
            <w:pPr>
              <w:spacing w:line="360" w:lineRule="auto"/>
              <w:jc w:val="left"/>
              <w:rPr>
                <w:rFonts w:hint="eastAsia"/>
                <w:lang w:val="en-US" w:eastAsia="zh-CN"/>
              </w:rPr>
            </w:pPr>
            <w:r>
              <w:rPr>
                <w:rFonts w:hint="eastAsia"/>
                <w:lang w:val="en-US" w:eastAsia="zh-CN"/>
              </w:rPr>
              <w:t>满足磋商文件要求且最终磋商报价最低的供应商报价为评标基准价。其中，小微企业（提供《中小企业声明函》）、监狱企业（提供监狱企业证明）、残疾人福利性单位（提供残疾人福利单位声明函）视同小微企业，按其最终报价扣除10%后的价格参与价格分计算；其他供应商按最终报价参与计算。</w:t>
            </w:r>
          </w:p>
          <w:p w14:paraId="65DB4F93">
            <w:pPr>
              <w:spacing w:line="360" w:lineRule="auto"/>
              <w:jc w:val="left"/>
              <w:rPr>
                <w:rFonts w:hint="eastAsia"/>
                <w:lang w:val="en-US" w:eastAsia="zh-CN"/>
              </w:rPr>
            </w:pPr>
            <w:r>
              <w:rPr>
                <w:rFonts w:hint="eastAsia"/>
                <w:lang w:val="en-US" w:eastAsia="zh-CN"/>
              </w:rPr>
              <w:t>磋商报价得分＝（评标基准价/该供应商参与评审的磋商报价）×20</w:t>
            </w:r>
          </w:p>
        </w:tc>
      </w:tr>
      <w:tr w14:paraId="1307949C">
        <w:tblPrEx>
          <w:tblCellMar>
            <w:top w:w="0" w:type="dxa"/>
            <w:left w:w="108" w:type="dxa"/>
            <w:bottom w:w="0" w:type="dxa"/>
            <w:right w:w="108" w:type="dxa"/>
          </w:tblCellMar>
        </w:tblPrEx>
        <w:trPr>
          <w:trHeight w:val="90" w:hRule="atLeast"/>
        </w:trPr>
        <w:tc>
          <w:tcPr>
            <w:tcW w:w="1180" w:type="dxa"/>
            <w:vMerge w:val="restart"/>
            <w:tcBorders>
              <w:top w:val="single" w:color="auto" w:sz="4" w:space="0"/>
              <w:left w:val="single" w:color="auto" w:sz="4" w:space="0"/>
              <w:right w:val="single" w:color="auto" w:sz="4" w:space="0"/>
            </w:tcBorders>
            <w:noWrap w:val="0"/>
            <w:vAlign w:val="center"/>
          </w:tcPr>
          <w:p w14:paraId="6C4438D7">
            <w:pPr>
              <w:spacing w:line="360" w:lineRule="auto"/>
              <w:jc w:val="center"/>
              <w:rPr>
                <w:rFonts w:hint="eastAsia"/>
                <w:lang w:val="en-US" w:eastAsia="zh-CN"/>
              </w:rPr>
            </w:pPr>
            <w:r>
              <w:rPr>
                <w:rFonts w:hint="eastAsia"/>
                <w:lang w:val="en-US" w:eastAsia="zh-CN"/>
              </w:rPr>
              <w:t>技术部分</w:t>
            </w:r>
          </w:p>
          <w:p w14:paraId="3534040C">
            <w:pPr>
              <w:spacing w:line="360" w:lineRule="auto"/>
              <w:jc w:val="center"/>
              <w:rPr>
                <w:rFonts w:hint="eastAsia"/>
                <w:lang w:val="en-US" w:eastAsia="zh-CN"/>
              </w:rPr>
            </w:pPr>
            <w:r>
              <w:rPr>
                <w:rFonts w:hint="eastAsia"/>
                <w:lang w:val="en-US" w:eastAsia="zh-CN"/>
              </w:rPr>
              <w:t>（80</w:t>
            </w:r>
            <w:bookmarkStart w:id="52" w:name="_GoBack"/>
            <w:bookmarkEnd w:id="52"/>
            <w:r>
              <w:rPr>
                <w:rFonts w:hint="eastAsia"/>
                <w:lang w:val="en-US" w:eastAsia="zh-CN"/>
              </w:rPr>
              <w:t>分）</w:t>
            </w:r>
          </w:p>
        </w:tc>
        <w:tc>
          <w:tcPr>
            <w:tcW w:w="1634" w:type="dxa"/>
            <w:tcBorders>
              <w:top w:val="single" w:color="auto" w:sz="4" w:space="0"/>
              <w:left w:val="single" w:color="auto" w:sz="4" w:space="0"/>
              <w:bottom w:val="single" w:color="auto" w:sz="4" w:space="0"/>
              <w:right w:val="single" w:color="auto" w:sz="4" w:space="0"/>
            </w:tcBorders>
            <w:noWrap w:val="0"/>
            <w:vAlign w:val="center"/>
          </w:tcPr>
          <w:p w14:paraId="683886B9">
            <w:pPr>
              <w:spacing w:line="360" w:lineRule="auto"/>
              <w:jc w:val="center"/>
              <w:rPr>
                <w:rFonts w:hint="eastAsia"/>
                <w:lang w:val="en-US" w:eastAsia="zh-CN"/>
              </w:rPr>
            </w:pPr>
            <w:r>
              <w:rPr>
                <w:rFonts w:hint="eastAsia"/>
                <w:lang w:val="en-US" w:eastAsia="zh-CN"/>
              </w:rPr>
              <w:t>技术服务方案（12分）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3C33AF60">
            <w:pPr>
              <w:spacing w:line="360" w:lineRule="auto"/>
              <w:rPr>
                <w:rFonts w:hint="eastAsia" w:ascii="宋体" w:hAnsi="宋体"/>
                <w:sz w:val="21"/>
              </w:rPr>
            </w:pPr>
            <w:r>
              <w:rPr>
                <w:rFonts w:hint="eastAsia" w:ascii="宋体" w:hAnsi="宋体"/>
                <w:sz w:val="21"/>
              </w:rPr>
              <w:t>评审内容：</w:t>
            </w:r>
          </w:p>
          <w:p w14:paraId="63F9505C">
            <w:pPr>
              <w:spacing w:line="360" w:lineRule="auto"/>
              <w:rPr>
                <w:rFonts w:hint="eastAsia" w:ascii="宋体" w:hAnsi="宋体"/>
                <w:sz w:val="21"/>
              </w:rPr>
            </w:pPr>
            <w:r>
              <w:rPr>
                <w:rFonts w:hint="eastAsia" w:ascii="宋体" w:hAnsi="宋体"/>
                <w:sz w:val="21"/>
              </w:rPr>
              <w:t>①项目需求理解（0-</w:t>
            </w:r>
            <w:r>
              <w:rPr>
                <w:rFonts w:hint="eastAsia" w:ascii="宋体" w:hAnsi="宋体"/>
                <w:sz w:val="21"/>
                <w:lang w:val="en-US" w:eastAsia="zh-CN"/>
              </w:rPr>
              <w:t>4</w:t>
            </w:r>
            <w:r>
              <w:rPr>
                <w:rFonts w:hint="eastAsia" w:ascii="宋体" w:hAnsi="宋体"/>
                <w:sz w:val="21"/>
              </w:rPr>
              <w:t>分）</w:t>
            </w:r>
          </w:p>
          <w:p w14:paraId="249C283C">
            <w:pPr>
              <w:spacing w:line="360" w:lineRule="auto"/>
              <w:rPr>
                <w:rFonts w:hint="eastAsia" w:ascii="宋体" w:hAnsi="宋体"/>
                <w:sz w:val="21"/>
              </w:rPr>
            </w:pPr>
            <w:r>
              <w:rPr>
                <w:rFonts w:hint="eastAsia" w:ascii="宋体" w:hAnsi="宋体"/>
                <w:sz w:val="21"/>
              </w:rPr>
              <w:t>②数据库设计方案（0-4分）</w:t>
            </w:r>
          </w:p>
          <w:p w14:paraId="38BA8115">
            <w:pPr>
              <w:spacing w:line="360" w:lineRule="auto"/>
              <w:rPr>
                <w:rFonts w:hint="eastAsia" w:ascii="宋体" w:hAnsi="宋体"/>
                <w:sz w:val="21"/>
              </w:rPr>
            </w:pPr>
            <w:r>
              <w:rPr>
                <w:rFonts w:hint="eastAsia" w:ascii="宋体" w:hAnsi="宋体"/>
                <w:sz w:val="21"/>
              </w:rPr>
              <w:t>③报告编制方案（0-4分）</w:t>
            </w:r>
          </w:p>
          <w:p w14:paraId="36FEA1FC">
            <w:pPr>
              <w:spacing w:line="360" w:lineRule="auto"/>
              <w:rPr>
                <w:rFonts w:hint="eastAsia" w:ascii="宋体" w:hAnsi="宋体"/>
                <w:sz w:val="21"/>
              </w:rPr>
            </w:pPr>
            <w:r>
              <w:rPr>
                <w:rFonts w:hint="eastAsia" w:ascii="宋体" w:hAnsi="宋体"/>
                <w:sz w:val="21"/>
              </w:rPr>
              <w:t>评审标准：</w:t>
            </w:r>
          </w:p>
          <w:p w14:paraId="141E7EFD">
            <w:pPr>
              <w:spacing w:line="360" w:lineRule="auto"/>
              <w:rPr>
                <w:rFonts w:hint="eastAsia" w:ascii="宋体" w:hAnsi="宋体"/>
                <w:sz w:val="21"/>
              </w:rPr>
            </w:pPr>
            <w:r>
              <w:rPr>
                <w:rFonts w:hint="eastAsia" w:ascii="宋体" w:hAnsi="宋体"/>
                <w:sz w:val="21"/>
              </w:rPr>
              <w:t>完整性：内容详细完整，层次清晰，包含关键步骤的思路与实施要点；</w:t>
            </w:r>
          </w:p>
          <w:p w14:paraId="1441B40D">
            <w:pPr>
              <w:spacing w:line="360" w:lineRule="auto"/>
              <w:rPr>
                <w:rFonts w:hint="eastAsia" w:ascii="宋体" w:hAnsi="宋体"/>
                <w:sz w:val="21"/>
              </w:rPr>
            </w:pPr>
            <w:r>
              <w:rPr>
                <w:rFonts w:hint="eastAsia" w:ascii="宋体" w:hAnsi="宋体"/>
                <w:sz w:val="21"/>
              </w:rPr>
              <w:t>可行性：方案内容贴合项目实际，具备良好的可操作性。</w:t>
            </w:r>
          </w:p>
          <w:p w14:paraId="2281FA94">
            <w:pPr>
              <w:spacing w:line="360" w:lineRule="auto"/>
              <w:rPr>
                <w:rFonts w:hint="eastAsia" w:ascii="宋体" w:hAnsi="宋体"/>
                <w:sz w:val="21"/>
              </w:rPr>
            </w:pPr>
            <w:r>
              <w:rPr>
                <w:rFonts w:hint="eastAsia" w:ascii="宋体" w:hAnsi="宋体"/>
                <w:sz w:val="21"/>
              </w:rPr>
              <w:t>评分规则：无对应内容不得分；内容不完善酌情扣分；内容详实完整方可获得对应档位高分。</w:t>
            </w:r>
          </w:p>
          <w:p w14:paraId="0EB3479E">
            <w:pPr>
              <w:spacing w:line="360" w:lineRule="auto"/>
              <w:jc w:val="left"/>
            </w:pPr>
            <w:r>
              <w:rPr>
                <w:rFonts w:hint="eastAsia" w:ascii="宋体" w:hAnsi="宋体"/>
                <w:sz w:val="21"/>
              </w:rPr>
              <w:t>评审原则：严格按照投标文件载明的书面内容评审，不得依靠主观印象、额外问询投标人打分。</w:t>
            </w:r>
          </w:p>
        </w:tc>
      </w:tr>
      <w:tr w14:paraId="5AA53E73">
        <w:tblPrEx>
          <w:tblCellMar>
            <w:top w:w="0" w:type="dxa"/>
            <w:left w:w="108" w:type="dxa"/>
            <w:bottom w:w="0" w:type="dxa"/>
            <w:right w:w="108" w:type="dxa"/>
          </w:tblCellMar>
        </w:tblPrEx>
        <w:trPr>
          <w:trHeight w:val="567" w:hRule="atLeast"/>
        </w:trPr>
        <w:tc>
          <w:tcPr>
            <w:tcW w:w="1180" w:type="dxa"/>
            <w:vMerge w:val="continue"/>
            <w:tcBorders>
              <w:left w:val="single" w:color="auto" w:sz="4" w:space="0"/>
              <w:right w:val="single" w:color="auto" w:sz="4" w:space="0"/>
            </w:tcBorders>
            <w:noWrap w:val="0"/>
            <w:vAlign w:val="center"/>
          </w:tcPr>
          <w:p w14:paraId="3C2B874B">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524E2F33">
            <w:pPr>
              <w:spacing w:line="360" w:lineRule="auto"/>
              <w:jc w:val="center"/>
              <w:rPr>
                <w:rFonts w:hint="eastAsia"/>
                <w:lang w:val="en-US" w:eastAsia="zh-CN"/>
              </w:rPr>
            </w:pPr>
            <w:r>
              <w:rPr>
                <w:rFonts w:hint="eastAsia"/>
                <w:lang w:val="en-US" w:eastAsia="zh-CN"/>
              </w:rPr>
              <w:t>项目实施与进度保障方案</w:t>
            </w:r>
          </w:p>
          <w:p w14:paraId="3BC778CE">
            <w:pPr>
              <w:spacing w:line="360" w:lineRule="auto"/>
              <w:jc w:val="center"/>
              <w:rPr>
                <w:rFonts w:hint="eastAsia"/>
                <w:lang w:val="en-US" w:eastAsia="zh-CN"/>
              </w:rPr>
            </w:pPr>
            <w:r>
              <w:rPr>
                <w:rFonts w:hint="eastAsia"/>
                <w:lang w:val="en-US" w:eastAsia="zh-CN"/>
              </w:rPr>
              <w:t>（12分）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599C5789">
            <w:pPr>
              <w:spacing w:line="360" w:lineRule="auto"/>
              <w:rPr>
                <w:rFonts w:hint="eastAsia" w:ascii="宋体" w:hAnsi="宋体"/>
                <w:sz w:val="21"/>
              </w:rPr>
            </w:pPr>
            <w:r>
              <w:rPr>
                <w:rFonts w:ascii="宋体" w:hAnsi="宋体"/>
                <w:sz w:val="21"/>
              </w:rPr>
              <w:t>评</w:t>
            </w:r>
            <w:r>
              <w:rPr>
                <w:rFonts w:hint="eastAsia" w:ascii="宋体" w:hAnsi="宋体"/>
                <w:sz w:val="21"/>
              </w:rPr>
              <w:t>审内容：</w:t>
            </w:r>
          </w:p>
          <w:p w14:paraId="02FECC3F">
            <w:pPr>
              <w:spacing w:line="360" w:lineRule="auto"/>
              <w:rPr>
                <w:rFonts w:ascii="宋体" w:hAnsi="宋体"/>
                <w:sz w:val="21"/>
              </w:rPr>
            </w:pPr>
            <w:r>
              <w:rPr>
                <w:rFonts w:hint="default" w:ascii="宋体" w:hAnsi="宋体"/>
                <w:sz w:val="21"/>
              </w:rPr>
              <w:t>①</w:t>
            </w:r>
            <w:r>
              <w:rPr>
                <w:rFonts w:hint="eastAsia" w:ascii="宋体" w:hAnsi="宋体"/>
                <w:sz w:val="21"/>
              </w:rPr>
              <w:t>实</w:t>
            </w:r>
            <w:r>
              <w:rPr>
                <w:rFonts w:ascii="宋体" w:hAnsi="宋体"/>
                <w:sz w:val="21"/>
              </w:rPr>
              <w:t>施进度</w:t>
            </w:r>
            <w:r>
              <w:rPr>
                <w:rFonts w:hint="eastAsia" w:ascii="宋体" w:hAnsi="宋体"/>
                <w:sz w:val="21"/>
                <w:lang w:val="en-US" w:eastAsia="zh-CN"/>
              </w:rPr>
              <w:t>管控</w:t>
            </w:r>
            <w:r>
              <w:rPr>
                <w:rFonts w:ascii="宋体" w:hAnsi="宋体"/>
                <w:sz w:val="21"/>
              </w:rPr>
              <w:t>计划表</w:t>
            </w:r>
            <w:r>
              <w:rPr>
                <w:rFonts w:hint="eastAsia" w:ascii="宋体" w:hAnsi="宋体"/>
                <w:sz w:val="21"/>
                <w:lang w:eastAsia="zh-CN"/>
              </w:rPr>
              <w:t>（</w:t>
            </w:r>
            <w:r>
              <w:rPr>
                <w:rFonts w:hint="eastAsia" w:ascii="宋体" w:hAnsi="宋体"/>
                <w:sz w:val="21"/>
                <w:lang w:val="en-US" w:eastAsia="zh-CN"/>
              </w:rPr>
              <w:t>0-4分</w:t>
            </w:r>
            <w:r>
              <w:rPr>
                <w:rFonts w:hint="eastAsia" w:ascii="宋体" w:hAnsi="宋体"/>
                <w:sz w:val="21"/>
                <w:lang w:eastAsia="zh-CN"/>
              </w:rPr>
              <w:t>）</w:t>
            </w:r>
          </w:p>
          <w:p w14:paraId="4B7B97E4">
            <w:pPr>
              <w:spacing w:line="360" w:lineRule="auto"/>
              <w:rPr>
                <w:rFonts w:ascii="宋体" w:hAnsi="宋体"/>
                <w:sz w:val="21"/>
              </w:rPr>
            </w:pPr>
            <w:r>
              <w:rPr>
                <w:rFonts w:hint="eastAsia" w:ascii="宋体" w:hAnsi="宋体"/>
                <w:sz w:val="21"/>
              </w:rPr>
              <w:t>②</w:t>
            </w:r>
            <w:r>
              <w:rPr>
                <w:rFonts w:ascii="宋体" w:hAnsi="宋体"/>
                <w:sz w:val="21"/>
              </w:rPr>
              <w:t>省市县三级对接机制</w:t>
            </w:r>
            <w:r>
              <w:rPr>
                <w:rFonts w:hint="eastAsia" w:ascii="宋体" w:hAnsi="宋体"/>
                <w:sz w:val="21"/>
                <w:lang w:eastAsia="zh-CN"/>
              </w:rPr>
              <w:t>（</w:t>
            </w:r>
            <w:r>
              <w:rPr>
                <w:rFonts w:hint="eastAsia" w:ascii="宋体" w:hAnsi="宋体"/>
                <w:sz w:val="21"/>
                <w:lang w:val="en-US" w:eastAsia="zh-CN"/>
              </w:rPr>
              <w:t>0-4分</w:t>
            </w:r>
            <w:r>
              <w:rPr>
                <w:rFonts w:hint="eastAsia" w:ascii="宋体" w:hAnsi="宋体"/>
                <w:sz w:val="21"/>
                <w:lang w:eastAsia="zh-CN"/>
              </w:rPr>
              <w:t>）</w:t>
            </w:r>
          </w:p>
          <w:p w14:paraId="2F1893C6">
            <w:pPr>
              <w:spacing w:line="360" w:lineRule="auto"/>
              <w:rPr>
                <w:rFonts w:hint="eastAsia" w:ascii="宋体" w:hAnsi="宋体"/>
                <w:sz w:val="21"/>
                <w:lang w:eastAsia="zh-CN"/>
              </w:rPr>
            </w:pPr>
            <w:r>
              <w:rPr>
                <w:rFonts w:hint="eastAsia" w:ascii="宋体" w:hAnsi="宋体"/>
                <w:sz w:val="21"/>
              </w:rPr>
              <w:t>③</w:t>
            </w:r>
            <w:r>
              <w:rPr>
                <w:rFonts w:ascii="宋体" w:hAnsi="宋体"/>
                <w:sz w:val="21"/>
              </w:rPr>
              <w:t>内部质量审核机制</w:t>
            </w:r>
            <w:r>
              <w:rPr>
                <w:rFonts w:hint="eastAsia" w:ascii="宋体" w:hAnsi="宋体"/>
                <w:sz w:val="21"/>
                <w:lang w:eastAsia="zh-CN"/>
              </w:rPr>
              <w:t>（</w:t>
            </w:r>
            <w:r>
              <w:rPr>
                <w:rFonts w:hint="eastAsia" w:ascii="宋体" w:hAnsi="宋体"/>
                <w:sz w:val="21"/>
                <w:lang w:val="en-US" w:eastAsia="zh-CN"/>
              </w:rPr>
              <w:t>0-4分</w:t>
            </w:r>
            <w:r>
              <w:rPr>
                <w:rFonts w:hint="eastAsia" w:ascii="宋体" w:hAnsi="宋体"/>
                <w:sz w:val="21"/>
                <w:lang w:eastAsia="zh-CN"/>
              </w:rPr>
              <w:t>）</w:t>
            </w:r>
          </w:p>
          <w:p w14:paraId="65A828FF">
            <w:pPr>
              <w:spacing w:line="360" w:lineRule="auto"/>
              <w:rPr>
                <w:rFonts w:hint="eastAsia" w:ascii="宋体" w:hAnsi="宋体"/>
                <w:sz w:val="21"/>
              </w:rPr>
            </w:pPr>
            <w:r>
              <w:rPr>
                <w:rFonts w:hint="eastAsia" w:ascii="宋体" w:hAnsi="宋体"/>
                <w:sz w:val="21"/>
              </w:rPr>
              <w:t>评审标准：</w:t>
            </w:r>
          </w:p>
          <w:p w14:paraId="7AC37DA5">
            <w:pPr>
              <w:spacing w:line="360" w:lineRule="auto"/>
              <w:rPr>
                <w:rFonts w:hint="eastAsia" w:ascii="宋体" w:hAnsi="宋体"/>
                <w:sz w:val="21"/>
              </w:rPr>
            </w:pPr>
            <w:r>
              <w:rPr>
                <w:rFonts w:hint="eastAsia" w:ascii="宋体" w:hAnsi="宋体"/>
                <w:sz w:val="21"/>
              </w:rPr>
              <w:t>完整性：内容详细完整，层次清晰，包含关键步骤的思路与实施要点；</w:t>
            </w:r>
          </w:p>
          <w:p w14:paraId="7A374376">
            <w:pPr>
              <w:spacing w:line="360" w:lineRule="auto"/>
              <w:rPr>
                <w:rFonts w:hint="eastAsia" w:ascii="宋体" w:hAnsi="宋体"/>
                <w:sz w:val="21"/>
              </w:rPr>
            </w:pPr>
            <w:r>
              <w:rPr>
                <w:rFonts w:hint="eastAsia" w:ascii="宋体" w:hAnsi="宋体"/>
                <w:sz w:val="21"/>
              </w:rPr>
              <w:t>可行性：方案内容贴合项目实际，具备良好的可操作性。</w:t>
            </w:r>
          </w:p>
          <w:p w14:paraId="31B6B3BD">
            <w:pPr>
              <w:spacing w:line="360" w:lineRule="auto"/>
              <w:rPr>
                <w:rFonts w:hint="eastAsia" w:ascii="宋体" w:hAnsi="宋体"/>
                <w:sz w:val="21"/>
              </w:rPr>
            </w:pPr>
            <w:r>
              <w:rPr>
                <w:rFonts w:hint="eastAsia" w:ascii="宋体" w:hAnsi="宋体"/>
                <w:sz w:val="21"/>
              </w:rPr>
              <w:t>评分规则：无对应内容不得分；内容不完善酌情扣分；内容详实完整方可获得对应档位高分。</w:t>
            </w:r>
          </w:p>
          <w:p w14:paraId="6F43BA61">
            <w:pPr>
              <w:pStyle w:val="2"/>
              <w:spacing w:line="360" w:lineRule="auto"/>
              <w:ind w:left="0" w:leftChars="0" w:firstLine="0" w:firstLineChars="0"/>
            </w:pPr>
            <w:r>
              <w:rPr>
                <w:rFonts w:hint="eastAsia" w:ascii="宋体" w:hAnsi="宋体"/>
                <w:sz w:val="21"/>
              </w:rPr>
              <w:t>评审原则：严格按照投标文件载明的书面内容评审，不得依靠主观印象、额外问询投标人打分。</w:t>
            </w:r>
          </w:p>
        </w:tc>
      </w:tr>
      <w:tr w14:paraId="64D1CD8C">
        <w:tblPrEx>
          <w:tblCellMar>
            <w:top w:w="0" w:type="dxa"/>
            <w:left w:w="108" w:type="dxa"/>
            <w:bottom w:w="0" w:type="dxa"/>
            <w:right w:w="108" w:type="dxa"/>
          </w:tblCellMar>
        </w:tblPrEx>
        <w:trPr>
          <w:trHeight w:val="427" w:hRule="atLeast"/>
        </w:trPr>
        <w:tc>
          <w:tcPr>
            <w:tcW w:w="1180" w:type="dxa"/>
            <w:vMerge w:val="continue"/>
            <w:tcBorders>
              <w:left w:val="single" w:color="auto" w:sz="4" w:space="0"/>
              <w:right w:val="single" w:color="auto" w:sz="4" w:space="0"/>
            </w:tcBorders>
            <w:noWrap w:val="0"/>
            <w:vAlign w:val="center"/>
          </w:tcPr>
          <w:p w14:paraId="4B25FCE8">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7F643C41">
            <w:pPr>
              <w:spacing w:line="360" w:lineRule="auto"/>
              <w:jc w:val="center"/>
              <w:rPr>
                <w:rFonts w:hint="eastAsia"/>
                <w:lang w:val="en-US" w:eastAsia="zh-CN"/>
              </w:rPr>
            </w:pPr>
            <w:r>
              <w:rPr>
                <w:rFonts w:hint="eastAsia"/>
                <w:lang w:val="en-US" w:eastAsia="zh-CN"/>
              </w:rPr>
              <w:t>售后服务与成果保障方案</w:t>
            </w:r>
          </w:p>
          <w:p w14:paraId="0A165F14">
            <w:pPr>
              <w:spacing w:line="360" w:lineRule="auto"/>
              <w:jc w:val="center"/>
              <w:rPr>
                <w:rFonts w:hint="eastAsia"/>
                <w:lang w:val="en-US" w:eastAsia="zh-CN"/>
              </w:rPr>
            </w:pPr>
            <w:r>
              <w:rPr>
                <w:rFonts w:hint="eastAsia"/>
                <w:lang w:val="en-US" w:eastAsia="zh-CN"/>
              </w:rPr>
              <w:t>（8分）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3C9C11AC">
            <w:pPr>
              <w:spacing w:line="360" w:lineRule="auto"/>
              <w:rPr>
                <w:rFonts w:ascii="宋体" w:hAnsi="宋体"/>
                <w:sz w:val="21"/>
              </w:rPr>
            </w:pPr>
            <w:r>
              <w:rPr>
                <w:rFonts w:ascii="宋体" w:hAnsi="宋体"/>
                <w:sz w:val="21"/>
              </w:rPr>
              <w:t>评审内容：</w:t>
            </w:r>
          </w:p>
          <w:p w14:paraId="3AF2301E">
            <w:pPr>
              <w:spacing w:line="360" w:lineRule="auto"/>
              <w:rPr>
                <w:rFonts w:hint="eastAsia" w:ascii="宋体" w:hAnsi="宋体"/>
                <w:sz w:val="21"/>
              </w:rPr>
            </w:pPr>
            <w:r>
              <w:rPr>
                <w:rFonts w:ascii="宋体" w:hAnsi="宋体"/>
                <w:sz w:val="21"/>
              </w:rPr>
              <w:t>①</w:t>
            </w:r>
            <w:r>
              <w:rPr>
                <w:rFonts w:hint="eastAsia" w:ascii="宋体" w:hAnsi="宋体"/>
                <w:sz w:val="21"/>
              </w:rPr>
              <w:t>质保期≥3年</w:t>
            </w:r>
            <w:r>
              <w:rPr>
                <w:rFonts w:hint="eastAsia" w:ascii="宋体" w:hAnsi="宋体"/>
                <w:sz w:val="21"/>
                <w:lang w:eastAsia="zh-CN"/>
              </w:rPr>
              <w:t>（</w:t>
            </w:r>
            <w:r>
              <w:rPr>
                <w:rFonts w:hint="eastAsia" w:ascii="宋体" w:hAnsi="宋体"/>
                <w:sz w:val="21"/>
                <w:lang w:val="en-US" w:eastAsia="zh-CN"/>
              </w:rPr>
              <w:t>2</w:t>
            </w:r>
            <w:r>
              <w:rPr>
                <w:rFonts w:hint="eastAsia" w:ascii="宋体" w:hAnsi="宋体"/>
                <w:sz w:val="21"/>
              </w:rPr>
              <w:t>分）</w:t>
            </w:r>
          </w:p>
          <w:p w14:paraId="130A8074">
            <w:pPr>
              <w:spacing w:line="360" w:lineRule="auto"/>
              <w:rPr>
                <w:rFonts w:hint="eastAsia" w:eastAsia="宋体"/>
                <w:lang w:eastAsia="zh-CN"/>
              </w:rPr>
            </w:pPr>
            <w:r>
              <w:rPr>
                <w:rFonts w:hint="eastAsia" w:ascii="宋体" w:hAnsi="宋体"/>
                <w:sz w:val="21"/>
              </w:rPr>
              <w:t>②</w:t>
            </w:r>
            <w:r>
              <w:rPr>
                <w:rFonts w:ascii="宋体" w:hAnsi="宋体"/>
                <w:sz w:val="21"/>
              </w:rPr>
              <w:t>增值技术支持方案</w:t>
            </w:r>
            <w:r>
              <w:rPr>
                <w:rFonts w:hint="eastAsia" w:ascii="宋体" w:hAnsi="宋体"/>
                <w:sz w:val="21"/>
                <w:lang w:eastAsia="zh-CN"/>
              </w:rPr>
              <w:t>（</w:t>
            </w:r>
            <w:r>
              <w:rPr>
                <w:rFonts w:hint="eastAsia" w:ascii="宋体" w:hAnsi="宋体"/>
                <w:sz w:val="21"/>
                <w:lang w:val="en-US" w:eastAsia="zh-CN"/>
              </w:rPr>
              <w:t>0-6</w:t>
            </w:r>
            <w:r>
              <w:rPr>
                <w:rFonts w:hint="eastAsia" w:ascii="宋体" w:hAnsi="宋体"/>
                <w:sz w:val="21"/>
                <w:lang w:eastAsia="zh-CN"/>
              </w:rPr>
              <w:t>）</w:t>
            </w:r>
          </w:p>
          <w:p w14:paraId="1709707E">
            <w:pPr>
              <w:spacing w:line="360" w:lineRule="auto"/>
              <w:rPr>
                <w:rFonts w:hint="eastAsia" w:ascii="宋体" w:hAnsi="宋体"/>
                <w:sz w:val="21"/>
              </w:rPr>
            </w:pPr>
            <w:r>
              <w:rPr>
                <w:rFonts w:hint="eastAsia" w:ascii="宋体" w:hAnsi="宋体"/>
                <w:sz w:val="21"/>
              </w:rPr>
              <w:t>评审标准：</w:t>
            </w:r>
          </w:p>
          <w:p w14:paraId="19F97377">
            <w:pPr>
              <w:spacing w:line="360" w:lineRule="auto"/>
              <w:rPr>
                <w:rFonts w:hint="eastAsia" w:ascii="宋体" w:hAnsi="宋体"/>
                <w:sz w:val="21"/>
              </w:rPr>
            </w:pPr>
            <w:r>
              <w:rPr>
                <w:rFonts w:hint="eastAsia" w:ascii="宋体" w:hAnsi="宋体"/>
                <w:sz w:val="21"/>
              </w:rPr>
              <w:t>完整性：内容详细完整，层次清晰，包含关键步骤的思路与实施要点；</w:t>
            </w:r>
          </w:p>
          <w:p w14:paraId="2F6261D6">
            <w:pPr>
              <w:spacing w:line="360" w:lineRule="auto"/>
              <w:rPr>
                <w:rFonts w:hint="eastAsia" w:ascii="宋体" w:hAnsi="宋体"/>
                <w:sz w:val="21"/>
              </w:rPr>
            </w:pPr>
            <w:r>
              <w:rPr>
                <w:rFonts w:hint="eastAsia" w:ascii="宋体" w:hAnsi="宋体"/>
                <w:sz w:val="21"/>
              </w:rPr>
              <w:t>可行性：方案内容贴合项目实际，具备良好的可操作性。</w:t>
            </w:r>
          </w:p>
          <w:p w14:paraId="2E3EA1D3">
            <w:pPr>
              <w:spacing w:line="360" w:lineRule="auto"/>
              <w:rPr>
                <w:rFonts w:hint="eastAsia" w:ascii="宋体" w:hAnsi="宋体"/>
                <w:sz w:val="21"/>
              </w:rPr>
            </w:pPr>
            <w:r>
              <w:rPr>
                <w:rFonts w:hint="eastAsia" w:ascii="宋体" w:hAnsi="宋体"/>
                <w:sz w:val="21"/>
              </w:rPr>
              <w:t>评分规则：无对应内容不得分；内容不完善酌情扣分；内容详实完整方可获得对应档位高分。</w:t>
            </w:r>
          </w:p>
          <w:p w14:paraId="030D92CF">
            <w:pPr>
              <w:spacing w:line="360" w:lineRule="auto"/>
            </w:pPr>
            <w:r>
              <w:rPr>
                <w:rFonts w:hint="eastAsia" w:ascii="宋体" w:hAnsi="宋体"/>
                <w:sz w:val="21"/>
              </w:rPr>
              <w:t>评审原则：严格按照投标文件载明的书面内容评审，不得依靠主观印象、额外问询投标人打分。</w:t>
            </w:r>
          </w:p>
        </w:tc>
      </w:tr>
      <w:tr w14:paraId="32A4D51B">
        <w:tblPrEx>
          <w:tblCellMar>
            <w:top w:w="0" w:type="dxa"/>
            <w:left w:w="108" w:type="dxa"/>
            <w:bottom w:w="0" w:type="dxa"/>
            <w:right w:w="108" w:type="dxa"/>
          </w:tblCellMar>
        </w:tblPrEx>
        <w:trPr>
          <w:trHeight w:val="567" w:hRule="atLeast"/>
        </w:trPr>
        <w:tc>
          <w:tcPr>
            <w:tcW w:w="1180" w:type="dxa"/>
            <w:vMerge w:val="continue"/>
            <w:tcBorders>
              <w:left w:val="single" w:color="auto" w:sz="4" w:space="0"/>
              <w:right w:val="single" w:color="auto" w:sz="4" w:space="0"/>
            </w:tcBorders>
            <w:noWrap w:val="0"/>
            <w:vAlign w:val="center"/>
          </w:tcPr>
          <w:p w14:paraId="46CED052">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6A56EEC4">
            <w:pPr>
              <w:spacing w:line="360" w:lineRule="auto"/>
              <w:jc w:val="center"/>
              <w:rPr>
                <w:rFonts w:hint="eastAsia"/>
                <w:lang w:val="en-US" w:eastAsia="zh-CN"/>
              </w:rPr>
            </w:pPr>
            <w:r>
              <w:rPr>
                <w:rFonts w:hint="eastAsia"/>
                <w:lang w:val="en-US" w:eastAsia="zh-CN"/>
              </w:rPr>
              <w:t>服务团队配置与专业能力</w:t>
            </w:r>
          </w:p>
          <w:p w14:paraId="3915241F">
            <w:pPr>
              <w:spacing w:line="360" w:lineRule="auto"/>
              <w:jc w:val="center"/>
              <w:rPr>
                <w:rFonts w:hint="eastAsia"/>
                <w:lang w:val="en-US" w:eastAsia="zh-CN"/>
              </w:rPr>
            </w:pPr>
            <w:r>
              <w:rPr>
                <w:rFonts w:hint="eastAsia"/>
                <w:lang w:val="en-US" w:eastAsia="zh-CN"/>
              </w:rPr>
              <w:t>（12分）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23E0E8BD">
            <w:pPr>
              <w:spacing w:line="360" w:lineRule="auto"/>
              <w:jc w:val="left"/>
              <w:rPr>
                <w:rFonts w:hint="eastAsia"/>
              </w:rPr>
            </w:pPr>
            <w:r>
              <w:rPr>
                <w:rFonts w:hint="eastAsia"/>
                <w:lang w:val="en-US" w:eastAsia="zh-CN"/>
              </w:rPr>
              <w:t>拟派项目负责人及核心成员（限5人，含项目负责人）具备以下资质或经历的，每项得2分，同一人可累计加分最多计4分，团队合计最高12分：①草原/林业资源调查相关工作经验；②熟练开展GIS数据处理与数据库建设；③主持或参与过省级及以上同类项目成果编制；④高级工程师、注册测绘师、草原/林业相关专业职称等。佐证材料：人员近3个月社保缴纳证明、职称/项目合同证明，无佐证不予计分。</w:t>
            </w:r>
          </w:p>
        </w:tc>
      </w:tr>
      <w:tr w14:paraId="1B346701">
        <w:tblPrEx>
          <w:tblCellMar>
            <w:top w:w="0" w:type="dxa"/>
            <w:left w:w="108" w:type="dxa"/>
            <w:bottom w:w="0" w:type="dxa"/>
            <w:right w:w="108" w:type="dxa"/>
          </w:tblCellMar>
        </w:tblPrEx>
        <w:trPr>
          <w:trHeight w:val="567" w:hRule="atLeast"/>
        </w:trPr>
        <w:tc>
          <w:tcPr>
            <w:tcW w:w="1180" w:type="dxa"/>
            <w:vMerge w:val="continue"/>
            <w:tcBorders>
              <w:left w:val="single" w:color="auto" w:sz="4" w:space="0"/>
              <w:right w:val="single" w:color="auto" w:sz="4" w:space="0"/>
            </w:tcBorders>
            <w:noWrap w:val="0"/>
            <w:vAlign w:val="center"/>
          </w:tcPr>
          <w:p w14:paraId="511AFA9B">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5A4931BF">
            <w:pPr>
              <w:spacing w:line="360" w:lineRule="auto"/>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企业数据服务能力</w:t>
            </w:r>
          </w:p>
          <w:p w14:paraId="59582B95">
            <w:pPr>
              <w:pStyle w:val="2"/>
              <w:ind w:left="0" w:leftChars="0" w:firstLine="210" w:firstLineChars="100"/>
              <w:rPr>
                <w:rFonts w:hint="default"/>
                <w:lang w:val="en-US" w:eastAsia="zh-CN"/>
              </w:rPr>
            </w:pPr>
            <w:r>
              <w:rPr>
                <w:rFonts w:hint="eastAsia" w:ascii="Times New Roman" w:hAnsi="Times New Roman" w:eastAsia="宋体" w:cs="Times New Roman"/>
                <w:lang w:val="en-US" w:eastAsia="zh-CN"/>
              </w:rPr>
              <w:t>（10分）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75E68891">
            <w:pPr>
              <w:spacing w:line="360" w:lineRule="auto"/>
              <w:jc w:val="left"/>
              <w:rPr>
                <w:rFonts w:hint="eastAsia"/>
                <w:lang w:val="en-US" w:eastAsia="zh-CN"/>
              </w:rPr>
            </w:pPr>
            <w:r>
              <w:rPr>
                <w:rFonts w:hint="eastAsia" w:ascii="Times New Roman" w:hAnsi="Times New Roman" w:eastAsia="宋体" w:cs="Times New Roman"/>
                <w:lang w:val="en-US" w:eastAsia="zh-CN"/>
              </w:rPr>
              <w:t>具有与数字林草管理、无人机遥感数据分析、草原盖度监测模型、红外光谱草地长势测量、草原数据可视化展示计算机软件著作权登记证书，每提供一个证书得2分，总分10分；不提供不得分。</w:t>
            </w:r>
          </w:p>
        </w:tc>
      </w:tr>
      <w:tr w14:paraId="76C9438D">
        <w:tblPrEx>
          <w:tblCellMar>
            <w:top w:w="0" w:type="dxa"/>
            <w:left w:w="108" w:type="dxa"/>
            <w:bottom w:w="0" w:type="dxa"/>
            <w:right w:w="108" w:type="dxa"/>
          </w:tblCellMar>
        </w:tblPrEx>
        <w:trPr>
          <w:trHeight w:val="567" w:hRule="atLeast"/>
        </w:trPr>
        <w:tc>
          <w:tcPr>
            <w:tcW w:w="1180" w:type="dxa"/>
            <w:vMerge w:val="continue"/>
            <w:tcBorders>
              <w:left w:val="single" w:color="auto" w:sz="4" w:space="0"/>
              <w:right w:val="single" w:color="auto" w:sz="4" w:space="0"/>
            </w:tcBorders>
            <w:noWrap w:val="0"/>
            <w:vAlign w:val="center"/>
          </w:tcPr>
          <w:p w14:paraId="6905AF5E">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018E48E2">
            <w:pPr>
              <w:spacing w:line="360" w:lineRule="auto"/>
              <w:jc w:val="center"/>
              <w:rPr>
                <w:rFonts w:hint="eastAsia"/>
                <w:lang w:val="en-US" w:eastAsia="zh-CN"/>
              </w:rPr>
            </w:pPr>
            <w:r>
              <w:rPr>
                <w:rFonts w:hint="eastAsia"/>
                <w:lang w:val="en-US" w:eastAsia="zh-CN"/>
              </w:rPr>
              <w:t>体系认证</w:t>
            </w:r>
          </w:p>
          <w:p w14:paraId="10738EC9">
            <w:pPr>
              <w:spacing w:line="360" w:lineRule="auto"/>
              <w:jc w:val="center"/>
              <w:rPr>
                <w:rFonts w:hint="eastAsia"/>
                <w:lang w:val="en-US" w:eastAsia="zh-CN"/>
              </w:rPr>
            </w:pPr>
            <w:r>
              <w:rPr>
                <w:rFonts w:hint="eastAsia"/>
                <w:lang w:val="en-US" w:eastAsia="zh-CN"/>
              </w:rPr>
              <w:t>（10分）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3B08310A">
            <w:pPr>
              <w:spacing w:line="360" w:lineRule="auto"/>
              <w:jc w:val="left"/>
              <w:rPr>
                <w:rFonts w:hint="eastAsia" w:eastAsia="宋体"/>
                <w:lang w:val="en-US" w:eastAsia="zh-CN"/>
              </w:rPr>
            </w:pPr>
            <w:r>
              <w:rPr>
                <w:rFonts w:hint="eastAsia" w:ascii="Times New Roman" w:hAnsi="Times New Roman" w:eastAsia="宋体" w:cs="Times New Roman"/>
                <w:lang w:val="en-US" w:eastAsia="zh-CN"/>
              </w:rPr>
              <w:t>具备有效期内的</w:t>
            </w:r>
            <w:r>
              <w:rPr>
                <w:rFonts w:hint="eastAsia" w:ascii="Times New Roman" w:hAnsi="Times New Roman" w:eastAsia="宋体" w:cs="Times New Roman"/>
                <w:lang w:val="en-US" w:eastAsia="en-US"/>
              </w:rPr>
              <w:t>质量管理体系认证证书</w:t>
            </w:r>
            <w:r>
              <w:rPr>
                <w:rFonts w:hint="eastAsia" w:ascii="Times New Roman" w:hAnsi="Times New Roman" w:eastAsia="宋体" w:cs="Times New Roman"/>
                <w:lang w:val="en-US" w:eastAsia="zh-CN"/>
              </w:rPr>
              <w:t>；</w:t>
            </w:r>
            <w:r>
              <w:rPr>
                <w:rFonts w:hint="eastAsia" w:ascii="Times New Roman" w:hAnsi="Times New Roman" w:eastAsia="宋体" w:cs="Times New Roman"/>
                <w:lang w:val="en-US" w:eastAsia="en-US"/>
              </w:rPr>
              <w:t>环境管理体系认证证书</w:t>
            </w:r>
            <w:r>
              <w:rPr>
                <w:rFonts w:hint="eastAsia" w:ascii="Times New Roman" w:hAnsi="Times New Roman" w:eastAsia="宋体" w:cs="Times New Roman"/>
                <w:lang w:val="en-US" w:eastAsia="zh-CN"/>
              </w:rPr>
              <w:t>；</w:t>
            </w:r>
            <w:r>
              <w:rPr>
                <w:rFonts w:hint="eastAsia" w:ascii="Times New Roman" w:hAnsi="Times New Roman" w:eastAsia="宋体" w:cs="Times New Roman"/>
                <w:lang w:val="en-US" w:eastAsia="en-US"/>
              </w:rPr>
              <w:t>职业健康安全管理体系认证证书</w:t>
            </w:r>
            <w:r>
              <w:rPr>
                <w:rFonts w:hint="eastAsia" w:ascii="Times New Roman" w:hAnsi="Times New Roman" w:eastAsia="宋体" w:cs="Times New Roman"/>
                <w:lang w:val="en-US" w:eastAsia="zh-CN"/>
              </w:rPr>
              <w:t>；信息技术服务管理体系认证证书；信息安全管理体系认证证书；</w:t>
            </w:r>
            <w:r>
              <w:rPr>
                <w:rFonts w:hint="eastAsia" w:ascii="Times New Roman" w:hAnsi="Times New Roman" w:eastAsia="宋体" w:cs="Times New Roman"/>
                <w:lang w:val="en-US" w:eastAsia="en-US"/>
              </w:rPr>
              <w:t>每提供一项得</w:t>
            </w:r>
            <w:r>
              <w:rPr>
                <w:rFonts w:hint="eastAsia" w:ascii="Times New Roman" w:hAnsi="Times New Roman" w:eastAsia="宋体" w:cs="Times New Roman"/>
                <w:lang w:val="en-US" w:eastAsia="zh-CN"/>
              </w:rPr>
              <w:t>2</w:t>
            </w:r>
            <w:r>
              <w:rPr>
                <w:rFonts w:hint="eastAsia" w:ascii="Times New Roman" w:hAnsi="Times New Roman" w:eastAsia="宋体" w:cs="Times New Roman"/>
                <w:lang w:val="en-US" w:eastAsia="en-US"/>
              </w:rPr>
              <w:t>分，最</w:t>
            </w:r>
            <w:r>
              <w:rPr>
                <w:rFonts w:hint="eastAsia" w:ascii="Times New Roman" w:hAnsi="Times New Roman" w:eastAsia="宋体" w:cs="Times New Roman"/>
                <w:lang w:val="en-US" w:eastAsia="zh-CN"/>
              </w:rPr>
              <w:t>高得10</w:t>
            </w:r>
            <w:r>
              <w:rPr>
                <w:rFonts w:hint="eastAsia" w:ascii="Times New Roman" w:hAnsi="Times New Roman" w:eastAsia="宋体" w:cs="Times New Roman"/>
                <w:lang w:val="en-US" w:eastAsia="en-US"/>
              </w:rPr>
              <w:t>分</w:t>
            </w:r>
            <w:r>
              <w:rPr>
                <w:rFonts w:hint="eastAsia" w:ascii="Times New Roman" w:hAnsi="Times New Roman" w:eastAsia="宋体" w:cs="Times New Roman"/>
                <w:lang w:val="en-US" w:eastAsia="zh-CN"/>
              </w:rPr>
              <w:t>；不提供不得分。</w:t>
            </w:r>
          </w:p>
        </w:tc>
      </w:tr>
      <w:tr w14:paraId="21C11C22">
        <w:tblPrEx>
          <w:tblCellMar>
            <w:top w:w="0" w:type="dxa"/>
            <w:left w:w="108" w:type="dxa"/>
            <w:bottom w:w="0" w:type="dxa"/>
            <w:right w:w="108" w:type="dxa"/>
          </w:tblCellMar>
        </w:tblPrEx>
        <w:trPr>
          <w:trHeight w:val="567" w:hRule="atLeast"/>
        </w:trPr>
        <w:tc>
          <w:tcPr>
            <w:tcW w:w="1180" w:type="dxa"/>
            <w:vMerge w:val="continue"/>
            <w:tcBorders>
              <w:left w:val="single" w:color="auto" w:sz="4" w:space="0"/>
              <w:right w:val="single" w:color="auto" w:sz="4" w:space="0"/>
            </w:tcBorders>
            <w:noWrap w:val="0"/>
            <w:vAlign w:val="center"/>
          </w:tcPr>
          <w:p w14:paraId="34D26186">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092C35D3">
            <w:pPr>
              <w:spacing w:line="360" w:lineRule="auto"/>
              <w:jc w:val="center"/>
              <w:rPr>
                <w:rFonts w:hint="eastAsia"/>
                <w:lang w:val="en-US" w:eastAsia="zh-CN"/>
              </w:rPr>
            </w:pPr>
            <w:r>
              <w:rPr>
                <w:rFonts w:hint="eastAsia"/>
                <w:lang w:val="en-US" w:eastAsia="zh-CN"/>
              </w:rPr>
              <w:t>服务保障能力</w:t>
            </w:r>
          </w:p>
          <w:p w14:paraId="1387EC7B">
            <w:pPr>
              <w:spacing w:line="360" w:lineRule="auto"/>
              <w:jc w:val="center"/>
              <w:rPr>
                <w:rFonts w:hint="eastAsia"/>
                <w:lang w:val="en-US" w:eastAsia="zh-CN"/>
              </w:rPr>
            </w:pPr>
            <w:r>
              <w:rPr>
                <w:rFonts w:hint="eastAsia"/>
                <w:lang w:val="en-US" w:eastAsia="zh-CN"/>
              </w:rPr>
              <w:t>（4分）</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4DD4B858">
            <w:pPr>
              <w:spacing w:line="360" w:lineRule="auto"/>
              <w:jc w:val="left"/>
              <w:rPr>
                <w:rFonts w:hint="eastAsia"/>
                <w:lang w:val="en-US" w:eastAsia="zh-CN"/>
              </w:rPr>
            </w:pPr>
            <w:r>
              <w:rPr>
                <w:rFonts w:hint="eastAsia"/>
                <w:lang w:val="en-US" w:eastAsia="zh-CN"/>
              </w:rPr>
              <w:t>提供本地化服务承诺函：</w:t>
            </w:r>
          </w:p>
          <w:p w14:paraId="7CDADDB5">
            <w:pPr>
              <w:numPr>
                <w:ilvl w:val="0"/>
                <w:numId w:val="2"/>
              </w:numPr>
              <w:spacing w:line="360" w:lineRule="auto"/>
              <w:jc w:val="left"/>
              <w:rPr>
                <w:rFonts w:hint="eastAsia"/>
                <w:lang w:val="en-US" w:eastAsia="zh-CN"/>
              </w:rPr>
            </w:pPr>
            <w:r>
              <w:rPr>
                <w:rFonts w:hint="eastAsia"/>
                <w:lang w:val="en-US" w:eastAsia="zh-CN"/>
              </w:rPr>
              <w:t>承诺7×24小时线上电话技术支持，得2分；</w:t>
            </w:r>
          </w:p>
          <w:p w14:paraId="7F9F982F">
            <w:pPr>
              <w:numPr>
                <w:ilvl w:val="0"/>
                <w:numId w:val="2"/>
              </w:numPr>
              <w:spacing w:line="360" w:lineRule="auto"/>
              <w:jc w:val="left"/>
            </w:pPr>
            <w:r>
              <w:rPr>
                <w:rFonts w:hint="eastAsia"/>
                <w:lang w:val="en-US" w:eastAsia="zh-CN"/>
              </w:rPr>
              <w:t>承诺48小时完成修复，得2分。</w:t>
            </w:r>
          </w:p>
        </w:tc>
      </w:tr>
      <w:tr w14:paraId="37B290BD">
        <w:tblPrEx>
          <w:tblCellMar>
            <w:top w:w="0" w:type="dxa"/>
            <w:left w:w="108" w:type="dxa"/>
            <w:bottom w:w="0" w:type="dxa"/>
            <w:right w:w="108" w:type="dxa"/>
          </w:tblCellMar>
        </w:tblPrEx>
        <w:trPr>
          <w:trHeight w:val="567" w:hRule="atLeast"/>
        </w:trPr>
        <w:tc>
          <w:tcPr>
            <w:tcW w:w="1180" w:type="dxa"/>
            <w:vMerge w:val="continue"/>
            <w:tcBorders>
              <w:left w:val="single" w:color="auto" w:sz="4" w:space="0"/>
              <w:bottom w:val="single" w:color="auto" w:sz="4" w:space="0"/>
              <w:right w:val="single" w:color="auto" w:sz="4" w:space="0"/>
            </w:tcBorders>
            <w:noWrap w:val="0"/>
            <w:vAlign w:val="center"/>
          </w:tcPr>
          <w:p w14:paraId="1BFFE2D3">
            <w:pPr>
              <w:spacing w:line="360" w:lineRule="auto"/>
              <w:jc w:val="center"/>
              <w:rPr>
                <w:rFonts w:hint="eastAsia"/>
                <w:lang w:val="en-US" w:eastAsia="zh-CN"/>
              </w:rPr>
            </w:pPr>
          </w:p>
        </w:tc>
        <w:tc>
          <w:tcPr>
            <w:tcW w:w="1634" w:type="dxa"/>
            <w:tcBorders>
              <w:top w:val="single" w:color="auto" w:sz="4" w:space="0"/>
              <w:left w:val="single" w:color="auto" w:sz="4" w:space="0"/>
              <w:bottom w:val="single" w:color="auto" w:sz="4" w:space="0"/>
              <w:right w:val="single" w:color="auto" w:sz="4" w:space="0"/>
            </w:tcBorders>
            <w:noWrap w:val="0"/>
            <w:vAlign w:val="center"/>
          </w:tcPr>
          <w:p w14:paraId="702BBBDC">
            <w:pPr>
              <w:spacing w:line="360" w:lineRule="auto"/>
              <w:jc w:val="center"/>
              <w:rPr>
                <w:rFonts w:hint="eastAsia"/>
              </w:rPr>
            </w:pPr>
            <w:r>
              <w:rPr>
                <w:rFonts w:hint="eastAsia"/>
              </w:rPr>
              <w:t>业绩</w:t>
            </w:r>
          </w:p>
          <w:p w14:paraId="2AB151E2">
            <w:pPr>
              <w:spacing w:line="360" w:lineRule="auto"/>
              <w:jc w:val="center"/>
              <w:rPr>
                <w:rFonts w:hint="eastAsia"/>
                <w:lang w:val="en-US" w:eastAsia="zh-CN"/>
              </w:rPr>
            </w:pPr>
            <w:r>
              <w:rPr>
                <w:rFonts w:hint="eastAsia"/>
                <w:lang w:eastAsia="zh-CN"/>
              </w:rPr>
              <w:t>（</w:t>
            </w:r>
            <w:r>
              <w:rPr>
                <w:rFonts w:hint="eastAsia"/>
                <w:lang w:val="en-US" w:eastAsia="zh-CN"/>
              </w:rPr>
              <w:t>12分</w:t>
            </w:r>
            <w:r>
              <w:rPr>
                <w:rFonts w:hint="eastAsia"/>
                <w:lang w:eastAsia="zh-CN"/>
              </w:rPr>
              <w:t>）</w:t>
            </w:r>
          </w:p>
        </w:tc>
        <w:tc>
          <w:tcPr>
            <w:tcW w:w="6483" w:type="dxa"/>
            <w:tcBorders>
              <w:top w:val="single" w:color="auto" w:sz="4" w:space="0"/>
              <w:left w:val="single" w:color="auto" w:sz="4" w:space="0"/>
              <w:bottom w:val="single" w:color="auto" w:sz="4" w:space="0"/>
              <w:right w:val="single" w:color="auto" w:sz="4" w:space="0"/>
            </w:tcBorders>
            <w:noWrap w:val="0"/>
            <w:vAlign w:val="center"/>
          </w:tcPr>
          <w:p w14:paraId="3722135D">
            <w:pPr>
              <w:spacing w:line="360" w:lineRule="auto"/>
              <w:jc w:val="left"/>
              <w:rPr>
                <w:rFonts w:hint="eastAsia"/>
                <w:lang w:val="en-US" w:eastAsia="zh-CN"/>
              </w:rPr>
            </w:pPr>
            <w:r>
              <w:rPr>
                <w:rFonts w:hint="eastAsia"/>
                <w:lang w:val="en-US" w:eastAsia="zh-CN"/>
              </w:rPr>
              <w:t>供应商提供近三年（2023年6月1日至今）签订的草原/林业/自然资源数据库或成果编制项目类项目业绩，每提供1份有效业绩得2分，最多得12分。须提供合同关键页（含合同封面、服务内容页、合同金额页、签字盖章页），未提供或材料无法辨认的不得分。</w:t>
            </w:r>
          </w:p>
        </w:tc>
      </w:tr>
    </w:tbl>
    <w:p w14:paraId="2383FB12">
      <w:pPr>
        <w:pageBreakBefore w:val="0"/>
        <w:kinsoku/>
        <w:wordWrap/>
        <w:overflowPunct/>
        <w:topLinePunct w:val="0"/>
        <w:autoSpaceDE/>
        <w:autoSpaceDN/>
        <w:bidi w:val="0"/>
        <w:spacing w:line="360" w:lineRule="auto"/>
        <w:ind w:firstLine="562" w:firstLineChars="200"/>
        <w:textAlignment w:val="auto"/>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五、评标专家在采购活动中承担以下义务 </w:t>
      </w:r>
    </w:p>
    <w:p w14:paraId="2E0D757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 遵纪守法，客观、公正、廉洁地履行职责。 </w:t>
      </w:r>
    </w:p>
    <w:p w14:paraId="45939AF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2. 按照采购法律法规和采购文件的规定要求对供应商的资格条件和供应商提供的产品价格、技术、商务、服务等方面严格进行评判，提供科学合理、公平公正的评审意见，参与起草评审报告，并予签字确认。</w:t>
      </w:r>
    </w:p>
    <w:p w14:paraId="7334530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 保守秘密。不得透露磋商文件咨询情况，不得泄漏供应商的磋商文件及知悉的商业秘密，不得向供应商透露评审情况。 </w:t>
      </w:r>
    </w:p>
    <w:p w14:paraId="642C632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4. 发现供应商在采购活动中有不正当竞争或恶意串通等违规行为，及时向采购代理机构报告并加以制止。</w:t>
      </w:r>
    </w:p>
    <w:p w14:paraId="592EEE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 解答有关方面对采购评审工作中有关问题的询问，配合采购人或者采购代理机构答复供应商质疑。 </w:t>
      </w:r>
    </w:p>
    <w:p w14:paraId="7B6CA18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6. 法律、法规和规章规定的其他义务。 </w:t>
      </w:r>
    </w:p>
    <w:p w14:paraId="0BF0C4FB">
      <w:pPr>
        <w:keepNext w:val="0"/>
        <w:keepLines w:val="0"/>
        <w:pageBreakBefore w:val="0"/>
        <w:widowControl/>
        <w:suppressLineNumbers w:val="0"/>
        <w:kinsoku/>
        <w:wordWrap/>
        <w:overflowPunct/>
        <w:topLinePunct w:val="0"/>
        <w:autoSpaceDE/>
        <w:autoSpaceDN/>
        <w:bidi w:val="0"/>
        <w:adjustRightInd/>
        <w:spacing w:line="360" w:lineRule="auto"/>
        <w:ind w:firstLine="562" w:firstLineChars="200"/>
        <w:jc w:val="left"/>
        <w:textAlignment w:val="auto"/>
        <w:outlineLvl w:val="1"/>
        <w:rPr>
          <w:rFonts w:hint="eastAsia" w:ascii="宋体" w:hAnsi="宋体" w:eastAsia="宋体" w:cs="宋体"/>
          <w:b/>
          <w:bCs/>
          <w:color w:val="auto"/>
          <w:spacing w:val="0"/>
          <w:kern w:val="0"/>
          <w:sz w:val="28"/>
          <w:szCs w:val="28"/>
          <w:highlight w:val="none"/>
          <w:lang w:val="en-US" w:eastAsia="zh-CN" w:bidi="ar"/>
        </w:rPr>
      </w:pPr>
      <w:r>
        <w:rPr>
          <w:rFonts w:hint="eastAsia" w:ascii="宋体" w:hAnsi="宋体" w:eastAsia="宋体" w:cs="宋体"/>
          <w:b/>
          <w:bCs/>
          <w:color w:val="auto"/>
          <w:spacing w:val="0"/>
          <w:kern w:val="0"/>
          <w:sz w:val="28"/>
          <w:szCs w:val="28"/>
          <w:highlight w:val="none"/>
          <w:lang w:val="en-US" w:eastAsia="zh-CN" w:bidi="ar"/>
        </w:rPr>
        <w:t xml:space="preserve">六、评审专家在采购活动中应当遵守以下工作纪律 </w:t>
      </w:r>
    </w:p>
    <w:p w14:paraId="6779799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1. 应邀按时参加评审和咨询活动。遇特殊情况不能出席或途中遇阻不能按时参加评审或咨询的，应及时告知采购代理机构，不得私自转托他人。 </w:t>
      </w:r>
    </w:p>
    <w:p w14:paraId="2B7BA1C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2. 不得参加与自己有利害关系的采购项目的评审活动。对与自己有利害关系的评审项目，如受到邀请，应主动提出回避。行政监督部门、采购人或采购代理机构也可要求该评审专家回避。 </w:t>
      </w:r>
    </w:p>
    <w:p w14:paraId="1DB3DE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有利害关系主要是指三年内曾在参加该采购项目供应商中任职(包括一般工作)或担任顾问，配偶或直系亲属在参加该采购项目的供应商中任职或担任顾问，与参加该采购项目供应商发生过法律纠纷，以及其他可能影响公正评审的情况。 </w:t>
      </w:r>
    </w:p>
    <w:p w14:paraId="415F3F5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3. 评审或咨询过程中关闭通讯设备，不得与外界联系。因发生不可预见情况，确实需要与外界联系的，应当有在场工作人员陪同。 </w:t>
      </w:r>
    </w:p>
    <w:p w14:paraId="2FB8F55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4. 评审过程中，不得发表影响评审公正的倾向性、歧视性言论；不得征询或者接受采购人的倾向性意见；不得以任何明示或暗示的方式要求参加该采购项目的供应商以澄清、说明或补正为借口，表达与其原磋商文件原意不同的新意见；不得以采购文件没有规定的方法和标准作为评审的依据；不得违反规定的评审格式评分和撰写评审意见；不得拒绝对自己的评审意见签字确认。 </w:t>
      </w:r>
    </w:p>
    <w:p w14:paraId="2CD5562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color w:val="auto"/>
          <w:spacing w:val="0"/>
          <w:sz w:val="24"/>
          <w:szCs w:val="24"/>
          <w:highlight w:val="none"/>
        </w:rPr>
      </w:pPr>
      <w:r>
        <w:rPr>
          <w:rFonts w:hint="eastAsia" w:ascii="宋体" w:hAnsi="宋体" w:eastAsia="宋体" w:cs="宋体"/>
          <w:color w:val="auto"/>
          <w:spacing w:val="0"/>
          <w:kern w:val="0"/>
          <w:sz w:val="24"/>
          <w:szCs w:val="24"/>
          <w:highlight w:val="none"/>
          <w:lang w:val="en-US" w:eastAsia="zh-CN" w:bidi="ar"/>
        </w:rPr>
        <w:t xml:space="preserve">5. 在咨询工作中，严格执行国家产业政策和产品标准，认真听取咨询方的合理要求，提出科学合理的、无倾向性和歧视性的咨询方案，并对所提出的意见和建议承担个人责任。 </w:t>
      </w:r>
    </w:p>
    <w:p w14:paraId="5FBFC24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t>6. 有关部门（机构）制定的其他评审工作纪律。</w:t>
      </w:r>
    </w:p>
    <w:p w14:paraId="7DA88FAB">
      <w:pPr>
        <w:pageBreakBefore w:val="0"/>
        <w:kinsoku/>
        <w:wordWrap/>
        <w:overflowPunct/>
        <w:topLinePunct w:val="0"/>
        <w:autoSpaceDE/>
        <w:autoSpaceDN/>
        <w:bidi w:val="0"/>
        <w:spacing w:line="360" w:lineRule="auto"/>
        <w:rPr>
          <w:rFonts w:hint="eastAsia" w:ascii="宋体" w:hAnsi="宋体" w:eastAsia="宋体" w:cs="宋体"/>
          <w:color w:val="auto"/>
          <w:spacing w:val="0"/>
          <w:kern w:val="0"/>
          <w:sz w:val="24"/>
          <w:szCs w:val="24"/>
          <w:highlight w:val="none"/>
          <w:lang w:val="en-US" w:eastAsia="zh-CN" w:bidi="ar"/>
        </w:rPr>
      </w:pPr>
      <w:r>
        <w:rPr>
          <w:rFonts w:hint="eastAsia" w:ascii="宋体" w:hAnsi="宋体" w:eastAsia="宋体" w:cs="宋体"/>
          <w:color w:val="auto"/>
          <w:spacing w:val="0"/>
          <w:kern w:val="0"/>
          <w:sz w:val="24"/>
          <w:szCs w:val="24"/>
          <w:highlight w:val="none"/>
          <w:lang w:val="en-US" w:eastAsia="zh-CN" w:bidi="ar"/>
        </w:rPr>
        <w:br w:type="page"/>
      </w:r>
    </w:p>
    <w:p w14:paraId="15DBA3A5">
      <w:pPr>
        <w:pageBreakBefore w:val="0"/>
        <w:numPr>
          <w:ilvl w:val="0"/>
          <w:numId w:val="0"/>
        </w:numPr>
        <w:kinsoku/>
        <w:wordWrap/>
        <w:overflowPunct/>
        <w:topLinePunct w:val="0"/>
        <w:autoSpaceDE/>
        <w:autoSpaceDN/>
        <w:bidi w:val="0"/>
        <w:spacing w:line="360" w:lineRule="auto"/>
        <w:jc w:val="center"/>
        <w:outlineLvl w:val="0"/>
        <w:rPr>
          <w:rFonts w:hint="eastAsia" w:ascii="Times New Roman" w:hAnsi="Times New Roman" w:cs="Times New Roman"/>
          <w:b/>
          <w:bCs/>
          <w:color w:val="auto"/>
          <w:spacing w:val="0"/>
          <w:kern w:val="44"/>
          <w:sz w:val="32"/>
          <w:szCs w:val="32"/>
          <w:highlight w:val="none"/>
          <w:lang w:val="en-US" w:eastAsia="zh-CN" w:bidi="ar-SA"/>
        </w:rPr>
      </w:pPr>
      <w:bookmarkStart w:id="16" w:name="_Toc6500"/>
      <w:bookmarkStart w:id="17" w:name="_Toc77257869"/>
      <w:bookmarkStart w:id="18" w:name="_Toc75266502"/>
      <w:r>
        <w:rPr>
          <w:rFonts w:hint="eastAsia" w:cs="Times New Roman"/>
          <w:b/>
          <w:bCs/>
          <w:color w:val="auto"/>
          <w:spacing w:val="0"/>
          <w:kern w:val="44"/>
          <w:sz w:val="32"/>
          <w:szCs w:val="32"/>
          <w:highlight w:val="none"/>
          <w:lang w:val="en-US" w:eastAsia="zh-CN" w:bidi="ar-SA"/>
        </w:rPr>
        <w:t>第四章  磋商内容及要求</w:t>
      </w:r>
      <w:bookmarkEnd w:id="16"/>
    </w:p>
    <w:p w14:paraId="047847A8">
      <w:pPr>
        <w:keepNext w:val="0"/>
        <w:keepLines w:val="0"/>
        <w:pageBreakBefore w:val="0"/>
        <w:widowControl w:val="0"/>
        <w:kinsoku/>
        <w:wordWrap/>
        <w:overflowPunct/>
        <w:topLinePunct w:val="0"/>
        <w:autoSpaceDE/>
        <w:autoSpaceDN/>
        <w:bidi w:val="0"/>
        <w:adjustRightInd/>
        <w:snapToGrid/>
        <w:spacing w:line="460" w:lineRule="exact"/>
        <w:ind w:right="57" w:rightChars="27"/>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w:t>
      </w:r>
      <w:r>
        <w:rPr>
          <w:rFonts w:hint="eastAsia" w:ascii="宋体" w:hAnsi="宋体" w:cs="宋体"/>
          <w:b/>
          <w:bCs/>
          <w:color w:val="auto"/>
          <w:sz w:val="24"/>
          <w:szCs w:val="24"/>
          <w:highlight w:val="none"/>
          <w:lang w:val="en-US" w:eastAsia="zh-CN"/>
        </w:rPr>
        <w:t>项目概况</w:t>
      </w:r>
    </w:p>
    <w:p w14:paraId="545BD8F3">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cs="宋体"/>
          <w:color w:val="auto"/>
          <w:spacing w:val="0"/>
          <w:sz w:val="24"/>
          <w:szCs w:val="24"/>
          <w:highlight w:val="none"/>
          <w:lang w:val="en-US" w:eastAsia="zh-CN"/>
        </w:rPr>
      </w:pPr>
      <w:r>
        <w:rPr>
          <w:rFonts w:hint="eastAsia" w:ascii="宋体" w:hAnsi="宋体" w:eastAsia="宋体" w:cs="宋体"/>
          <w:color w:val="auto"/>
          <w:sz w:val="24"/>
          <w:szCs w:val="24"/>
          <w:highlight w:val="none"/>
          <w:lang w:val="en-US" w:eastAsia="zh-CN"/>
        </w:rPr>
        <w:t>1、项目名称：</w:t>
      </w:r>
      <w:r>
        <w:rPr>
          <w:rFonts w:hint="eastAsia" w:ascii="宋体" w:hAnsi="宋体" w:cs="宋体"/>
          <w:color w:val="auto"/>
          <w:spacing w:val="0"/>
          <w:sz w:val="24"/>
          <w:szCs w:val="24"/>
          <w:highlight w:val="none"/>
          <w:lang w:val="en-US" w:eastAsia="zh-CN"/>
        </w:rPr>
        <w:t>陕西省基本草原划定省级专项成果技术支撑项目-陕西省草原和湿地省级技术支撑服务项目采购项目</w:t>
      </w:r>
    </w:p>
    <w:p w14:paraId="54B27F63">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2、项目概况：</w:t>
      </w:r>
      <w:r>
        <w:rPr>
          <w:rFonts w:hint="eastAsia" w:asciiTheme="minorEastAsia" w:hAnsiTheme="minorEastAsia" w:eastAsiaTheme="minorEastAsia" w:cstheme="minorEastAsia"/>
          <w:b w:val="0"/>
          <w:bCs w:val="0"/>
          <w:color w:val="auto"/>
          <w:kern w:val="2"/>
          <w:sz w:val="24"/>
          <w:szCs w:val="24"/>
          <w:highlight w:val="none"/>
          <w:lang w:val="en-US" w:eastAsia="zh-CN" w:bidi="ar-SA"/>
        </w:rPr>
        <w:t>结合全省基本草原划定工作方案和技术指南，立足陕西省草地资源分布特征、生态保护管控需求，开展全省基本草原划定成果数据汇总分析及成果报告编制工作</w:t>
      </w:r>
    </w:p>
    <w:p w14:paraId="6E13E62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项目地点</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陕西省</w:t>
      </w:r>
    </w:p>
    <w:p w14:paraId="231FDF02">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cs="宋体"/>
          <w:color w:val="0000FF"/>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服务期：合同签订后500天</w:t>
      </w:r>
    </w:p>
    <w:p w14:paraId="49EEA391">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Times New Roman"/>
          <w:color w:val="auto"/>
          <w:kern w:val="2"/>
          <w:sz w:val="24"/>
          <w:szCs w:val="24"/>
          <w:highlight w:val="none"/>
          <w:lang w:val="en-US" w:eastAsia="zh-CN" w:bidi="ar"/>
        </w:rPr>
      </w:pPr>
      <w:r>
        <w:rPr>
          <w:rFonts w:hint="eastAsia" w:ascii="宋体" w:hAnsi="宋体" w:cs="宋体"/>
          <w:color w:val="auto"/>
          <w:sz w:val="24"/>
          <w:szCs w:val="24"/>
          <w:highlight w:val="none"/>
          <w:lang w:val="en-US" w:eastAsia="zh-CN"/>
        </w:rPr>
        <w:t>5、</w:t>
      </w:r>
      <w:r>
        <w:rPr>
          <w:rFonts w:hint="eastAsia" w:ascii="宋体" w:hAnsi="宋体" w:eastAsia="宋体" w:cs="Times New Roman"/>
          <w:color w:val="auto"/>
          <w:kern w:val="2"/>
          <w:sz w:val="24"/>
          <w:szCs w:val="24"/>
          <w:highlight w:val="none"/>
          <w:lang w:val="en-US" w:eastAsia="zh-CN" w:bidi="ar"/>
        </w:rPr>
        <w:t>合同总价即成交价，供应商应在</w:t>
      </w:r>
      <w:r>
        <w:rPr>
          <w:rFonts w:hint="eastAsia" w:ascii="宋体" w:hAnsi="宋体" w:cs="Times New Roman"/>
          <w:color w:val="auto"/>
          <w:kern w:val="2"/>
          <w:sz w:val="24"/>
          <w:szCs w:val="24"/>
          <w:highlight w:val="none"/>
          <w:lang w:val="en-US" w:eastAsia="zh-CN" w:bidi="ar"/>
        </w:rPr>
        <w:t>响应</w:t>
      </w:r>
      <w:r>
        <w:rPr>
          <w:rFonts w:hint="eastAsia" w:ascii="宋体" w:hAnsi="宋体" w:eastAsia="宋体" w:cs="Times New Roman"/>
          <w:color w:val="auto"/>
          <w:kern w:val="2"/>
          <w:sz w:val="24"/>
          <w:szCs w:val="24"/>
          <w:highlight w:val="none"/>
          <w:lang w:val="en-US" w:eastAsia="zh-CN" w:bidi="ar"/>
        </w:rPr>
        <w:t>报价表中标明完成本次磋商所要服务的所有费用。</w:t>
      </w:r>
    </w:p>
    <w:p w14:paraId="4CDAAAC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付款方式：</w:t>
      </w:r>
      <w:r>
        <w:rPr>
          <w:rFonts w:hint="eastAsia" w:ascii="宋体" w:hAnsi="宋体" w:eastAsia="宋体" w:cs="宋体"/>
          <w:color w:val="auto"/>
          <w:kern w:val="2"/>
          <w:sz w:val="24"/>
          <w:szCs w:val="24"/>
          <w:highlight w:val="none"/>
          <w:lang w:val="en-US" w:eastAsia="zh-CN" w:bidi="ar"/>
        </w:rPr>
        <w:t>合同签订之后付合同总价款的40%，项目经过采购方和专家</w:t>
      </w:r>
      <w:r>
        <w:rPr>
          <w:rFonts w:hint="eastAsia" w:ascii="宋体" w:hAnsi="宋体" w:cs="宋体"/>
          <w:color w:val="auto"/>
          <w:kern w:val="2"/>
          <w:sz w:val="24"/>
          <w:szCs w:val="24"/>
          <w:highlight w:val="none"/>
          <w:lang w:val="en-US" w:eastAsia="zh-CN" w:bidi="ar"/>
        </w:rPr>
        <w:t>评审之后</w:t>
      </w:r>
      <w:r>
        <w:rPr>
          <w:rFonts w:hint="eastAsia" w:ascii="宋体" w:hAnsi="宋体" w:eastAsia="宋体" w:cs="宋体"/>
          <w:color w:val="auto"/>
          <w:kern w:val="2"/>
          <w:sz w:val="24"/>
          <w:szCs w:val="24"/>
          <w:highlight w:val="none"/>
          <w:lang w:val="en-US" w:eastAsia="zh-CN" w:bidi="ar"/>
        </w:rPr>
        <w:t>付合同总价款的</w:t>
      </w:r>
      <w:r>
        <w:rPr>
          <w:rFonts w:hint="eastAsia" w:ascii="宋体" w:hAnsi="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en-US" w:eastAsia="zh-CN" w:bidi="ar"/>
        </w:rPr>
        <w:t>0%，完成上报并</w:t>
      </w:r>
      <w:r>
        <w:rPr>
          <w:rFonts w:hint="eastAsia" w:ascii="宋体" w:hAnsi="宋体" w:cs="宋体"/>
          <w:color w:val="auto"/>
          <w:kern w:val="2"/>
          <w:sz w:val="24"/>
          <w:szCs w:val="24"/>
          <w:highlight w:val="none"/>
          <w:lang w:val="en-US" w:eastAsia="zh-CN" w:bidi="ar"/>
        </w:rPr>
        <w:t>验收</w:t>
      </w:r>
      <w:r>
        <w:rPr>
          <w:rFonts w:hint="eastAsia" w:ascii="宋体" w:hAnsi="宋体" w:eastAsia="宋体" w:cs="宋体"/>
          <w:color w:val="auto"/>
          <w:kern w:val="2"/>
          <w:sz w:val="24"/>
          <w:szCs w:val="24"/>
          <w:highlight w:val="none"/>
          <w:lang w:val="en-US" w:eastAsia="zh-CN" w:bidi="ar"/>
        </w:rPr>
        <w:t>合格后，支付余款</w:t>
      </w:r>
      <w:r>
        <w:rPr>
          <w:rFonts w:hint="eastAsia" w:ascii="宋体" w:hAnsi="宋体" w:cs="宋体"/>
          <w:color w:val="auto"/>
          <w:kern w:val="2"/>
          <w:sz w:val="24"/>
          <w:szCs w:val="24"/>
          <w:highlight w:val="none"/>
          <w:lang w:val="en-US" w:eastAsia="zh-CN" w:bidi="ar"/>
        </w:rPr>
        <w:t>2</w:t>
      </w:r>
      <w:r>
        <w:rPr>
          <w:rFonts w:hint="eastAsia" w:ascii="宋体" w:hAnsi="宋体" w:eastAsia="宋体" w:cs="宋体"/>
          <w:color w:val="auto"/>
          <w:kern w:val="2"/>
          <w:sz w:val="24"/>
          <w:szCs w:val="24"/>
          <w:highlight w:val="none"/>
          <w:lang w:val="en-US" w:eastAsia="zh-CN" w:bidi="ar"/>
        </w:rPr>
        <w:t>0%。</w:t>
      </w:r>
    </w:p>
    <w:p w14:paraId="6D4B594E">
      <w:pPr>
        <w:pStyle w:val="2"/>
        <w:spacing w:line="360" w:lineRule="auto"/>
        <w:rPr>
          <w:rFonts w:hint="default"/>
          <w:color w:val="auto"/>
          <w:lang w:val="en-US" w:eastAsia="zh-CN"/>
        </w:rPr>
      </w:pPr>
      <w:r>
        <w:rPr>
          <w:rFonts w:hint="eastAsia" w:ascii="宋体" w:hAnsi="宋体" w:cs="宋体"/>
          <w:color w:val="auto"/>
          <w:kern w:val="2"/>
          <w:sz w:val="24"/>
          <w:szCs w:val="24"/>
          <w:highlight w:val="none"/>
          <w:lang w:val="en-US" w:eastAsia="zh-CN" w:bidi="ar"/>
        </w:rPr>
        <w:t>7、本项目所属行业：软件和信息技术服务业（或科学研究和技术服务业）</w:t>
      </w:r>
    </w:p>
    <w:p w14:paraId="511E52E0">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outlineLvl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二、项目依据</w:t>
      </w:r>
    </w:p>
    <w:p w14:paraId="0B633A59">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（一）《中华人民共和国草原法》(2021年）</w:t>
      </w:r>
      <w:r>
        <w:rPr>
          <w:rFonts w:hint="eastAsia" w:ascii="宋体" w:hAnsi="宋体" w:cs="宋体"/>
          <w:color w:val="auto"/>
          <w:kern w:val="2"/>
          <w:sz w:val="24"/>
          <w:szCs w:val="24"/>
          <w:highlight w:val="none"/>
          <w:lang w:val="en-US" w:eastAsia="zh-CN" w:bidi="ar"/>
        </w:rPr>
        <w:t>；</w:t>
      </w:r>
    </w:p>
    <w:p w14:paraId="79154D43">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cs="宋体"/>
          <w:color w:val="auto"/>
          <w:kern w:val="2"/>
          <w:sz w:val="24"/>
          <w:szCs w:val="24"/>
          <w:highlight w:val="none"/>
          <w:lang w:val="en-US" w:eastAsia="zh-CN" w:bidi="ar"/>
        </w:rPr>
        <w:t>（二）</w:t>
      </w:r>
      <w:r>
        <w:rPr>
          <w:rFonts w:hint="eastAsia" w:ascii="宋体" w:hAnsi="宋体" w:eastAsia="宋体" w:cs="宋体"/>
          <w:color w:val="auto"/>
          <w:kern w:val="2"/>
          <w:sz w:val="24"/>
          <w:szCs w:val="24"/>
          <w:highlight w:val="none"/>
          <w:lang w:val="en-US" w:eastAsia="zh-CN" w:bidi="ar"/>
        </w:rPr>
        <w:t>《国家林业和草原局办公室关于加强基本草原划定和保护管理工作的通知》（办草字〔2025〕163号）</w:t>
      </w:r>
    </w:p>
    <w:p w14:paraId="5D921199">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cs="宋体"/>
          <w:color w:val="auto"/>
          <w:kern w:val="2"/>
          <w:sz w:val="24"/>
          <w:szCs w:val="24"/>
          <w:highlight w:val="none"/>
          <w:lang w:val="en-US" w:eastAsia="zh-CN" w:bidi="ar"/>
        </w:rPr>
      </w:pPr>
      <w:r>
        <w:rPr>
          <w:rFonts w:hint="eastAsia" w:ascii="宋体" w:hAnsi="宋体" w:cs="宋体"/>
          <w:color w:val="auto"/>
          <w:kern w:val="2"/>
          <w:sz w:val="24"/>
          <w:szCs w:val="24"/>
          <w:highlight w:val="none"/>
          <w:lang w:val="en-US" w:eastAsia="zh-CN" w:bidi="ar"/>
        </w:rPr>
        <w:t>（三）</w:t>
      </w:r>
      <w:r>
        <w:rPr>
          <w:rFonts w:hint="eastAsia" w:ascii="宋体" w:hAnsi="宋体" w:eastAsia="宋体" w:cs="宋体"/>
          <w:color w:val="auto"/>
          <w:kern w:val="2"/>
          <w:sz w:val="24"/>
          <w:szCs w:val="24"/>
          <w:highlight w:val="none"/>
          <w:lang w:val="en-US" w:eastAsia="zh-CN" w:bidi="ar"/>
        </w:rPr>
        <w:t>陕西省林业局《关于成立陕西省林业局基本草原划定工作专班的通知》（陕林湿字〔2025〕540号）</w:t>
      </w:r>
      <w:r>
        <w:rPr>
          <w:rFonts w:hint="eastAsia" w:ascii="宋体" w:hAnsi="宋体" w:cs="宋体"/>
          <w:color w:val="auto"/>
          <w:kern w:val="2"/>
          <w:sz w:val="24"/>
          <w:szCs w:val="24"/>
          <w:highlight w:val="none"/>
          <w:lang w:val="en-US" w:eastAsia="zh-CN" w:bidi="ar"/>
        </w:rPr>
        <w:t>；</w:t>
      </w:r>
    </w:p>
    <w:p w14:paraId="267FB18C">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cs="宋体"/>
          <w:color w:val="auto"/>
          <w:kern w:val="2"/>
          <w:sz w:val="24"/>
          <w:szCs w:val="24"/>
          <w:highlight w:val="none"/>
          <w:lang w:val="en-US" w:eastAsia="zh-CN" w:bidi="ar"/>
        </w:rPr>
        <w:t>（四）</w:t>
      </w:r>
      <w:r>
        <w:rPr>
          <w:rFonts w:hint="eastAsia" w:ascii="宋体" w:hAnsi="宋体" w:eastAsia="宋体" w:cs="宋体"/>
          <w:color w:val="auto"/>
          <w:kern w:val="2"/>
          <w:sz w:val="24"/>
          <w:szCs w:val="24"/>
          <w:highlight w:val="none"/>
          <w:lang w:val="en-US" w:eastAsia="zh-CN" w:bidi="ar"/>
        </w:rPr>
        <w:t>《省林业局基本草原划定工作专班会议纪要》（2025年第1次）。</w:t>
      </w:r>
    </w:p>
    <w:p w14:paraId="09D6F05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textAlignment w:val="auto"/>
        <w:outlineLvl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三、采购内容</w:t>
      </w:r>
    </w:p>
    <w:p w14:paraId="5AA38E5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outlineLvl w:val="0"/>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结合全省基本草原划定工作方案和技术指南，立足陕西省草地资源分布特征、生态保护管控需求，开展全省基本草原划定成果数据汇总分析及成果报告编制工作。统筹全省各县级行政单位基本草原划定工作成果，全面收集、核查、梳理各县（区）草原划定矢量数据、台账资料、调查报告、影像资料等全套成果素材。开展县级成果合规性审核、数据纠错、标准化整合、分类汇总工作，搭建统一规范的陕西省基本草原划定成果省级数据库，同时编制省级基本草原划定专项工作成果报告、技术报告，形成完整的省级划定成果体系，为全省草原常态化监管、生态保护修复、国土空间管控提供数据支撑。</w:t>
      </w:r>
      <w:r>
        <w:rPr>
          <w:rFonts w:hint="eastAsia" w:asciiTheme="minorEastAsia" w:hAnsiTheme="minorEastAsia" w:eastAsiaTheme="minorEastAsia" w:cstheme="minorEastAsia"/>
          <w:b w:val="0"/>
          <w:bCs w:val="0"/>
          <w:color w:val="auto"/>
          <w:kern w:val="2"/>
          <w:sz w:val="24"/>
          <w:szCs w:val="24"/>
          <w:highlight w:val="none"/>
          <w:lang w:val="en-US" w:eastAsia="zh-CN" w:bidi="ar-SA"/>
        </w:rPr>
        <w:t xml:space="preserve"> </w:t>
      </w:r>
    </w:p>
    <w:p w14:paraId="60038B8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textAlignment w:val="auto"/>
        <w:outlineLvl w:val="0"/>
        <w:rPr>
          <w:rFonts w:hint="default"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四、成果技术规格要求</w:t>
      </w:r>
    </w:p>
    <w:p w14:paraId="7B35DC14">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1.成果核查整合，对各县级划定成果进行全面审核，核查草原边界、面积、权属、分类属性等核心数据的准确性、完整性、合规性，修正错漏数据，统一全省数据分类标准、坐标体系、字段规范，实现市县成果无缝衔接、全域统筹。</w:t>
      </w:r>
    </w:p>
    <w:p w14:paraId="21196372">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2.数据库建设要求，搭建省级基本草原划定成果专属数据库，包含空间矢量数据、属性台账数据、文档资料、影像素材等，数据字段完整、分类清晰、检索便捷，兼容自然资源、林草系统通用数据格式，支持数据查询、统计、更新、导出、叠加分析等功能。</w:t>
      </w:r>
    </w:p>
    <w:p w14:paraId="3EC2BFAE">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 xml:space="preserve">3.报告编制要求，省级成果报告需全面总结全省基本草原划定工作开展情况、划定范围、资源现状、成果特点、存在问题及应用建议，数据详实、逻辑清晰、内容全面，贴合省级工作统筹管理需求。 </w:t>
      </w:r>
    </w:p>
    <w:p w14:paraId="3FACB09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textAlignment w:val="auto"/>
        <w:outlineLvl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 xml:space="preserve">五、服务要求： </w:t>
      </w:r>
    </w:p>
    <w:p w14:paraId="6014E65A">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1.服务团队要求：需配备专业技术服务团队，具备草原资源调查、植物分类、地理信息数据建库、成果编制相关专业能力，全程负责项目数据整理、成果编制、对接答疑等工作。</w:t>
      </w:r>
    </w:p>
    <w:p w14:paraId="2F09B591">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2.进度管控要求：严格按照既定工期完成全部工作，定期提交工作进度台账、阶段性成果，主动配合开展阶段性核查、整改优化工作。</w:t>
      </w:r>
    </w:p>
    <w:p w14:paraId="13DFD298">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3.对接配合要求：全程对接省、市、县各级主管部门，完成县级成果收集、问题答疑、成果校核工作，及时响应采购单位的技术调整、内容优化需求。</w:t>
      </w:r>
    </w:p>
    <w:p w14:paraId="5561BDA6">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 xml:space="preserve">4.成果合规要求：所有成果为原创成果，无版权纠纷、数据抄袭、虚假填报等问题，完全归属采购单位所有，采购单位享有全部使用权、修改权、发布权。 </w:t>
      </w:r>
    </w:p>
    <w:p w14:paraId="3A201167">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textAlignment w:val="auto"/>
        <w:outlineLvl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六、验收要求：</w:t>
      </w:r>
    </w:p>
    <w:p w14:paraId="51276716">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本项目采用阶段性核查+最终综合验收模式，严格按照国家及行业技术标准、采购需求逐项验收，具体要求如下：</w:t>
      </w:r>
    </w:p>
    <w:p w14:paraId="5F2DEDF0">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1.数据库成果验收：省级基本草原划定成果数据库数据完整、精准，坐标统一、格式规范，功能运行正常，所有县级成果全部入库，数据可正常查询、统计、更新、导出，兼容行业通用办公及监管系统。</w:t>
      </w:r>
    </w:p>
    <w:p w14:paraId="79D7291E">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2.报告成果验收：省级成果报告、技术报告内容完整、逻辑严谨、数据真实，全面反映全省基本草原划定工作全貌，符合省级成果报审、存档、公示要求。</w:t>
      </w:r>
    </w:p>
    <w:p w14:paraId="20F901C6">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3.资料完整性验收：供应商需提交全套成果资料，包含成果报告、成果台账，电子版数据库、影像素材、原始数据、工作底稿、技术说明文档等，资料齐全、分类规整、可追溯。</w:t>
      </w:r>
    </w:p>
    <w:p w14:paraId="75027553">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2" w:firstLineChars="200"/>
        <w:textAlignment w:val="auto"/>
        <w:outlineLvl w:val="0"/>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 xml:space="preserve">七、质保售后： </w:t>
      </w:r>
    </w:p>
    <w:p w14:paraId="408CB672">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1.质保服务期限：项目整体质保期不少于3年，自项目最终验收合格之日起计算，质保期内供应商提供免费技术运维、成果优化、数据更新及答疑服务。</w:t>
      </w:r>
    </w:p>
    <w:p w14:paraId="6D34CB7C">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2.数据运维服务：质保期内，针对省级草原数据库出现的系统故障、数据异常、格式兼容问题，供应商需在24小时内响应，48小时内完成修复；配合完成年度数据微调、字段优化、数据更新等工作。</w:t>
      </w:r>
    </w:p>
    <w:p w14:paraId="13978B9A">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3.成果优化服务：针对成果报告、数据库中发现的疏漏、偏差问题，供应商需免费完成修订完善，提供最新修订版本，保障成果的准确性、权威性。</w:t>
      </w:r>
    </w:p>
    <w:p w14:paraId="32A06F5B">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4.长期技术支持：质保期结束后，供应商需持续提供终身技术咨询服务，针对成果后续应用、升级改造、数据拓展等需求，提供优先对接、优惠运维服务。</w:t>
      </w:r>
    </w:p>
    <w:p w14:paraId="2D8626CC">
      <w:pPr>
        <w:pStyle w:val="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b w:val="0"/>
          <w:bCs w:val="0"/>
          <w:color w:val="auto"/>
          <w:kern w:val="2"/>
          <w:sz w:val="24"/>
          <w:szCs w:val="24"/>
          <w:highlight w:val="none"/>
          <w:vertAlign w:val="baseline"/>
          <w:lang w:val="en-US" w:eastAsia="zh-CN" w:bidi="ar-SA"/>
        </w:rPr>
        <w:t>5.权益保障：质保期内，因供应商技术问题、成果缺陷导致的一切损失，由供应商全权承担，确保采购单位合法权益不受损害。</w:t>
      </w:r>
    </w:p>
    <w:bookmarkEnd w:id="17"/>
    <w:bookmarkEnd w:id="18"/>
    <w:p w14:paraId="2BF50C69">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outlineLvl w:val="0"/>
        <w:rPr>
          <w:rFonts w:hint="eastAsia" w:asciiTheme="minorEastAsia" w:hAnsiTheme="minorEastAsia" w:eastAsiaTheme="minorEastAsia" w:cstheme="minorEastAsia"/>
          <w:b w:val="0"/>
          <w:bCs w:val="0"/>
          <w:color w:val="auto"/>
          <w:kern w:val="2"/>
          <w:sz w:val="24"/>
          <w:szCs w:val="24"/>
          <w:highlight w:val="none"/>
          <w:lang w:val="en-US" w:eastAsia="zh-CN" w:bidi="ar-SA"/>
        </w:rPr>
        <w:sectPr>
          <w:headerReference r:id="rId3" w:type="default"/>
          <w:footerReference r:id="rId4" w:type="default"/>
          <w:pgSz w:w="11906" w:h="16838"/>
          <w:pgMar w:top="1418" w:right="1418" w:bottom="1418" w:left="1418" w:header="964" w:footer="964" w:gutter="0"/>
          <w:pgBorders>
            <w:top w:val="none" w:sz="0" w:space="0"/>
            <w:left w:val="none" w:sz="0" w:space="0"/>
            <w:bottom w:val="none" w:sz="0" w:space="0"/>
            <w:right w:val="none" w:sz="0" w:space="0"/>
          </w:pgBorders>
          <w:pgNumType w:fmt="decimal" w:start="1"/>
          <w:cols w:space="720" w:num="1"/>
          <w:docGrid w:linePitch="312" w:charSpace="0"/>
        </w:sectPr>
      </w:pPr>
      <w:r>
        <w:rPr>
          <w:rFonts w:hint="eastAsia" w:asciiTheme="minorEastAsia" w:hAnsiTheme="minorEastAsia" w:eastAsiaTheme="minorEastAsia" w:cstheme="minorEastAsia"/>
          <w:b w:val="0"/>
          <w:bCs w:val="0"/>
          <w:color w:val="auto"/>
          <w:kern w:val="2"/>
          <w:sz w:val="24"/>
          <w:szCs w:val="24"/>
          <w:highlight w:val="none"/>
          <w:lang w:val="en-US" w:eastAsia="zh-CN" w:bidi="ar-SA"/>
        </w:rPr>
        <w:br w:type="page"/>
      </w:r>
    </w:p>
    <w:p w14:paraId="03C54F14">
      <w:pPr>
        <w:pStyle w:val="3"/>
        <w:numPr>
          <w:ilvl w:val="0"/>
          <w:numId w:val="0"/>
        </w:numPr>
        <w:bidi w:val="0"/>
        <w:jc w:val="center"/>
        <w:rPr>
          <w:rFonts w:hint="eastAsia"/>
          <w:color w:val="auto"/>
          <w:highlight w:val="none"/>
          <w:lang w:val="en-US" w:eastAsia="zh-CN"/>
        </w:rPr>
      </w:pPr>
      <w:bookmarkStart w:id="19" w:name="_Toc32384"/>
      <w:r>
        <w:rPr>
          <w:rFonts w:hint="eastAsia"/>
          <w:color w:val="auto"/>
          <w:highlight w:val="none"/>
          <w:lang w:val="en-US" w:eastAsia="zh-CN"/>
        </w:rPr>
        <w:t>第五章  合同主要条款</w:t>
      </w:r>
      <w:bookmarkEnd w:id="19"/>
    </w:p>
    <w:p w14:paraId="53DAFFB2">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bookmarkStart w:id="20" w:name="_Toc31047"/>
      <w:bookmarkStart w:id="21" w:name="_Toc14769"/>
      <w:r>
        <w:rPr>
          <w:rFonts w:hint="eastAsia" w:ascii="宋体" w:hAnsi="宋体" w:eastAsia="宋体" w:cs="宋体"/>
          <w:bCs/>
          <w:color w:val="auto"/>
          <w:kern w:val="2"/>
          <w:sz w:val="24"/>
          <w:szCs w:val="24"/>
          <w:highlight w:val="none"/>
          <w:lang w:val="en-US" w:eastAsia="zh-CN" w:bidi="ar"/>
        </w:rPr>
        <w:t>甲方（采购人）：</w:t>
      </w:r>
    </w:p>
    <w:p w14:paraId="7952D861">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 xml:space="preserve">乙方（成交供应商）： </w:t>
      </w:r>
    </w:p>
    <w:p w14:paraId="59DD44F3">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r>
        <w:rPr>
          <w:rFonts w:hint="eastAsia" w:ascii="宋体" w:hAnsi="宋体" w:cs="宋体"/>
          <w:bCs/>
          <w:color w:val="auto"/>
          <w:kern w:val="2"/>
          <w:sz w:val="24"/>
          <w:szCs w:val="24"/>
          <w:highlight w:val="none"/>
          <w:lang w:val="en-US" w:eastAsia="zh-CN" w:bidi="ar"/>
        </w:rPr>
        <w:t>陕西省基本草原划定省级专项成果技术支撑项目-陕西省草原和湿地省级技术支撑服务项目采购项目</w:t>
      </w:r>
      <w:r>
        <w:rPr>
          <w:rFonts w:hint="eastAsia" w:ascii="宋体" w:hAnsi="宋体" w:eastAsia="宋体" w:cs="宋体"/>
          <w:bCs/>
          <w:color w:val="auto"/>
          <w:kern w:val="2"/>
          <w:sz w:val="24"/>
          <w:szCs w:val="24"/>
          <w:highlight w:val="none"/>
          <w:lang w:val="en-US" w:eastAsia="zh-CN" w:bidi="ar"/>
        </w:rPr>
        <w:t>(项目编号：</w:t>
      </w:r>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)在由陕西中海招标有限公司组织采购</w:t>
      </w:r>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(以下简称“甲方”)确定</w:t>
      </w:r>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（以下简称“乙方”）为成交供应商。</w:t>
      </w:r>
    </w:p>
    <w:p w14:paraId="64AD2A3D">
      <w:pPr>
        <w:keepNext w:val="0"/>
        <w:keepLines w:val="0"/>
        <w:pageBreakBefore w:val="0"/>
        <w:widowControl w:val="0"/>
        <w:suppressLineNumbers w:val="0"/>
        <w:kinsoku/>
        <w:wordWrap/>
        <w:overflowPunct/>
        <w:topLinePunct w:val="0"/>
        <w:autoSpaceDE w:val="0"/>
        <w:autoSpaceDN w:val="0"/>
        <w:bidi w:val="0"/>
        <w:adjustRightIn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依据《</w:t>
      </w:r>
      <w:r>
        <w:rPr>
          <w:rFonts w:hint="eastAsia" w:ascii="宋体" w:hAnsi="宋体" w:eastAsia="宋体" w:cs="宋体"/>
          <w:color w:val="auto"/>
          <w:kern w:val="2"/>
          <w:sz w:val="24"/>
          <w:szCs w:val="24"/>
          <w:highlight w:val="none"/>
          <w:lang w:val="en-US" w:eastAsia="zh-CN" w:bidi="ar"/>
        </w:rPr>
        <w:t>中华人民共和国民法典</w:t>
      </w:r>
      <w:r>
        <w:rPr>
          <w:rFonts w:hint="eastAsia" w:ascii="宋体" w:hAnsi="宋体" w:eastAsia="宋体" w:cs="宋体"/>
          <w:bCs/>
          <w:color w:val="auto"/>
          <w:kern w:val="2"/>
          <w:sz w:val="24"/>
          <w:szCs w:val="24"/>
          <w:highlight w:val="none"/>
          <w:lang w:val="en-US" w:eastAsia="zh-CN" w:bidi="ar"/>
        </w:rPr>
        <w:t>》和《中华人民共和国政府采购法》，经双方协商按下述条款和条件签署本合同。</w:t>
      </w:r>
    </w:p>
    <w:p w14:paraId="171FE0B5">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sz w:val="24"/>
          <w:szCs w:val="24"/>
          <w:highlight w:val="none"/>
          <w:lang w:val="en-US"/>
        </w:rPr>
      </w:pPr>
      <w:bookmarkStart w:id="22" w:name="_Toc26598"/>
      <w:bookmarkEnd w:id="22"/>
      <w:bookmarkStart w:id="23" w:name="_Toc17135"/>
      <w:r>
        <w:rPr>
          <w:rFonts w:hint="eastAsia" w:ascii="宋体" w:hAnsi="宋体" w:eastAsia="宋体" w:cs="宋体"/>
          <w:b/>
          <w:bCs w:val="0"/>
          <w:color w:val="auto"/>
          <w:kern w:val="2"/>
          <w:sz w:val="24"/>
          <w:szCs w:val="24"/>
          <w:highlight w:val="none"/>
          <w:lang w:val="en-US" w:eastAsia="zh-CN" w:bidi="ar"/>
        </w:rPr>
        <w:t>一、合同价款</w:t>
      </w:r>
      <w:bookmarkEnd w:id="23"/>
    </w:p>
    <w:p w14:paraId="3A171762">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bookmarkStart w:id="24" w:name="_Toc22277"/>
      <w:bookmarkEnd w:id="24"/>
      <w:bookmarkStart w:id="25" w:name="_Toc1340"/>
      <w:r>
        <w:rPr>
          <w:rFonts w:hint="eastAsia" w:ascii="宋体" w:hAnsi="宋体" w:eastAsia="宋体" w:cs="宋体"/>
          <w:bCs/>
          <w:color w:val="auto"/>
          <w:kern w:val="2"/>
          <w:sz w:val="24"/>
          <w:szCs w:val="24"/>
          <w:highlight w:val="none"/>
          <w:lang w:val="en-US" w:eastAsia="zh-CN" w:bidi="ar"/>
        </w:rPr>
        <w:t>（一）合同总价款为人民币（大写）</w:t>
      </w:r>
      <w:bookmarkEnd w:id="25"/>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w:t>
      </w:r>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w:t>
      </w:r>
    </w:p>
    <w:p w14:paraId="47C9DAA7">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（二）合同总价包括：包括但不限于完成本次招标所要求的货物、服务至验收合格的其他一切相关费用。</w:t>
      </w:r>
    </w:p>
    <w:p w14:paraId="4C3C028C">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（三）合同总价为固定总价，不受市场价格变化因素的影响。</w:t>
      </w:r>
    </w:p>
    <w:p w14:paraId="41C3401C">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2" w:firstLineChars="20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二、款项结算</w:t>
      </w:r>
    </w:p>
    <w:p w14:paraId="21DC02EC">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eastAsia="宋体" w:cs="宋体"/>
          <w:bCs/>
          <w:color w:val="auto"/>
          <w:kern w:val="2"/>
          <w:sz w:val="24"/>
          <w:szCs w:val="24"/>
          <w:highlight w:val="none"/>
          <w:lang w:val="en-US" w:eastAsia="zh-CN" w:bidi="ar"/>
        </w:rPr>
        <w:t>（一）合同款的支付</w:t>
      </w:r>
      <w:r>
        <w:rPr>
          <w:rFonts w:hint="eastAsia" w:ascii="宋体" w:hAnsi="宋体" w:eastAsia="宋体" w:cs="宋体"/>
          <w:color w:val="auto"/>
          <w:kern w:val="2"/>
          <w:sz w:val="24"/>
          <w:szCs w:val="24"/>
          <w:highlight w:val="none"/>
          <w:lang w:val="en-US" w:eastAsia="zh-CN" w:bidi="ar"/>
        </w:rPr>
        <w:t>：</w:t>
      </w:r>
      <w:r>
        <w:rPr>
          <w:rFonts w:hint="eastAsia" w:ascii="宋体" w:hAnsi="宋体" w:cs="宋体"/>
          <w:color w:val="auto"/>
          <w:sz w:val="24"/>
          <w:szCs w:val="24"/>
          <w:highlight w:val="none"/>
          <w:lang w:val="en-US" w:eastAsia="zh-CN"/>
        </w:rPr>
        <w:t>合同签订之后付合同总价款的40%，项目成果全部提交采购方之后付合同总价款的40%，完成上报并验收合格后，支付余款20%。</w:t>
      </w:r>
    </w:p>
    <w:p w14:paraId="472AF96B">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（二）支付方式：银行转账。</w:t>
      </w:r>
    </w:p>
    <w:p w14:paraId="684FA083">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（三）结算单位：</w:t>
      </w:r>
      <w:r>
        <w:rPr>
          <w:rFonts w:hint="eastAsia" w:ascii="宋体" w:hAnsi="宋体" w:eastAsia="宋体" w:cs="宋体"/>
          <w:color w:val="auto"/>
          <w:sz w:val="24"/>
          <w:szCs w:val="24"/>
          <w:highlight w:val="none"/>
        </w:rPr>
        <w:t>采购人结算，在付款前必须开具增值税发票给采购人</w:t>
      </w:r>
      <w:r>
        <w:rPr>
          <w:rFonts w:hint="eastAsia" w:ascii="宋体" w:hAnsi="宋体" w:eastAsia="宋体" w:cs="宋体"/>
          <w:color w:val="auto"/>
          <w:kern w:val="2"/>
          <w:sz w:val="24"/>
          <w:szCs w:val="24"/>
          <w:highlight w:val="none"/>
          <w:lang w:val="en-US" w:eastAsia="zh-CN" w:bidi="ar"/>
        </w:rPr>
        <w:t>。</w:t>
      </w:r>
    </w:p>
    <w:p w14:paraId="7B65F62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lang w:val="en-US"/>
        </w:rPr>
      </w:pPr>
      <w:bookmarkStart w:id="26" w:name="_Toc19642"/>
      <w:bookmarkEnd w:id="26"/>
      <w:bookmarkStart w:id="27" w:name="_Toc20456"/>
      <w:r>
        <w:rPr>
          <w:rFonts w:hint="eastAsia" w:ascii="宋体" w:hAnsi="宋体" w:eastAsia="宋体" w:cs="宋体"/>
          <w:b/>
          <w:bCs w:val="0"/>
          <w:color w:val="auto"/>
          <w:kern w:val="2"/>
          <w:sz w:val="24"/>
          <w:szCs w:val="24"/>
          <w:highlight w:val="none"/>
          <w:lang w:val="en-US" w:eastAsia="zh-CN" w:bidi="ar"/>
        </w:rPr>
        <w:t>三、</w:t>
      </w:r>
      <w:bookmarkEnd w:id="27"/>
      <w:r>
        <w:rPr>
          <w:rFonts w:hint="eastAsia" w:ascii="宋体" w:hAnsi="宋体" w:eastAsia="宋体" w:cs="宋体"/>
          <w:b/>
          <w:bCs/>
          <w:color w:val="auto"/>
          <w:kern w:val="2"/>
          <w:sz w:val="24"/>
          <w:szCs w:val="24"/>
          <w:highlight w:val="none"/>
          <w:lang w:val="en-US" w:eastAsia="zh-CN" w:bidi="ar"/>
        </w:rPr>
        <w:t>实施地点与服务期：</w:t>
      </w:r>
    </w:p>
    <w:p w14:paraId="17ECD3F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（一）实施地点：甲方指定地点。</w:t>
      </w:r>
    </w:p>
    <w:p w14:paraId="16EBA52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（二）</w:t>
      </w:r>
      <w:r>
        <w:rPr>
          <w:rFonts w:hint="eastAsia" w:ascii="宋体" w:hAnsi="宋体" w:eastAsia="宋体" w:cs="宋体"/>
          <w:bCs/>
          <w:color w:val="auto"/>
          <w:kern w:val="2"/>
          <w:sz w:val="24"/>
          <w:szCs w:val="24"/>
          <w:highlight w:val="none"/>
          <w:lang w:val="en-US" w:eastAsia="zh-CN" w:bidi="ar"/>
        </w:rPr>
        <w:t>服务期：</w:t>
      </w:r>
      <w:r>
        <w:rPr>
          <w:rFonts w:hint="eastAsia" w:ascii="宋体" w:hAnsi="宋体" w:cs="宋体"/>
          <w:color w:val="auto"/>
          <w:sz w:val="24"/>
          <w:szCs w:val="24"/>
          <w:highlight w:val="none"/>
          <w:lang w:val="en-US" w:eastAsia="zh-CN"/>
        </w:rPr>
        <w:t>合同签订后500天。</w:t>
      </w:r>
    </w:p>
    <w:p w14:paraId="6227DA8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lang w:val="en-US"/>
        </w:rPr>
      </w:pPr>
      <w:bookmarkStart w:id="28" w:name="_Toc5951"/>
      <w:bookmarkEnd w:id="28"/>
      <w:bookmarkStart w:id="29" w:name="_Toc13422"/>
      <w:r>
        <w:rPr>
          <w:rFonts w:hint="eastAsia" w:ascii="宋体" w:hAnsi="宋体" w:eastAsia="宋体" w:cs="宋体"/>
          <w:b/>
          <w:bCs/>
          <w:color w:val="auto"/>
          <w:kern w:val="2"/>
          <w:sz w:val="24"/>
          <w:szCs w:val="24"/>
          <w:highlight w:val="none"/>
          <w:lang w:val="en-US" w:eastAsia="zh-CN" w:bidi="ar"/>
        </w:rPr>
        <w:t>四、技术服务</w:t>
      </w:r>
      <w:bookmarkEnd w:id="29"/>
    </w:p>
    <w:p w14:paraId="5D49D494">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168" w:rightChars="-8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（一）技术资料：</w:t>
      </w:r>
    </w:p>
    <w:p w14:paraId="44F5E73D">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168" w:rightChars="-8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1.服务方案。</w:t>
      </w:r>
    </w:p>
    <w:p w14:paraId="39F32507">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168" w:rightChars="-8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2.其它资料。</w:t>
      </w:r>
    </w:p>
    <w:p w14:paraId="3C138AD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168" w:rightChars="-8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（二）服务承诺：响应文件有明确的服务承诺。</w:t>
      </w:r>
      <w:bookmarkStart w:id="30" w:name="_Toc29562"/>
      <w:bookmarkEnd w:id="30"/>
    </w:p>
    <w:p w14:paraId="6925F681">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color w:val="auto"/>
          <w:sz w:val="24"/>
          <w:szCs w:val="24"/>
          <w:highlight w:val="none"/>
          <w:lang w:val="en-US"/>
        </w:rPr>
      </w:pPr>
      <w:bookmarkStart w:id="31" w:name="_Toc9857"/>
      <w:bookmarkEnd w:id="31"/>
      <w:bookmarkStart w:id="32" w:name="_Toc3666"/>
      <w:bookmarkEnd w:id="32"/>
      <w:bookmarkStart w:id="33" w:name="_Toc10713"/>
      <w:bookmarkEnd w:id="33"/>
      <w:bookmarkStart w:id="34" w:name="_Toc26881"/>
      <w:r>
        <w:rPr>
          <w:rFonts w:hint="eastAsia" w:ascii="宋体" w:hAnsi="宋体" w:eastAsia="宋体" w:cs="宋体"/>
          <w:b/>
          <w:bCs/>
          <w:color w:val="auto"/>
          <w:kern w:val="2"/>
          <w:sz w:val="24"/>
          <w:szCs w:val="24"/>
          <w:highlight w:val="none"/>
          <w:lang w:val="en-US" w:eastAsia="zh-CN" w:bidi="ar"/>
        </w:rPr>
        <w:t>五、</w:t>
      </w:r>
      <w:bookmarkEnd w:id="34"/>
      <w:r>
        <w:rPr>
          <w:rFonts w:hint="eastAsia" w:ascii="宋体" w:hAnsi="宋体" w:eastAsia="宋体" w:cs="宋体"/>
          <w:b/>
          <w:bCs w:val="0"/>
          <w:color w:val="auto"/>
          <w:kern w:val="2"/>
          <w:sz w:val="24"/>
          <w:szCs w:val="24"/>
          <w:highlight w:val="none"/>
          <w:lang w:val="en-US" w:eastAsia="zh-CN" w:bidi="ar"/>
        </w:rPr>
        <w:t>质量保证：</w:t>
      </w:r>
    </w:p>
    <w:p w14:paraId="3C9D2401">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供应商提供的产品及服务应全面满足磋商内容的要求，磋商文件未明确要求的内容，供应商须按国家最新发布的规范标准执行或以采购人的补充要求为准，如发生质量问题由供应商承担全部责任。</w:t>
      </w:r>
    </w:p>
    <w:p w14:paraId="510410A5">
      <w:pPr>
        <w:pStyle w:val="4"/>
        <w:pageBreakBefore w:val="0"/>
        <w:numPr>
          <w:ilvl w:val="1"/>
          <w:numId w:val="0"/>
        </w:numPr>
        <w:kinsoku/>
        <w:wordWrap/>
        <w:overflowPunct/>
        <w:topLinePunct w:val="0"/>
        <w:bidi w:val="0"/>
        <w:spacing w:line="360" w:lineRule="auto"/>
        <w:ind w:left="420" w:leftChars="0"/>
        <w:textAlignment w:val="auto"/>
        <w:rPr>
          <w:rFonts w:hint="eastAsia"/>
          <w:color w:val="auto"/>
          <w:sz w:val="24"/>
          <w:szCs w:val="24"/>
          <w:highlight w:val="none"/>
          <w:lang w:val="en-US" w:eastAsia="zh-CN"/>
        </w:rPr>
      </w:pPr>
      <w:r>
        <w:rPr>
          <w:rFonts w:hint="eastAsia"/>
          <w:color w:val="auto"/>
          <w:sz w:val="24"/>
          <w:szCs w:val="24"/>
          <w:highlight w:val="none"/>
          <w:lang w:val="en-US" w:eastAsia="zh-CN"/>
        </w:rPr>
        <w:t>质量验收：</w:t>
      </w:r>
    </w:p>
    <w:p w14:paraId="01B32762">
      <w:pPr>
        <w:pStyle w:val="4"/>
        <w:pageBreakBefore w:val="0"/>
        <w:numPr>
          <w:ilvl w:val="1"/>
          <w:numId w:val="0"/>
        </w:numPr>
        <w:kinsoku/>
        <w:wordWrap/>
        <w:overflowPunct/>
        <w:topLinePunct w:val="0"/>
        <w:bidi w:val="0"/>
        <w:spacing w:line="360" w:lineRule="auto"/>
        <w:ind w:left="420" w:leftChars="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cs="宋体"/>
          <w:color w:val="auto"/>
          <w:kern w:val="2"/>
          <w:sz w:val="24"/>
          <w:szCs w:val="24"/>
          <w:highlight w:val="none"/>
          <w:lang w:val="en-US" w:eastAsia="zh-CN" w:bidi="ar"/>
        </w:rPr>
        <w:t>验收内容为本项目陕西省基本草原划定省级数据库、省级成果报告、技术报告全套成果。</w:t>
      </w:r>
    </w:p>
    <w:p w14:paraId="717F4E79">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六、双方权利及义务</w:t>
      </w:r>
    </w:p>
    <w:p w14:paraId="56E7068E">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1.甲乙双方必须遵守本合同并执行合同中的各项规定，保证本合同的正常履行。</w:t>
      </w:r>
    </w:p>
    <w:p w14:paraId="0308DD7A">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2.本合同签订后甲乙双方不得单方终止合同，如乙方违约，应退还预付款，并赔偿给甲方实际造成的损失；如甲方违约，乙方收取的预付款不予退还。</w:t>
      </w:r>
    </w:p>
    <w:p w14:paraId="72C69252">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3.如因乙方存在以下行为，甲方有权终止合同，依法向乙方进行经济索赔，并报请政府采购监督管理机关进行相应的行政处罚。</w:t>
      </w:r>
    </w:p>
    <w:p w14:paraId="294940DD">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4.甲方违约的，应当赔偿给乙方造成的直接经济损失。</w:t>
      </w:r>
    </w:p>
    <w:p w14:paraId="5616CB33">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5.本合同未经双方同意，任何一方不得以任何形式公开本合同及附件内容，以确保双方的商业机密。</w:t>
      </w:r>
    </w:p>
    <w:p w14:paraId="2F7E3BA3">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6.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78CBA69B">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七、保密</w:t>
      </w:r>
    </w:p>
    <w:p w14:paraId="3169E69F">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双方须对工作中了解到的技术、机密等进行严格保密，未经对方同意不得向他人泄漏。</w:t>
      </w:r>
    </w:p>
    <w:p w14:paraId="006E1131">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八、知识产权</w:t>
      </w:r>
    </w:p>
    <w:p w14:paraId="17AEB8CC">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乙方应保证磋商产品及服务不会出现因第三方提出侵犯其专利权、商标权或其它知识产权而引发法律或经济纠纷，否则由乙方承担全部责任。任何被乙方用于未经授权的商业目的行为所造成的违约或侵权责任由乙方承但。</w:t>
      </w:r>
    </w:p>
    <w:p w14:paraId="48E67042">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3"/>
        <w:jc w:val="both"/>
        <w:textAlignment w:val="auto"/>
        <w:rPr>
          <w:rFonts w:hint="eastAsia" w:ascii="宋体" w:hAnsi="宋体" w:eastAsia="宋体" w:cs="宋体"/>
          <w:b/>
          <w:bCs w:val="0"/>
          <w:color w:val="auto"/>
          <w:sz w:val="24"/>
          <w:szCs w:val="24"/>
          <w:highlight w:val="none"/>
          <w:lang w:val="en-US"/>
        </w:rPr>
      </w:pPr>
      <w:bookmarkStart w:id="35" w:name="_Toc11251"/>
      <w:r>
        <w:rPr>
          <w:rFonts w:hint="eastAsia" w:ascii="宋体" w:hAnsi="宋体" w:eastAsia="宋体" w:cs="宋体"/>
          <w:b/>
          <w:bCs w:val="0"/>
          <w:color w:val="auto"/>
          <w:kern w:val="2"/>
          <w:sz w:val="24"/>
          <w:szCs w:val="24"/>
          <w:highlight w:val="none"/>
          <w:lang w:val="en-US" w:eastAsia="zh-CN" w:bidi="ar"/>
        </w:rPr>
        <w:t>九、合同争议解决的方式</w:t>
      </w:r>
      <w:bookmarkEnd w:id="35"/>
    </w:p>
    <w:p w14:paraId="2162D01E">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本合同在履行过程中发生的争议，由甲、乙双方当事人协商解决，协商不成的按下列</w:t>
      </w:r>
      <w:r>
        <w:rPr>
          <w:rFonts w:hint="eastAsia" w:ascii="宋体" w:hAnsi="宋体" w:eastAsia="宋体" w:cs="宋体"/>
          <w:color w:val="auto"/>
          <w:kern w:val="2"/>
          <w:sz w:val="24"/>
          <w:szCs w:val="24"/>
          <w:highlight w:val="none"/>
          <w:u w:val="none"/>
          <w:lang w:val="en-US" w:eastAsia="zh-CN" w:bidi="ar"/>
        </w:rPr>
        <w:t>第</w:t>
      </w:r>
      <w:r>
        <w:rPr>
          <w:rFonts w:hint="eastAsia" w:ascii="宋体" w:hAnsi="宋体" w:eastAsia="宋体" w:cs="宋体"/>
          <w:color w:val="auto"/>
          <w:kern w:val="2"/>
          <w:sz w:val="24"/>
          <w:szCs w:val="24"/>
          <w:highlight w:val="none"/>
          <w:u w:val="single"/>
          <w:lang w:val="en-US" w:eastAsia="zh-CN" w:bidi="ar"/>
        </w:rPr>
        <w:t>（二）</w:t>
      </w:r>
      <w:r>
        <w:rPr>
          <w:rFonts w:hint="eastAsia" w:ascii="宋体" w:hAnsi="宋体" w:eastAsia="宋体" w:cs="宋体"/>
          <w:color w:val="auto"/>
          <w:kern w:val="2"/>
          <w:sz w:val="24"/>
          <w:szCs w:val="24"/>
          <w:highlight w:val="none"/>
          <w:lang w:val="en-US" w:eastAsia="zh-CN" w:bidi="ar"/>
        </w:rPr>
        <w:t>种方式解决：</w:t>
      </w:r>
    </w:p>
    <w:p w14:paraId="45C88F2D">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（一）提交西安仲裁委员会仲裁；</w:t>
      </w:r>
    </w:p>
    <w:p w14:paraId="2D922E0B">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（二）依法向甲方所在地人民法院起诉。</w:t>
      </w:r>
    </w:p>
    <w:p w14:paraId="423026B2">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十、合同履行</w:t>
      </w:r>
    </w:p>
    <w:p w14:paraId="597545C4">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合同一经签订，双方不得擅自变更、中止或者终止合同。对确需变更、调整或者中止、终止合同的，应按规定履行相应的手续。</w:t>
      </w:r>
    </w:p>
    <w:p w14:paraId="62D19058">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kern w:val="2"/>
          <w:sz w:val="24"/>
          <w:szCs w:val="24"/>
          <w:highlight w:val="none"/>
          <w:lang w:val="en-US" w:eastAsia="zh-CN" w:bidi="ar"/>
        </w:rPr>
        <w:t>十一、违约责任</w:t>
      </w:r>
    </w:p>
    <w:p w14:paraId="5349177A">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（一）按《中华人民共和国政府采购法》、《中华人民共和国民法典》中的相关条款执行。</w:t>
      </w:r>
    </w:p>
    <w:p w14:paraId="658DB591">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（二）未按合同要求提供服务或服务质量不能满足本次采购要求，采购人会同监督机构、采购代理机构有权终止合同和对中标人违约行为进行追究，同时按政府采购法的有关规定进行相应的处罚。</w:t>
      </w:r>
    </w:p>
    <w:p w14:paraId="43FD7550">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b/>
          <w:bCs w:val="0"/>
          <w:color w:val="auto"/>
          <w:sz w:val="24"/>
          <w:szCs w:val="24"/>
          <w:highlight w:val="none"/>
          <w:lang w:val="en-US"/>
        </w:rPr>
      </w:pPr>
      <w:bookmarkStart w:id="36" w:name="_Toc31089"/>
      <w:bookmarkEnd w:id="36"/>
      <w:bookmarkStart w:id="37" w:name="_Toc18561"/>
      <w:r>
        <w:rPr>
          <w:rFonts w:hint="eastAsia" w:ascii="宋体" w:hAnsi="宋体" w:eastAsia="宋体" w:cs="宋体"/>
          <w:b/>
          <w:bCs w:val="0"/>
          <w:color w:val="auto"/>
          <w:kern w:val="2"/>
          <w:sz w:val="24"/>
          <w:szCs w:val="24"/>
          <w:highlight w:val="none"/>
          <w:lang w:val="en-US" w:eastAsia="zh-CN" w:bidi="ar"/>
        </w:rPr>
        <w:t>十二、合同生效</w:t>
      </w:r>
      <w:bookmarkEnd w:id="37"/>
    </w:p>
    <w:p w14:paraId="12FF5559">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（一）本合同须经甲、乙双方的法定代表人（授权代理人）在合同书上签字并加盖本单位公章后正式生效。</w:t>
      </w:r>
    </w:p>
    <w:p w14:paraId="11E45BB7">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（二）合同生效后，甲、乙双方须严格执行本合同条款的规定，全面履行合同，违者按《中华人民共和国民法典》的有关规定承担相应责任。</w:t>
      </w:r>
    </w:p>
    <w:p w14:paraId="42599586">
      <w:pPr>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（三）本合同一式</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份，甲乙双方各执</w:t>
      </w:r>
      <w:r>
        <w:rPr>
          <w:rFonts w:hint="eastAsia" w:ascii="宋体" w:hAnsi="宋体" w:eastAsia="宋体" w:cs="宋体"/>
          <w:color w:val="auto"/>
          <w:kern w:val="2"/>
          <w:sz w:val="24"/>
          <w:szCs w:val="24"/>
          <w:highlight w:val="none"/>
          <w:u w:val="single"/>
          <w:lang w:val="en-US" w:eastAsia="zh-CN" w:bidi="ar"/>
        </w:rPr>
        <w:t xml:space="preserve">    </w:t>
      </w:r>
      <w:r>
        <w:rPr>
          <w:rFonts w:hint="eastAsia" w:ascii="宋体" w:hAnsi="宋体" w:eastAsia="宋体" w:cs="宋体"/>
          <w:color w:val="auto"/>
          <w:kern w:val="2"/>
          <w:sz w:val="24"/>
          <w:szCs w:val="24"/>
          <w:highlight w:val="none"/>
          <w:lang w:val="en-US" w:eastAsia="zh-CN" w:bidi="ar"/>
        </w:rPr>
        <w:t>份。</w:t>
      </w:r>
    </w:p>
    <w:p w14:paraId="4A761ABA">
      <w:pPr>
        <w:keepNext w:val="0"/>
        <w:keepLines w:val="0"/>
        <w:pageBreakBefore w:val="0"/>
        <w:widowControl w:val="0"/>
        <w:suppressLineNumbers w:val="0"/>
        <w:kinsoku/>
        <w:wordWrap/>
        <w:overflowPunct/>
        <w:topLinePunct w:val="0"/>
        <w:bidi w:val="0"/>
        <w:snapToGrid w:val="0"/>
        <w:spacing w:before="0" w:beforeAutospacing="0" w:after="0" w:afterAutospacing="0" w:line="360" w:lineRule="auto"/>
        <w:ind w:left="0" w:right="0" w:firstLine="64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（四）本合同如有未尽事宜，甲、乙双方协商解决。</w:t>
      </w:r>
    </w:p>
    <w:tbl>
      <w:tblPr>
        <w:tblStyle w:val="16"/>
        <w:tblW w:w="9079" w:type="dxa"/>
        <w:tblInd w:w="13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229"/>
        <w:gridCol w:w="4850"/>
      </w:tblGrid>
      <w:tr w14:paraId="04CBA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4229" w:type="dxa"/>
            <w:shd w:val="clear" w:color="auto" w:fill="auto"/>
            <w:vAlign w:val="center"/>
          </w:tcPr>
          <w:p w14:paraId="1395A26E">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甲  方：</w:t>
            </w:r>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（盖章）</w:t>
            </w:r>
          </w:p>
        </w:tc>
        <w:tc>
          <w:tcPr>
            <w:tcW w:w="4850" w:type="dxa"/>
            <w:shd w:val="clear" w:color="auto" w:fill="auto"/>
            <w:vAlign w:val="center"/>
          </w:tcPr>
          <w:p w14:paraId="345186D6">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960" w:firstLineChars="4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乙  方：</w:t>
            </w:r>
            <w:r>
              <w:rPr>
                <w:rFonts w:hint="eastAsia" w:ascii="宋体" w:hAnsi="宋体" w:eastAsia="宋体" w:cs="宋体"/>
                <w:bCs/>
                <w:color w:val="auto"/>
                <w:kern w:val="2"/>
                <w:sz w:val="24"/>
                <w:szCs w:val="24"/>
                <w:highlight w:val="none"/>
                <w:u w:val="single"/>
                <w:lang w:val="en-US" w:eastAsia="zh-CN" w:bidi="ar"/>
              </w:rPr>
              <w:t xml:space="preserve">           </w:t>
            </w:r>
            <w:r>
              <w:rPr>
                <w:rFonts w:hint="eastAsia" w:ascii="宋体" w:hAnsi="宋体" w:eastAsia="宋体" w:cs="宋体"/>
                <w:bCs/>
                <w:color w:val="auto"/>
                <w:kern w:val="2"/>
                <w:sz w:val="24"/>
                <w:szCs w:val="24"/>
                <w:highlight w:val="none"/>
                <w:lang w:val="en-US" w:eastAsia="zh-CN" w:bidi="ar"/>
              </w:rPr>
              <w:t>（盖章）</w:t>
            </w:r>
          </w:p>
        </w:tc>
      </w:tr>
      <w:tr w14:paraId="3F636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4229" w:type="dxa"/>
            <w:shd w:val="clear" w:color="auto" w:fill="auto"/>
            <w:vAlign w:val="center"/>
          </w:tcPr>
          <w:p w14:paraId="4DF356A9">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 xml:space="preserve">地址： </w:t>
            </w:r>
          </w:p>
        </w:tc>
        <w:tc>
          <w:tcPr>
            <w:tcW w:w="4850" w:type="dxa"/>
            <w:shd w:val="clear" w:color="auto" w:fill="auto"/>
            <w:vAlign w:val="center"/>
          </w:tcPr>
          <w:p w14:paraId="5BB3A252">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960" w:firstLineChars="400"/>
              <w:jc w:val="both"/>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地址：</w:t>
            </w:r>
          </w:p>
        </w:tc>
      </w:tr>
      <w:tr w14:paraId="2BA1F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4229" w:type="dxa"/>
            <w:shd w:val="clear" w:color="auto" w:fill="auto"/>
            <w:vAlign w:val="center"/>
          </w:tcPr>
          <w:p w14:paraId="7F7F3004">
            <w:pPr>
              <w:keepNext w:val="0"/>
              <w:keepLines w:val="0"/>
              <w:widowControl w:val="0"/>
              <w:suppressLineNumbers w:val="0"/>
              <w:spacing w:before="0" w:beforeAutospacing="0" w:after="0" w:afterAutospacing="0" w:line="520" w:lineRule="exact"/>
              <w:ind w:left="0" w:right="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邮编：</w:t>
            </w:r>
          </w:p>
        </w:tc>
        <w:tc>
          <w:tcPr>
            <w:tcW w:w="4850" w:type="dxa"/>
            <w:shd w:val="clear" w:color="auto" w:fill="auto"/>
            <w:vAlign w:val="center"/>
          </w:tcPr>
          <w:p w14:paraId="013C6ADE">
            <w:pPr>
              <w:keepNext w:val="0"/>
              <w:keepLines w:val="0"/>
              <w:widowControl w:val="0"/>
              <w:suppressLineNumbers w:val="0"/>
              <w:spacing w:before="0" w:beforeAutospacing="0" w:after="0" w:afterAutospacing="0" w:line="520" w:lineRule="exact"/>
              <w:ind w:left="0" w:right="0" w:firstLine="960" w:firstLineChars="40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邮编：</w:t>
            </w:r>
          </w:p>
        </w:tc>
      </w:tr>
      <w:tr w14:paraId="5CE6F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4229" w:type="dxa"/>
            <w:shd w:val="clear" w:color="auto" w:fill="auto"/>
            <w:vAlign w:val="center"/>
          </w:tcPr>
          <w:p w14:paraId="65B69C90">
            <w:pPr>
              <w:keepNext w:val="0"/>
              <w:keepLines w:val="0"/>
              <w:widowControl w:val="0"/>
              <w:suppressLineNumbers w:val="0"/>
              <w:spacing w:before="0" w:beforeAutospacing="0" w:after="0" w:afterAutospacing="0" w:line="520" w:lineRule="exact"/>
              <w:ind w:left="0" w:right="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 xml:space="preserve">法人（授权代表）： </w:t>
            </w:r>
          </w:p>
        </w:tc>
        <w:tc>
          <w:tcPr>
            <w:tcW w:w="4850" w:type="dxa"/>
            <w:shd w:val="clear" w:color="auto" w:fill="auto"/>
            <w:vAlign w:val="center"/>
          </w:tcPr>
          <w:p w14:paraId="05542B6A">
            <w:pPr>
              <w:keepNext w:val="0"/>
              <w:keepLines w:val="0"/>
              <w:widowControl w:val="0"/>
              <w:suppressLineNumbers w:val="0"/>
              <w:spacing w:before="0" w:beforeAutospacing="0" w:after="0" w:afterAutospacing="0" w:line="520" w:lineRule="exact"/>
              <w:ind w:left="0" w:right="0" w:firstLine="960" w:firstLineChars="40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法人（授权代表）：</w:t>
            </w:r>
          </w:p>
        </w:tc>
      </w:tr>
      <w:tr w14:paraId="140D3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7" w:hRule="atLeast"/>
        </w:trPr>
        <w:tc>
          <w:tcPr>
            <w:tcW w:w="4229" w:type="dxa"/>
            <w:shd w:val="clear" w:color="auto" w:fill="auto"/>
            <w:vAlign w:val="center"/>
          </w:tcPr>
          <w:p w14:paraId="58E50A4B">
            <w:pPr>
              <w:keepNext w:val="0"/>
              <w:keepLines w:val="0"/>
              <w:widowControl w:val="0"/>
              <w:suppressLineNumbers w:val="0"/>
              <w:spacing w:before="0" w:beforeAutospacing="0" w:after="0" w:afterAutospacing="0" w:line="520" w:lineRule="exact"/>
              <w:ind w:left="0" w:right="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日期：</w:t>
            </w:r>
          </w:p>
        </w:tc>
        <w:tc>
          <w:tcPr>
            <w:tcW w:w="4850" w:type="dxa"/>
            <w:shd w:val="clear" w:color="auto" w:fill="auto"/>
            <w:vAlign w:val="center"/>
          </w:tcPr>
          <w:p w14:paraId="0E478801">
            <w:pPr>
              <w:keepNext w:val="0"/>
              <w:keepLines w:val="0"/>
              <w:widowControl w:val="0"/>
              <w:suppressLineNumbers w:val="0"/>
              <w:spacing w:before="0" w:beforeAutospacing="0" w:after="0" w:afterAutospacing="0" w:line="520" w:lineRule="exact"/>
              <w:ind w:left="0" w:right="0" w:firstLine="960" w:firstLineChars="40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日期：</w:t>
            </w:r>
          </w:p>
        </w:tc>
      </w:tr>
    </w:tbl>
    <w:p w14:paraId="461833DE">
      <w:pPr>
        <w:pStyle w:val="29"/>
        <w:widowControl/>
        <w:ind w:left="0" w:firstLine="482"/>
        <w:rPr>
          <w:rFonts w:hint="eastAsia" w:ascii="宋体" w:hAnsi="宋体" w:eastAsia="宋体" w:cs="宋体"/>
          <w:b/>
          <w:bCs/>
          <w:color w:val="auto"/>
          <w:kern w:val="2"/>
          <w:sz w:val="24"/>
          <w:szCs w:val="24"/>
          <w:highlight w:val="none"/>
          <w:lang w:val="en-US"/>
        </w:rPr>
      </w:pPr>
      <w:r>
        <w:rPr>
          <w:rFonts w:hint="eastAsia" w:ascii="宋体" w:hAnsi="宋体" w:eastAsia="宋体" w:cs="宋体"/>
          <w:b/>
          <w:bCs w:val="0"/>
          <w:color w:val="auto"/>
          <w:sz w:val="24"/>
          <w:szCs w:val="24"/>
          <w:highlight w:val="none"/>
          <w:lang w:eastAsia="zh-CN"/>
        </w:rPr>
        <w:t>注：本合同仅供参考，具体内容由甲乙双方协商而定。</w:t>
      </w:r>
    </w:p>
    <w:p w14:paraId="0D495809">
      <w:pPr>
        <w:pageBreakBefore w:val="0"/>
        <w:kinsoku/>
        <w:wordWrap/>
        <w:overflowPunct/>
        <w:topLinePunct w:val="0"/>
        <w:autoSpaceDE/>
        <w:autoSpaceDN/>
        <w:bidi w:val="0"/>
        <w:spacing w:line="360" w:lineRule="auto"/>
        <w:jc w:val="center"/>
        <w:outlineLvl w:val="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br w:type="page"/>
      </w:r>
      <w:bookmarkEnd w:id="20"/>
      <w:bookmarkEnd w:id="21"/>
    </w:p>
    <w:p w14:paraId="445246A8">
      <w:pPr>
        <w:pageBreakBefore w:val="0"/>
        <w:kinsoku/>
        <w:wordWrap/>
        <w:overflowPunct/>
        <w:topLinePunct w:val="0"/>
        <w:autoSpaceDE/>
        <w:autoSpaceDN/>
        <w:bidi w:val="0"/>
        <w:spacing w:line="360" w:lineRule="auto"/>
        <w:jc w:val="center"/>
        <w:outlineLvl w:val="0"/>
        <w:rPr>
          <w:rFonts w:hint="eastAsia" w:ascii="Times New Roman" w:hAnsi="Times New Roman" w:cs="Times New Roman"/>
          <w:b/>
          <w:bCs/>
          <w:color w:val="auto"/>
          <w:spacing w:val="0"/>
          <w:kern w:val="44"/>
          <w:sz w:val="32"/>
          <w:szCs w:val="32"/>
          <w:highlight w:val="none"/>
          <w:lang w:val="en-US" w:eastAsia="zh-CN" w:bidi="ar-SA"/>
        </w:rPr>
      </w:pPr>
      <w:bookmarkStart w:id="38" w:name="_Toc6654"/>
      <w:r>
        <w:rPr>
          <w:rFonts w:hint="eastAsia" w:ascii="Times New Roman" w:hAnsi="Times New Roman" w:cs="Times New Roman"/>
          <w:b/>
          <w:bCs/>
          <w:color w:val="auto"/>
          <w:spacing w:val="0"/>
          <w:kern w:val="44"/>
          <w:sz w:val="32"/>
          <w:szCs w:val="32"/>
          <w:highlight w:val="none"/>
          <w:lang w:val="en-US" w:eastAsia="zh-CN" w:bidi="ar-SA"/>
        </w:rPr>
        <w:t>第</w:t>
      </w:r>
      <w:r>
        <w:rPr>
          <w:rFonts w:hint="eastAsia" w:cs="Times New Roman"/>
          <w:b/>
          <w:bCs/>
          <w:color w:val="auto"/>
          <w:spacing w:val="0"/>
          <w:kern w:val="44"/>
          <w:sz w:val="32"/>
          <w:szCs w:val="32"/>
          <w:highlight w:val="none"/>
          <w:lang w:val="en-US" w:eastAsia="zh-CN" w:bidi="ar-SA"/>
        </w:rPr>
        <w:t>六</w:t>
      </w:r>
      <w:r>
        <w:rPr>
          <w:rFonts w:hint="eastAsia" w:ascii="Times New Roman" w:hAnsi="Times New Roman" w:cs="Times New Roman"/>
          <w:b/>
          <w:bCs/>
          <w:color w:val="auto"/>
          <w:spacing w:val="0"/>
          <w:kern w:val="44"/>
          <w:sz w:val="32"/>
          <w:szCs w:val="32"/>
          <w:highlight w:val="none"/>
          <w:lang w:val="en-US" w:eastAsia="zh-CN" w:bidi="ar-SA"/>
        </w:rPr>
        <w:t>章</w:t>
      </w:r>
      <w:r>
        <w:rPr>
          <w:rFonts w:hint="eastAsia" w:cs="Times New Roman"/>
          <w:b/>
          <w:bCs/>
          <w:color w:val="auto"/>
          <w:spacing w:val="0"/>
          <w:kern w:val="44"/>
          <w:sz w:val="32"/>
          <w:szCs w:val="32"/>
          <w:highlight w:val="none"/>
          <w:lang w:val="en-US" w:eastAsia="zh-CN" w:bidi="ar-SA"/>
        </w:rPr>
        <w:t xml:space="preserve">  </w:t>
      </w:r>
      <w:r>
        <w:rPr>
          <w:rFonts w:hint="eastAsia" w:ascii="Times New Roman" w:hAnsi="Times New Roman" w:cs="Times New Roman"/>
          <w:b/>
          <w:bCs/>
          <w:color w:val="auto"/>
          <w:spacing w:val="0"/>
          <w:kern w:val="44"/>
          <w:sz w:val="32"/>
          <w:szCs w:val="32"/>
          <w:highlight w:val="none"/>
          <w:lang w:val="en-US" w:eastAsia="zh-CN" w:bidi="ar-SA"/>
        </w:rPr>
        <w:t>磋商响应文件格式</w:t>
      </w:r>
      <w:bookmarkEnd w:id="38"/>
    </w:p>
    <w:p w14:paraId="729A4D00">
      <w:pPr>
        <w:pageBreakBefore w:val="0"/>
        <w:kinsoku/>
        <w:wordWrap/>
        <w:overflowPunct/>
        <w:topLinePunct w:val="0"/>
        <w:autoSpaceDE/>
        <w:autoSpaceDN/>
        <w:bidi w:val="0"/>
        <w:spacing w:line="360" w:lineRule="auto"/>
        <w:jc w:val="right"/>
        <w:outlineLvl w:val="9"/>
        <w:rPr>
          <w:rFonts w:hint="default" w:ascii="宋体" w:hAnsi="宋体" w:eastAsia="宋体" w:cs="宋体"/>
          <w:b/>
          <w:bCs/>
          <w:color w:val="auto"/>
          <w:spacing w:val="0"/>
          <w:kern w:val="44"/>
          <w:sz w:val="28"/>
          <w:szCs w:val="28"/>
          <w:highlight w:val="none"/>
          <w:lang w:val="en-US" w:eastAsia="zh-CN" w:bidi="ar-SA"/>
        </w:rPr>
      </w:pPr>
      <w:bookmarkStart w:id="39" w:name="_Toc29147"/>
      <w:r>
        <w:rPr>
          <w:rFonts w:hint="eastAsia" w:ascii="宋体" w:hAnsi="宋体" w:cs="宋体"/>
          <w:b/>
          <w:bCs/>
          <w:color w:val="auto"/>
          <w:spacing w:val="0"/>
          <w:kern w:val="44"/>
          <w:sz w:val="28"/>
          <w:szCs w:val="28"/>
          <w:highlight w:val="none"/>
          <w:lang w:val="en-US" w:eastAsia="zh-CN" w:bidi="ar-SA"/>
        </w:rPr>
        <w:t>正本/副本</w:t>
      </w:r>
    </w:p>
    <w:p w14:paraId="2FD5AD77">
      <w:pPr>
        <w:pageBreakBefore w:val="0"/>
        <w:kinsoku/>
        <w:wordWrap/>
        <w:overflowPunct/>
        <w:topLinePunct w:val="0"/>
        <w:autoSpaceDE/>
        <w:autoSpaceDN/>
        <w:bidi w:val="0"/>
        <w:spacing w:line="360" w:lineRule="auto"/>
        <w:outlineLvl w:val="9"/>
        <w:rPr>
          <w:rFonts w:hint="eastAsia" w:ascii="宋体" w:hAnsi="宋体" w:cs="宋体"/>
          <w:b/>
          <w:bCs/>
          <w:color w:val="auto"/>
          <w:spacing w:val="0"/>
          <w:sz w:val="44"/>
          <w:szCs w:val="44"/>
          <w:highlight w:val="none"/>
          <w:lang w:eastAsia="zh-CN"/>
        </w:rPr>
      </w:pPr>
      <w:r>
        <w:rPr>
          <w:rFonts w:hint="eastAsia" w:ascii="宋体" w:hAnsi="宋体" w:eastAsia="宋体" w:cs="宋体"/>
          <w:b/>
          <w:bCs/>
          <w:color w:val="auto"/>
          <w:spacing w:val="0"/>
          <w:kern w:val="44"/>
          <w:sz w:val="28"/>
          <w:szCs w:val="28"/>
          <w:highlight w:val="none"/>
          <w:lang w:val="en-US" w:eastAsia="zh-CN" w:bidi="ar-SA"/>
        </w:rPr>
        <w:t>项目编号：</w:t>
      </w:r>
      <w:bookmarkEnd w:id="39"/>
      <w:r>
        <w:rPr>
          <w:rFonts w:hint="eastAsia" w:ascii="宋体" w:hAnsi="宋体" w:cs="宋体"/>
          <w:b/>
          <w:bCs/>
          <w:color w:val="auto"/>
          <w:spacing w:val="0"/>
          <w:kern w:val="44"/>
          <w:sz w:val="28"/>
          <w:szCs w:val="28"/>
          <w:highlight w:val="none"/>
          <w:lang w:val="en-US" w:eastAsia="zh-CN" w:bidi="ar-SA"/>
        </w:rPr>
        <w:t>ZH2026-0611</w:t>
      </w:r>
    </w:p>
    <w:p w14:paraId="4DBD93B3">
      <w:pPr>
        <w:pageBreakBefore w:val="0"/>
        <w:kinsoku/>
        <w:wordWrap/>
        <w:overflowPunct/>
        <w:topLinePunct w:val="0"/>
        <w:autoSpaceDE/>
        <w:autoSpaceDN/>
        <w:bidi w:val="0"/>
        <w:spacing w:line="360" w:lineRule="auto"/>
        <w:jc w:val="center"/>
        <w:rPr>
          <w:rFonts w:hint="eastAsia" w:ascii="宋体" w:hAnsi="宋体" w:cs="宋体"/>
          <w:b/>
          <w:bCs/>
          <w:color w:val="auto"/>
          <w:spacing w:val="0"/>
          <w:sz w:val="44"/>
          <w:szCs w:val="44"/>
          <w:highlight w:val="none"/>
          <w:lang w:eastAsia="zh-CN"/>
        </w:rPr>
      </w:pPr>
    </w:p>
    <w:p w14:paraId="5F4E6293">
      <w:pPr>
        <w:pStyle w:val="12"/>
        <w:pageBreakBefore w:val="0"/>
        <w:kinsoku/>
        <w:wordWrap/>
        <w:overflowPunct/>
        <w:topLinePunct w:val="0"/>
        <w:autoSpaceDE/>
        <w:autoSpaceDN/>
        <w:bidi w:val="0"/>
        <w:spacing w:line="360" w:lineRule="auto"/>
        <w:jc w:val="center"/>
        <w:rPr>
          <w:rFonts w:hint="eastAsia" w:ascii="宋体" w:hAnsi="宋体" w:eastAsia="宋体" w:cs="宋体"/>
          <w:b/>
          <w:bCs/>
          <w:color w:val="auto"/>
          <w:spacing w:val="0"/>
          <w:kern w:val="44"/>
          <w:sz w:val="28"/>
          <w:szCs w:val="28"/>
          <w:highlight w:val="none"/>
          <w:lang w:val="en-US" w:eastAsia="zh-CN" w:bidi="ar-SA"/>
        </w:rPr>
      </w:pPr>
      <w:r>
        <w:rPr>
          <w:rFonts w:hint="eastAsia" w:ascii="宋体" w:hAnsi="宋体" w:eastAsia="宋体" w:cs="宋体"/>
          <w:b/>
          <w:bCs/>
          <w:color w:val="auto"/>
          <w:spacing w:val="0"/>
          <w:kern w:val="44"/>
          <w:sz w:val="28"/>
          <w:szCs w:val="28"/>
          <w:highlight w:val="none"/>
          <w:lang w:val="en-US" w:eastAsia="zh-CN" w:bidi="ar-SA"/>
        </w:rPr>
        <w:t>陕西省基本草原划定省级专项成果技术支撑项目-陕西省草原和湿地省级技术支撑服务项目采购项目</w:t>
      </w:r>
    </w:p>
    <w:p w14:paraId="04BD8C4D">
      <w:pPr>
        <w:pStyle w:val="12"/>
        <w:pageBreakBefore w:val="0"/>
        <w:kinsoku/>
        <w:wordWrap/>
        <w:overflowPunct/>
        <w:topLinePunct w:val="0"/>
        <w:autoSpaceDE/>
        <w:autoSpaceDN/>
        <w:bidi w:val="0"/>
        <w:spacing w:line="360" w:lineRule="auto"/>
        <w:jc w:val="both"/>
        <w:rPr>
          <w:rFonts w:hint="eastAsia" w:ascii="宋体" w:hAnsi="宋体" w:eastAsia="宋体" w:cs="宋体"/>
          <w:b/>
          <w:bCs/>
          <w:color w:val="auto"/>
          <w:spacing w:val="0"/>
          <w:kern w:val="44"/>
          <w:sz w:val="28"/>
          <w:szCs w:val="28"/>
          <w:highlight w:val="none"/>
          <w:lang w:val="en-US" w:eastAsia="zh-CN" w:bidi="ar-SA"/>
        </w:rPr>
      </w:pPr>
    </w:p>
    <w:p w14:paraId="2A0DCA80">
      <w:pPr>
        <w:pStyle w:val="12"/>
        <w:pageBreakBefore w:val="0"/>
        <w:kinsoku/>
        <w:wordWrap/>
        <w:overflowPunct/>
        <w:topLinePunct w:val="0"/>
        <w:autoSpaceDE/>
        <w:autoSpaceDN/>
        <w:bidi w:val="0"/>
        <w:spacing w:line="360" w:lineRule="auto"/>
        <w:jc w:val="center"/>
        <w:rPr>
          <w:rFonts w:hint="eastAsia" w:ascii="宋体" w:hAnsi="宋体" w:cs="宋体"/>
          <w:b/>
          <w:bCs/>
          <w:color w:val="auto"/>
          <w:spacing w:val="0"/>
          <w:sz w:val="44"/>
          <w:szCs w:val="44"/>
          <w:highlight w:val="none"/>
          <w:lang w:val="en-US" w:eastAsia="zh-CN"/>
        </w:rPr>
      </w:pPr>
      <w:r>
        <w:rPr>
          <w:rFonts w:hint="eastAsia" w:ascii="宋体" w:hAnsi="宋体" w:cs="宋体"/>
          <w:b/>
          <w:bCs/>
          <w:color w:val="auto"/>
          <w:spacing w:val="0"/>
          <w:sz w:val="44"/>
          <w:szCs w:val="44"/>
          <w:highlight w:val="none"/>
          <w:lang w:val="en-US" w:eastAsia="zh-CN"/>
        </w:rPr>
        <w:t>磋商响应文件</w:t>
      </w:r>
    </w:p>
    <w:p w14:paraId="422631C2">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6CAC089B">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5148DBE7">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5DFCDDBF">
      <w:pPr>
        <w:pStyle w:val="12"/>
        <w:pageBreakBefore w:val="0"/>
        <w:kinsoku/>
        <w:wordWrap/>
        <w:overflowPunct/>
        <w:topLinePunct w:val="0"/>
        <w:autoSpaceDE/>
        <w:autoSpaceDN/>
        <w:bidi w:val="0"/>
        <w:spacing w:line="360" w:lineRule="auto"/>
        <w:jc w:val="both"/>
        <w:rPr>
          <w:rFonts w:hint="eastAsia" w:ascii="宋体" w:hAnsi="宋体" w:cs="宋体"/>
          <w:b/>
          <w:bCs/>
          <w:color w:val="auto"/>
          <w:spacing w:val="0"/>
          <w:sz w:val="44"/>
          <w:szCs w:val="44"/>
          <w:highlight w:val="none"/>
          <w:lang w:val="en-US" w:eastAsia="zh-CN"/>
        </w:rPr>
      </w:pPr>
    </w:p>
    <w:p w14:paraId="733B9BA5">
      <w:pPr>
        <w:pStyle w:val="12"/>
        <w:pageBreakBefore w:val="0"/>
        <w:kinsoku/>
        <w:wordWrap/>
        <w:overflowPunct/>
        <w:topLinePunct w:val="0"/>
        <w:autoSpaceDE/>
        <w:autoSpaceDN/>
        <w:bidi w:val="0"/>
        <w:spacing w:line="360" w:lineRule="auto"/>
        <w:ind w:firstLine="1687" w:firstLineChars="600"/>
        <w:jc w:val="left"/>
        <w:outlineLvl w:val="9"/>
        <w:rPr>
          <w:rFonts w:hint="eastAsia" w:ascii="宋体" w:hAnsi="宋体" w:cs="宋体"/>
          <w:b/>
          <w:bCs/>
          <w:color w:val="auto"/>
          <w:spacing w:val="0"/>
          <w:sz w:val="28"/>
          <w:szCs w:val="28"/>
          <w:highlight w:val="none"/>
          <w:lang w:val="en-US" w:eastAsia="zh-CN"/>
        </w:rPr>
      </w:pPr>
      <w:bookmarkStart w:id="40" w:name="_Toc32599"/>
      <w:r>
        <w:rPr>
          <w:rFonts w:hint="eastAsia" w:ascii="宋体" w:hAnsi="宋体" w:cs="宋体"/>
          <w:b/>
          <w:bCs/>
          <w:color w:val="auto"/>
          <w:spacing w:val="0"/>
          <w:sz w:val="28"/>
          <w:szCs w:val="28"/>
          <w:highlight w:val="none"/>
          <w:lang w:val="en-US" w:eastAsia="zh-CN"/>
        </w:rPr>
        <w:t>供应商（单位名称加盖公章）：</w:t>
      </w:r>
      <w:bookmarkEnd w:id="40"/>
    </w:p>
    <w:p w14:paraId="073B9F79">
      <w:pPr>
        <w:pStyle w:val="12"/>
        <w:pageBreakBefore w:val="0"/>
        <w:kinsoku/>
        <w:wordWrap/>
        <w:overflowPunct/>
        <w:topLinePunct w:val="0"/>
        <w:autoSpaceDE/>
        <w:autoSpaceDN/>
        <w:bidi w:val="0"/>
        <w:spacing w:line="360" w:lineRule="auto"/>
        <w:ind w:firstLine="1687" w:firstLineChars="600"/>
        <w:jc w:val="left"/>
        <w:outlineLvl w:val="9"/>
        <w:rPr>
          <w:rFonts w:hint="eastAsia" w:ascii="宋体" w:hAnsi="宋体" w:cs="宋体"/>
          <w:b/>
          <w:bCs/>
          <w:color w:val="auto"/>
          <w:spacing w:val="0"/>
          <w:sz w:val="28"/>
          <w:szCs w:val="28"/>
          <w:highlight w:val="none"/>
          <w:lang w:val="en-US" w:eastAsia="zh-CN"/>
        </w:rPr>
      </w:pPr>
      <w:r>
        <w:rPr>
          <w:rFonts w:hint="eastAsia" w:ascii="宋体" w:hAnsi="宋体" w:cs="宋体"/>
          <w:b/>
          <w:bCs/>
          <w:color w:val="auto"/>
          <w:spacing w:val="0"/>
          <w:sz w:val="28"/>
          <w:szCs w:val="28"/>
          <w:highlight w:val="none"/>
          <w:lang w:val="en-US" w:eastAsia="zh-CN"/>
        </w:rPr>
        <w:t>法定代表人或授权代表（签名或盖章）：</w:t>
      </w:r>
    </w:p>
    <w:p w14:paraId="044F426F">
      <w:pPr>
        <w:pStyle w:val="12"/>
        <w:pageBreakBefore w:val="0"/>
        <w:kinsoku/>
        <w:wordWrap/>
        <w:overflowPunct/>
        <w:topLinePunct w:val="0"/>
        <w:autoSpaceDE/>
        <w:autoSpaceDN/>
        <w:bidi w:val="0"/>
        <w:spacing w:line="360" w:lineRule="auto"/>
        <w:ind w:firstLine="1687" w:firstLineChars="600"/>
        <w:jc w:val="left"/>
        <w:outlineLvl w:val="9"/>
        <w:rPr>
          <w:rFonts w:hint="default" w:ascii="宋体" w:hAnsi="宋体" w:cs="宋体"/>
          <w:b/>
          <w:bCs/>
          <w:color w:val="auto"/>
          <w:spacing w:val="0"/>
          <w:sz w:val="28"/>
          <w:szCs w:val="28"/>
          <w:highlight w:val="none"/>
          <w:lang w:val="en-US" w:eastAsia="zh-CN"/>
        </w:rPr>
      </w:pPr>
      <w:bookmarkStart w:id="41" w:name="_Toc12214"/>
      <w:r>
        <w:rPr>
          <w:rFonts w:hint="eastAsia" w:ascii="宋体" w:hAnsi="宋体" w:cs="宋体"/>
          <w:b/>
          <w:bCs/>
          <w:color w:val="auto"/>
          <w:spacing w:val="0"/>
          <w:sz w:val="28"/>
          <w:szCs w:val="28"/>
          <w:highlight w:val="none"/>
          <w:lang w:val="en-US" w:eastAsia="zh-CN"/>
        </w:rPr>
        <w:t>日期：   年   月   日</w:t>
      </w:r>
      <w:bookmarkEnd w:id="41"/>
    </w:p>
    <w:p w14:paraId="618A0192">
      <w:pPr>
        <w:shd w:val="clear"/>
        <w:spacing w:before="98" w:line="220" w:lineRule="auto"/>
        <w:ind w:firstLine="420" w:firstLineChars="200"/>
        <w:jc w:val="center"/>
        <w:outlineLvl w:val="3"/>
        <w:rPr>
          <w:rFonts w:hint="eastAsia" w:ascii="宋体" w:hAnsi="宋体" w:eastAsia="宋体" w:cs="宋体"/>
          <w:color w:val="auto"/>
          <w:spacing w:val="-13"/>
          <w:sz w:val="28"/>
          <w:szCs w:val="28"/>
          <w:highlight w:val="none"/>
          <w:lang w:val="en-US" w:eastAsia="zh-CN"/>
        </w:rPr>
      </w:pPr>
      <w:r>
        <w:rPr>
          <w:rFonts w:hint="eastAsia"/>
          <w:color w:val="auto"/>
          <w:spacing w:val="0"/>
          <w:highlight w:val="none"/>
          <w:lang w:val="en-US" w:eastAsia="zh-CN"/>
        </w:rPr>
        <w:br w:type="page"/>
      </w:r>
      <w:r>
        <w:rPr>
          <w:rFonts w:hint="eastAsia" w:ascii="宋体" w:hAnsi="宋体" w:eastAsia="宋体" w:cs="宋体"/>
          <w:b/>
          <w:bCs/>
          <w:color w:val="auto"/>
          <w:spacing w:val="-13"/>
          <w:sz w:val="28"/>
          <w:szCs w:val="28"/>
          <w:highlight w:val="none"/>
          <w:lang w:val="en-US" w:eastAsia="zh-CN"/>
        </w:rPr>
        <w:t>目</w:t>
      </w:r>
      <w:r>
        <w:rPr>
          <w:rFonts w:hint="eastAsia" w:ascii="宋体" w:hAnsi="宋体" w:cs="宋体"/>
          <w:b/>
          <w:bCs/>
          <w:color w:val="auto"/>
          <w:spacing w:val="-13"/>
          <w:sz w:val="28"/>
          <w:szCs w:val="28"/>
          <w:highlight w:val="none"/>
          <w:lang w:val="en-US" w:eastAsia="zh-CN"/>
        </w:rPr>
        <w:t xml:space="preserve"> </w:t>
      </w:r>
      <w:r>
        <w:rPr>
          <w:rFonts w:hint="eastAsia" w:ascii="宋体" w:hAnsi="宋体" w:eastAsia="宋体" w:cs="宋体"/>
          <w:b/>
          <w:bCs/>
          <w:color w:val="auto"/>
          <w:spacing w:val="-13"/>
          <w:sz w:val="28"/>
          <w:szCs w:val="28"/>
          <w:highlight w:val="none"/>
          <w:lang w:val="en-US" w:eastAsia="zh-CN"/>
        </w:rPr>
        <w:t>录</w:t>
      </w:r>
    </w:p>
    <w:p w14:paraId="5AA3FC89">
      <w:pPr>
        <w:pageBreakBefore w:val="0"/>
        <w:widowControl w:val="0"/>
        <w:kinsoku/>
        <w:wordWrap/>
        <w:overflowPunct/>
        <w:topLinePunct w:val="0"/>
        <w:autoSpaceDE/>
        <w:autoSpaceDN/>
        <w:bidi w:val="0"/>
        <w:spacing w:before="98" w:line="360" w:lineRule="auto"/>
        <w:ind w:firstLine="448" w:firstLineChars="200"/>
        <w:jc w:val="left"/>
        <w:textAlignment w:val="auto"/>
        <w:outlineLvl w:val="3"/>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8"/>
          <w:sz w:val="24"/>
          <w:szCs w:val="24"/>
          <w:highlight w:val="none"/>
          <w:lang w:val="en-US" w:eastAsia="zh-CN"/>
        </w:rPr>
        <w:t>一、</w:t>
      </w:r>
      <w:r>
        <w:rPr>
          <w:rFonts w:hint="eastAsia" w:ascii="宋体" w:hAnsi="宋体" w:cs="宋体"/>
          <w:b w:val="0"/>
          <w:bCs w:val="0"/>
          <w:color w:val="auto"/>
          <w:spacing w:val="-8"/>
          <w:sz w:val="24"/>
          <w:szCs w:val="24"/>
          <w:highlight w:val="none"/>
          <w:lang w:val="en-US" w:eastAsia="zh-CN"/>
        </w:rPr>
        <w:t>响应</w:t>
      </w:r>
      <w:r>
        <w:rPr>
          <w:rFonts w:hint="eastAsia" w:ascii="宋体" w:hAnsi="宋体" w:eastAsia="宋体" w:cs="宋体"/>
          <w:b w:val="0"/>
          <w:bCs w:val="0"/>
          <w:color w:val="auto"/>
          <w:spacing w:val="-8"/>
          <w:sz w:val="24"/>
          <w:szCs w:val="24"/>
          <w:highlight w:val="none"/>
        </w:rPr>
        <w:t>函</w:t>
      </w:r>
    </w:p>
    <w:p w14:paraId="5493BD1A">
      <w:pPr>
        <w:pageBreakBefore w:val="0"/>
        <w:widowControl w:val="0"/>
        <w:kinsoku/>
        <w:wordWrap/>
        <w:overflowPunct/>
        <w:topLinePunct w:val="0"/>
        <w:autoSpaceDE/>
        <w:autoSpaceDN/>
        <w:bidi w:val="0"/>
        <w:spacing w:before="98" w:line="360" w:lineRule="auto"/>
        <w:ind w:firstLine="448" w:firstLineChars="200"/>
        <w:jc w:val="both"/>
        <w:textAlignment w:val="auto"/>
        <w:outlineLvl w:val="3"/>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pacing w:val="-8"/>
          <w:sz w:val="24"/>
          <w:szCs w:val="24"/>
          <w:highlight w:val="none"/>
          <w:lang w:val="en-US" w:eastAsia="zh-CN"/>
        </w:rPr>
        <w:t>二</w:t>
      </w:r>
      <w:r>
        <w:rPr>
          <w:rFonts w:hint="eastAsia" w:ascii="宋体" w:hAnsi="宋体" w:eastAsia="宋体" w:cs="宋体"/>
          <w:b w:val="0"/>
          <w:bCs w:val="0"/>
          <w:color w:val="auto"/>
          <w:spacing w:val="-8"/>
          <w:sz w:val="24"/>
          <w:szCs w:val="24"/>
          <w:highlight w:val="none"/>
        </w:rPr>
        <w:t>、</w:t>
      </w:r>
      <w:r>
        <w:rPr>
          <w:rFonts w:hint="eastAsia" w:ascii="宋体" w:hAnsi="宋体" w:eastAsia="宋体" w:cs="宋体"/>
          <w:b w:val="0"/>
          <w:bCs w:val="0"/>
          <w:color w:val="auto"/>
          <w:spacing w:val="-8"/>
          <w:sz w:val="24"/>
          <w:szCs w:val="24"/>
          <w:highlight w:val="none"/>
          <w:lang w:val="en-US" w:eastAsia="zh-CN"/>
        </w:rPr>
        <w:t>响应报价表</w:t>
      </w:r>
    </w:p>
    <w:p w14:paraId="57E0B102">
      <w:pPr>
        <w:pageBreakBefore w:val="0"/>
        <w:widowControl w:val="0"/>
        <w:kinsoku/>
        <w:wordWrap/>
        <w:overflowPunct/>
        <w:topLinePunct w:val="0"/>
        <w:autoSpaceDE/>
        <w:autoSpaceDN/>
        <w:bidi w:val="0"/>
        <w:spacing w:before="98" w:line="360" w:lineRule="auto"/>
        <w:ind w:firstLine="448" w:firstLineChars="200"/>
        <w:textAlignment w:val="auto"/>
        <w:outlineLvl w:val="3"/>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pacing w:val="-8"/>
          <w:sz w:val="24"/>
          <w:szCs w:val="24"/>
          <w:highlight w:val="none"/>
          <w:lang w:val="en-US" w:eastAsia="zh-CN"/>
        </w:rPr>
        <w:t>三</w:t>
      </w:r>
      <w:r>
        <w:rPr>
          <w:rFonts w:hint="eastAsia" w:ascii="宋体" w:hAnsi="宋体" w:eastAsia="宋体" w:cs="宋体"/>
          <w:b w:val="0"/>
          <w:bCs w:val="0"/>
          <w:color w:val="auto"/>
          <w:spacing w:val="-8"/>
          <w:sz w:val="24"/>
          <w:szCs w:val="24"/>
          <w:highlight w:val="none"/>
        </w:rPr>
        <w:t>、法定代表人身份证明书</w:t>
      </w:r>
    </w:p>
    <w:p w14:paraId="437250BA">
      <w:pPr>
        <w:pStyle w:val="4"/>
        <w:pageBreakBefore w:val="0"/>
        <w:widowControl w:val="0"/>
        <w:numPr>
          <w:ilvl w:val="0"/>
          <w:numId w:val="0"/>
        </w:numPr>
        <w:kinsoku/>
        <w:wordWrap/>
        <w:overflowPunct/>
        <w:topLinePunct w:val="0"/>
        <w:autoSpaceDE/>
        <w:autoSpaceDN/>
        <w:bidi w:val="0"/>
        <w:spacing w:line="360" w:lineRule="auto"/>
        <w:ind w:firstLine="448" w:firstLineChars="200"/>
        <w:jc w:val="both"/>
        <w:textAlignment w:val="auto"/>
        <w:rPr>
          <w:rFonts w:hint="eastAsia" w:ascii="宋体" w:hAnsi="宋体" w:eastAsia="宋体" w:cs="宋体"/>
          <w:b w:val="0"/>
          <w:bCs w:val="0"/>
          <w:color w:val="auto"/>
          <w:spacing w:val="-8"/>
          <w:sz w:val="24"/>
          <w:szCs w:val="24"/>
          <w:highlight w:val="none"/>
          <w:lang w:val="en-US" w:eastAsia="zh-CN"/>
        </w:rPr>
      </w:pPr>
      <w:r>
        <w:rPr>
          <w:rFonts w:hint="eastAsia" w:ascii="宋体" w:hAnsi="宋体" w:eastAsia="宋体" w:cs="宋体"/>
          <w:b w:val="0"/>
          <w:bCs w:val="0"/>
          <w:color w:val="auto"/>
          <w:spacing w:val="-8"/>
          <w:sz w:val="24"/>
          <w:szCs w:val="24"/>
          <w:highlight w:val="none"/>
          <w:lang w:val="en-US" w:eastAsia="zh-CN"/>
        </w:rPr>
        <w:t>四、法定代表人授权委托书</w:t>
      </w:r>
    </w:p>
    <w:p w14:paraId="72E59BE8">
      <w:pPr>
        <w:pageBreakBefore w:val="0"/>
        <w:widowControl w:val="0"/>
        <w:kinsoku/>
        <w:wordWrap/>
        <w:overflowPunct/>
        <w:topLinePunct w:val="0"/>
        <w:autoSpaceDE/>
        <w:autoSpaceDN/>
        <w:bidi w:val="0"/>
        <w:spacing w:before="98" w:line="360" w:lineRule="auto"/>
        <w:ind w:firstLine="448" w:firstLineChars="200"/>
        <w:textAlignment w:val="auto"/>
        <w:outlineLvl w:val="3"/>
        <w:rPr>
          <w:rFonts w:hint="eastAsia" w:ascii="宋体" w:hAnsi="宋体" w:eastAsia="宋体" w:cs="宋体"/>
          <w:b w:val="0"/>
          <w:bCs w:val="0"/>
          <w:color w:val="auto"/>
          <w:spacing w:val="-8"/>
          <w:sz w:val="24"/>
          <w:szCs w:val="24"/>
          <w:highlight w:val="none"/>
          <w:lang w:val="en-US" w:eastAsia="zh-CN"/>
        </w:rPr>
      </w:pPr>
      <w:r>
        <w:rPr>
          <w:rFonts w:hint="eastAsia" w:ascii="宋体" w:hAnsi="宋体" w:eastAsia="宋体" w:cs="宋体"/>
          <w:b w:val="0"/>
          <w:bCs w:val="0"/>
          <w:color w:val="auto"/>
          <w:spacing w:val="-8"/>
          <w:sz w:val="24"/>
          <w:szCs w:val="24"/>
          <w:highlight w:val="none"/>
          <w:lang w:val="en-US" w:eastAsia="zh-CN"/>
        </w:rPr>
        <w:t>五</w:t>
      </w:r>
      <w:r>
        <w:rPr>
          <w:rFonts w:hint="eastAsia" w:ascii="宋体" w:hAnsi="宋体" w:eastAsia="宋体" w:cs="宋体"/>
          <w:b w:val="0"/>
          <w:bCs w:val="0"/>
          <w:color w:val="auto"/>
          <w:spacing w:val="-8"/>
          <w:sz w:val="24"/>
          <w:szCs w:val="24"/>
          <w:highlight w:val="none"/>
        </w:rPr>
        <w:t>、</w:t>
      </w:r>
      <w:r>
        <w:rPr>
          <w:rFonts w:hint="eastAsia" w:ascii="宋体" w:hAnsi="宋体" w:eastAsia="宋体" w:cs="宋体"/>
          <w:b w:val="0"/>
          <w:bCs w:val="0"/>
          <w:color w:val="auto"/>
          <w:spacing w:val="-8"/>
          <w:sz w:val="24"/>
          <w:szCs w:val="24"/>
          <w:highlight w:val="none"/>
          <w:lang w:val="en-US" w:eastAsia="zh-CN"/>
        </w:rPr>
        <w:t>技术响应偏离表</w:t>
      </w:r>
    </w:p>
    <w:p w14:paraId="48B28F74">
      <w:pPr>
        <w:pStyle w:val="6"/>
        <w:pageBreakBefore w:val="0"/>
        <w:widowControl w:val="0"/>
        <w:numPr>
          <w:ilvl w:val="3"/>
          <w:numId w:val="0"/>
        </w:numPr>
        <w:kinsoku/>
        <w:wordWrap/>
        <w:overflowPunct/>
        <w:topLinePunct w:val="0"/>
        <w:autoSpaceDE/>
        <w:autoSpaceDN/>
        <w:bidi w:val="0"/>
        <w:spacing w:line="360" w:lineRule="auto"/>
        <w:ind w:firstLine="448" w:firstLineChars="200"/>
        <w:textAlignment w:val="auto"/>
        <w:rPr>
          <w:rFonts w:hint="eastAsia" w:ascii="宋体" w:hAnsi="宋体" w:cs="宋体"/>
          <w:b w:val="0"/>
          <w:bCs w:val="0"/>
          <w:color w:val="auto"/>
          <w:spacing w:val="-8"/>
          <w:sz w:val="24"/>
          <w:szCs w:val="24"/>
          <w:highlight w:val="none"/>
          <w:lang w:val="en-US" w:eastAsia="zh-CN"/>
        </w:rPr>
      </w:pPr>
      <w:r>
        <w:rPr>
          <w:rFonts w:hint="eastAsia" w:ascii="宋体" w:hAnsi="宋体" w:cs="宋体"/>
          <w:b w:val="0"/>
          <w:bCs w:val="0"/>
          <w:color w:val="auto"/>
          <w:spacing w:val="-8"/>
          <w:sz w:val="24"/>
          <w:szCs w:val="24"/>
          <w:highlight w:val="none"/>
          <w:lang w:val="en-US" w:eastAsia="zh-CN"/>
        </w:rPr>
        <w:t>六、商务响应偏离表</w:t>
      </w:r>
    </w:p>
    <w:p w14:paraId="705BD843">
      <w:pPr>
        <w:pStyle w:val="6"/>
        <w:pageBreakBefore w:val="0"/>
        <w:widowControl w:val="0"/>
        <w:numPr>
          <w:ilvl w:val="3"/>
          <w:numId w:val="0"/>
        </w:numPr>
        <w:kinsoku/>
        <w:wordWrap/>
        <w:overflowPunct/>
        <w:topLinePunct w:val="0"/>
        <w:autoSpaceDE/>
        <w:autoSpaceDN/>
        <w:bidi w:val="0"/>
        <w:spacing w:line="360" w:lineRule="auto"/>
        <w:ind w:firstLine="448" w:firstLineChars="200"/>
        <w:textAlignment w:val="auto"/>
        <w:rPr>
          <w:rFonts w:hint="eastAsia" w:ascii="宋体" w:hAnsi="宋体" w:cs="宋体"/>
          <w:b w:val="0"/>
          <w:bCs w:val="0"/>
          <w:color w:val="auto"/>
          <w:spacing w:val="-8"/>
          <w:sz w:val="24"/>
          <w:szCs w:val="24"/>
          <w:highlight w:val="none"/>
          <w:lang w:val="en-US" w:eastAsia="zh-CN"/>
        </w:rPr>
      </w:pPr>
      <w:r>
        <w:rPr>
          <w:rFonts w:hint="eastAsia" w:ascii="宋体" w:hAnsi="宋体" w:cs="宋体"/>
          <w:b w:val="0"/>
          <w:bCs w:val="0"/>
          <w:color w:val="auto"/>
          <w:spacing w:val="-8"/>
          <w:sz w:val="24"/>
          <w:szCs w:val="24"/>
          <w:highlight w:val="none"/>
          <w:lang w:val="en-US" w:eastAsia="zh-CN"/>
        </w:rPr>
        <w:t>七、磋商保证金</w:t>
      </w:r>
    </w:p>
    <w:p w14:paraId="5C2E5DE0">
      <w:pPr>
        <w:pageBreakBefore w:val="0"/>
        <w:widowControl w:val="0"/>
        <w:kinsoku/>
        <w:wordWrap/>
        <w:overflowPunct/>
        <w:topLinePunct w:val="0"/>
        <w:autoSpaceDE/>
        <w:autoSpaceDN/>
        <w:bidi w:val="0"/>
        <w:spacing w:line="360" w:lineRule="auto"/>
        <w:ind w:firstLine="448" w:firstLineChars="200"/>
        <w:textAlignment w:val="auto"/>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pacing w:val="-8"/>
          <w:sz w:val="24"/>
          <w:szCs w:val="24"/>
          <w:highlight w:val="none"/>
          <w:lang w:val="en-US" w:eastAsia="zh-CN"/>
        </w:rPr>
        <w:t>八</w:t>
      </w:r>
      <w:r>
        <w:rPr>
          <w:rFonts w:hint="eastAsia" w:ascii="宋体" w:hAnsi="宋体" w:eastAsia="宋体" w:cs="宋体"/>
          <w:b w:val="0"/>
          <w:bCs w:val="0"/>
          <w:color w:val="auto"/>
          <w:spacing w:val="-8"/>
          <w:sz w:val="24"/>
          <w:szCs w:val="24"/>
          <w:highlight w:val="none"/>
        </w:rPr>
        <w:t>、资格证明文件</w:t>
      </w:r>
    </w:p>
    <w:p w14:paraId="5638F303">
      <w:pPr>
        <w:pStyle w:val="2"/>
        <w:rPr>
          <w:rFonts w:hint="default" w:eastAsia="宋体"/>
          <w:color w:val="auto"/>
          <w:highlight w:val="none"/>
          <w:lang w:val="en-US" w:eastAsia="zh-CN"/>
        </w:rPr>
      </w:pPr>
      <w:r>
        <w:rPr>
          <w:rFonts w:hint="eastAsia" w:ascii="宋体" w:hAnsi="宋体" w:cs="宋体"/>
          <w:b w:val="0"/>
          <w:bCs w:val="0"/>
          <w:color w:val="auto"/>
          <w:spacing w:val="-8"/>
          <w:sz w:val="24"/>
          <w:szCs w:val="24"/>
          <w:highlight w:val="none"/>
          <w:lang w:val="en-US" w:eastAsia="zh-CN"/>
        </w:rPr>
        <w:t>九、响应方案说明</w:t>
      </w:r>
    </w:p>
    <w:p w14:paraId="6B0A9F19">
      <w:pPr>
        <w:shd w:val="clear"/>
        <w:spacing w:before="98" w:line="360" w:lineRule="auto"/>
        <w:ind w:firstLine="448" w:firstLineChars="200"/>
        <w:outlineLvl w:val="3"/>
        <w:rPr>
          <w:rFonts w:hint="eastAsia" w:ascii="宋体" w:hAnsi="宋体" w:eastAsia="宋体" w:cs="宋体"/>
          <w:b w:val="0"/>
          <w:bCs w:val="0"/>
          <w:color w:val="auto"/>
          <w:spacing w:val="-8"/>
          <w:sz w:val="24"/>
          <w:szCs w:val="24"/>
          <w:highlight w:val="none"/>
          <w:lang w:val="en-US" w:eastAsia="zh-CN"/>
        </w:rPr>
      </w:pPr>
      <w:r>
        <w:rPr>
          <w:rFonts w:hint="eastAsia" w:ascii="宋体" w:hAnsi="宋体" w:eastAsia="宋体" w:cs="宋体"/>
          <w:b w:val="0"/>
          <w:bCs w:val="0"/>
          <w:color w:val="auto"/>
          <w:spacing w:val="-8"/>
          <w:sz w:val="24"/>
          <w:szCs w:val="24"/>
          <w:highlight w:val="none"/>
          <w:lang w:val="en-US" w:eastAsia="zh-CN"/>
        </w:rPr>
        <w:t>十、供应商认为有必要补充说明的事项</w:t>
      </w:r>
    </w:p>
    <w:p w14:paraId="7625CC58">
      <w:pPr>
        <w:shd w:val="clear"/>
        <w:spacing w:before="98" w:line="360" w:lineRule="auto"/>
        <w:ind w:firstLine="450" w:firstLineChars="200"/>
        <w:outlineLvl w:val="3"/>
        <w:rPr>
          <w:rFonts w:hint="eastAsia" w:ascii="宋体" w:hAnsi="宋体" w:eastAsia="宋体" w:cs="宋体"/>
          <w:b/>
          <w:bCs/>
          <w:color w:val="auto"/>
          <w:spacing w:val="-8"/>
          <w:sz w:val="24"/>
          <w:szCs w:val="24"/>
          <w:highlight w:val="none"/>
          <w:lang w:val="en-US" w:eastAsia="zh-CN"/>
        </w:rPr>
      </w:pPr>
    </w:p>
    <w:p w14:paraId="7429B6E8">
      <w:pPr>
        <w:shd w:val="clear"/>
        <w:spacing w:before="98" w:line="360" w:lineRule="auto"/>
        <w:ind w:firstLine="3313"/>
        <w:outlineLvl w:val="9"/>
        <w:rPr>
          <w:rFonts w:hint="eastAsia" w:ascii="宋体" w:hAnsi="宋体" w:eastAsia="宋体" w:cs="宋体"/>
          <w:b/>
          <w:bCs/>
          <w:color w:val="auto"/>
          <w:spacing w:val="-8"/>
          <w:sz w:val="24"/>
          <w:szCs w:val="24"/>
          <w:highlight w:val="none"/>
        </w:rPr>
      </w:pPr>
    </w:p>
    <w:p w14:paraId="4304467B">
      <w:pPr>
        <w:shd w:val="clear"/>
        <w:spacing w:before="98" w:line="360" w:lineRule="auto"/>
        <w:ind w:firstLine="3313"/>
        <w:outlineLvl w:val="9"/>
        <w:rPr>
          <w:rFonts w:hint="eastAsia" w:ascii="宋体" w:hAnsi="宋体" w:eastAsia="宋体" w:cs="宋体"/>
          <w:b/>
          <w:bCs/>
          <w:color w:val="auto"/>
          <w:spacing w:val="-8"/>
          <w:sz w:val="24"/>
          <w:szCs w:val="24"/>
          <w:highlight w:val="none"/>
        </w:rPr>
      </w:pPr>
    </w:p>
    <w:p w14:paraId="1F201AD2">
      <w:pPr>
        <w:shd w:val="clear"/>
        <w:spacing w:before="98" w:line="360" w:lineRule="auto"/>
        <w:ind w:firstLine="3313"/>
        <w:outlineLvl w:val="9"/>
        <w:rPr>
          <w:rFonts w:hint="eastAsia" w:ascii="宋体" w:hAnsi="宋体" w:eastAsia="宋体" w:cs="宋体"/>
          <w:b/>
          <w:bCs/>
          <w:color w:val="auto"/>
          <w:spacing w:val="-8"/>
          <w:sz w:val="24"/>
          <w:szCs w:val="24"/>
          <w:highlight w:val="none"/>
        </w:rPr>
      </w:pPr>
    </w:p>
    <w:p w14:paraId="4871A208">
      <w:pPr>
        <w:shd w:val="clear"/>
        <w:spacing w:before="98" w:line="220" w:lineRule="auto"/>
        <w:ind w:firstLine="3313"/>
        <w:outlineLvl w:val="9"/>
        <w:rPr>
          <w:rFonts w:hint="eastAsia" w:ascii="宋体" w:hAnsi="宋体" w:eastAsia="宋体" w:cs="宋体"/>
          <w:b/>
          <w:bCs/>
          <w:color w:val="auto"/>
          <w:spacing w:val="-8"/>
          <w:sz w:val="30"/>
          <w:szCs w:val="30"/>
          <w:highlight w:val="none"/>
        </w:rPr>
      </w:pPr>
    </w:p>
    <w:p w14:paraId="0DB29982">
      <w:pPr>
        <w:pStyle w:val="8"/>
        <w:rPr>
          <w:rFonts w:hint="eastAsia" w:ascii="宋体" w:hAnsi="宋体" w:eastAsia="宋体" w:cs="宋体"/>
          <w:b/>
          <w:bCs/>
          <w:color w:val="auto"/>
          <w:spacing w:val="-8"/>
          <w:sz w:val="30"/>
          <w:szCs w:val="30"/>
          <w:highlight w:val="none"/>
        </w:rPr>
      </w:pPr>
    </w:p>
    <w:p w14:paraId="2BEBC383">
      <w:pPr>
        <w:rPr>
          <w:rFonts w:hint="eastAsia" w:ascii="宋体" w:hAnsi="宋体" w:eastAsia="宋体" w:cs="宋体"/>
          <w:b/>
          <w:bCs/>
          <w:color w:val="auto"/>
          <w:spacing w:val="-8"/>
          <w:sz w:val="30"/>
          <w:szCs w:val="30"/>
          <w:highlight w:val="none"/>
        </w:rPr>
      </w:pPr>
    </w:p>
    <w:p w14:paraId="3E0C6D6A">
      <w:pPr>
        <w:pStyle w:val="8"/>
        <w:rPr>
          <w:rFonts w:hint="eastAsia" w:ascii="宋体" w:hAnsi="宋体" w:eastAsia="宋体" w:cs="宋体"/>
          <w:b/>
          <w:bCs/>
          <w:color w:val="auto"/>
          <w:spacing w:val="-8"/>
          <w:sz w:val="30"/>
          <w:szCs w:val="30"/>
          <w:highlight w:val="none"/>
        </w:rPr>
      </w:pPr>
    </w:p>
    <w:p w14:paraId="06618C81">
      <w:pPr>
        <w:rPr>
          <w:rFonts w:hint="eastAsia"/>
          <w:color w:val="auto"/>
          <w:highlight w:val="none"/>
        </w:rPr>
      </w:pPr>
    </w:p>
    <w:p w14:paraId="369E7871">
      <w:pPr>
        <w:shd w:val="clear"/>
        <w:spacing w:before="98" w:line="220" w:lineRule="auto"/>
        <w:ind w:firstLine="3313"/>
        <w:outlineLvl w:val="9"/>
        <w:rPr>
          <w:rFonts w:hint="eastAsia" w:ascii="宋体" w:hAnsi="宋体" w:eastAsia="宋体" w:cs="宋体"/>
          <w:b/>
          <w:bCs/>
          <w:color w:val="auto"/>
          <w:spacing w:val="-8"/>
          <w:sz w:val="30"/>
          <w:szCs w:val="30"/>
          <w:highlight w:val="none"/>
        </w:rPr>
      </w:pPr>
    </w:p>
    <w:p w14:paraId="05DE8DCE">
      <w:pPr>
        <w:shd w:val="clear"/>
        <w:spacing w:before="98" w:line="220" w:lineRule="auto"/>
        <w:ind w:firstLine="3313"/>
        <w:outlineLvl w:val="9"/>
        <w:rPr>
          <w:rFonts w:hint="eastAsia" w:ascii="宋体" w:hAnsi="宋体" w:eastAsia="宋体" w:cs="宋体"/>
          <w:b/>
          <w:bCs/>
          <w:color w:val="auto"/>
          <w:spacing w:val="-8"/>
          <w:sz w:val="30"/>
          <w:szCs w:val="30"/>
          <w:highlight w:val="none"/>
        </w:rPr>
      </w:pPr>
    </w:p>
    <w:p w14:paraId="3B94B60E">
      <w:pPr>
        <w:shd w:val="clear"/>
        <w:spacing w:before="98" w:line="220" w:lineRule="auto"/>
        <w:ind w:firstLine="3313"/>
        <w:outlineLvl w:val="9"/>
        <w:rPr>
          <w:rFonts w:hint="eastAsia" w:ascii="宋体" w:hAnsi="宋体" w:eastAsia="宋体" w:cs="宋体"/>
          <w:b/>
          <w:bCs/>
          <w:color w:val="auto"/>
          <w:spacing w:val="-8"/>
          <w:sz w:val="30"/>
          <w:szCs w:val="30"/>
          <w:highlight w:val="none"/>
        </w:rPr>
      </w:pPr>
    </w:p>
    <w:p w14:paraId="54CEB198">
      <w:pPr>
        <w:shd w:val="clear"/>
        <w:spacing w:before="98" w:line="220" w:lineRule="auto"/>
        <w:ind w:firstLine="3313"/>
        <w:outlineLvl w:val="9"/>
        <w:rPr>
          <w:rFonts w:hint="eastAsia" w:ascii="宋体" w:hAnsi="宋体" w:eastAsia="宋体" w:cs="宋体"/>
          <w:b/>
          <w:bCs/>
          <w:color w:val="auto"/>
          <w:spacing w:val="-8"/>
          <w:sz w:val="30"/>
          <w:szCs w:val="30"/>
          <w:highlight w:val="none"/>
        </w:rPr>
      </w:pPr>
    </w:p>
    <w:p w14:paraId="7A15BF6E">
      <w:pPr>
        <w:shd w:val="clear"/>
        <w:spacing w:before="98" w:line="220" w:lineRule="auto"/>
        <w:outlineLvl w:val="9"/>
        <w:rPr>
          <w:rFonts w:hint="eastAsia" w:ascii="宋体" w:hAnsi="宋体" w:eastAsia="宋体" w:cs="宋体"/>
          <w:b/>
          <w:bCs/>
          <w:color w:val="auto"/>
          <w:spacing w:val="-8"/>
          <w:sz w:val="30"/>
          <w:szCs w:val="30"/>
          <w:highlight w:val="none"/>
        </w:rPr>
      </w:pPr>
    </w:p>
    <w:p w14:paraId="6BC105B0">
      <w:pPr>
        <w:pStyle w:val="2"/>
        <w:rPr>
          <w:rFonts w:hint="eastAsia" w:ascii="宋体" w:hAnsi="宋体" w:eastAsia="宋体" w:cs="宋体"/>
          <w:b/>
          <w:bCs/>
          <w:color w:val="auto"/>
          <w:spacing w:val="-8"/>
          <w:sz w:val="30"/>
          <w:szCs w:val="30"/>
          <w:highlight w:val="none"/>
        </w:rPr>
      </w:pPr>
    </w:p>
    <w:p w14:paraId="031CF9A3">
      <w:pPr>
        <w:pStyle w:val="2"/>
        <w:rPr>
          <w:rFonts w:hint="eastAsia" w:ascii="宋体" w:hAnsi="宋体" w:eastAsia="宋体" w:cs="宋体"/>
          <w:b/>
          <w:bCs/>
          <w:color w:val="auto"/>
          <w:spacing w:val="-8"/>
          <w:sz w:val="30"/>
          <w:szCs w:val="30"/>
          <w:highlight w:val="none"/>
        </w:rPr>
      </w:pPr>
    </w:p>
    <w:p w14:paraId="71AE70BA">
      <w:pPr>
        <w:pStyle w:val="2"/>
        <w:rPr>
          <w:rFonts w:hint="eastAsia" w:ascii="宋体" w:hAnsi="宋体" w:eastAsia="宋体" w:cs="宋体"/>
          <w:b/>
          <w:bCs/>
          <w:color w:val="auto"/>
          <w:spacing w:val="-8"/>
          <w:sz w:val="30"/>
          <w:szCs w:val="30"/>
          <w:highlight w:val="none"/>
        </w:rPr>
      </w:pPr>
    </w:p>
    <w:p w14:paraId="6341AC13">
      <w:pPr>
        <w:pStyle w:val="2"/>
        <w:rPr>
          <w:rFonts w:hint="eastAsia" w:ascii="宋体" w:hAnsi="宋体" w:eastAsia="宋体" w:cs="宋体"/>
          <w:b/>
          <w:bCs/>
          <w:color w:val="auto"/>
          <w:spacing w:val="-8"/>
          <w:sz w:val="30"/>
          <w:szCs w:val="30"/>
          <w:highlight w:val="none"/>
        </w:rPr>
      </w:pPr>
    </w:p>
    <w:p w14:paraId="0D5340C5">
      <w:pPr>
        <w:shd w:val="clear"/>
        <w:spacing w:before="98" w:line="220" w:lineRule="auto"/>
        <w:outlineLvl w:val="9"/>
        <w:rPr>
          <w:rFonts w:hint="eastAsia" w:ascii="宋体" w:hAnsi="宋体" w:eastAsia="宋体" w:cs="宋体"/>
          <w:b/>
          <w:bCs/>
          <w:color w:val="auto"/>
          <w:spacing w:val="-8"/>
          <w:sz w:val="30"/>
          <w:szCs w:val="30"/>
          <w:highlight w:val="none"/>
        </w:rPr>
      </w:pPr>
    </w:p>
    <w:p w14:paraId="4760745E">
      <w:pPr>
        <w:keepNext w:val="0"/>
        <w:keepLines w:val="0"/>
        <w:pageBreakBefore w:val="0"/>
        <w:widowControl w:val="0"/>
        <w:shd w:val="clear"/>
        <w:kinsoku/>
        <w:wordWrap/>
        <w:overflowPunct/>
        <w:topLinePunct w:val="0"/>
        <w:autoSpaceDE/>
        <w:autoSpaceDN/>
        <w:bidi w:val="0"/>
        <w:adjustRightInd/>
        <w:snapToGrid/>
        <w:spacing w:before="98" w:line="360" w:lineRule="auto"/>
        <w:ind w:firstLine="3313"/>
        <w:textAlignment w:val="auto"/>
        <w:outlineLvl w:val="3"/>
        <w:rPr>
          <w:rFonts w:hint="eastAsia" w:ascii="宋体" w:hAnsi="宋体" w:eastAsia="宋体" w:cs="宋体"/>
          <w:b/>
          <w:bCs/>
          <w:color w:val="auto"/>
          <w:sz w:val="30"/>
          <w:szCs w:val="30"/>
          <w:highlight w:val="none"/>
        </w:rPr>
      </w:pPr>
      <w:r>
        <w:rPr>
          <w:rFonts w:hint="eastAsia" w:ascii="宋体" w:hAnsi="宋体" w:eastAsia="宋体" w:cs="宋体"/>
          <w:b/>
          <w:bCs/>
          <w:color w:val="auto"/>
          <w:spacing w:val="-8"/>
          <w:sz w:val="30"/>
          <w:szCs w:val="30"/>
          <w:highlight w:val="none"/>
          <w:lang w:val="en-US" w:eastAsia="zh-CN"/>
        </w:rPr>
        <w:t>一、</w:t>
      </w:r>
      <w:r>
        <w:rPr>
          <w:rFonts w:hint="eastAsia" w:ascii="宋体" w:hAnsi="宋体" w:cs="宋体"/>
          <w:b/>
          <w:bCs/>
          <w:color w:val="auto"/>
          <w:spacing w:val="-8"/>
          <w:sz w:val="30"/>
          <w:szCs w:val="30"/>
          <w:highlight w:val="none"/>
          <w:lang w:val="en-US" w:eastAsia="zh-CN"/>
        </w:rPr>
        <w:t>响应</w:t>
      </w:r>
      <w:r>
        <w:rPr>
          <w:rFonts w:hint="eastAsia" w:ascii="宋体" w:hAnsi="宋体" w:eastAsia="宋体" w:cs="宋体"/>
          <w:b/>
          <w:bCs/>
          <w:color w:val="auto"/>
          <w:spacing w:val="-8"/>
          <w:sz w:val="30"/>
          <w:szCs w:val="30"/>
          <w:highlight w:val="none"/>
        </w:rPr>
        <w:t>函</w:t>
      </w:r>
    </w:p>
    <w:p w14:paraId="2FDC9448">
      <w:pPr>
        <w:keepNext w:val="0"/>
        <w:keepLines w:val="0"/>
        <w:pageBreakBefore w:val="0"/>
        <w:widowControl w:val="0"/>
        <w:shd w:val="clear"/>
        <w:kinsoku/>
        <w:wordWrap/>
        <w:overflowPunct/>
        <w:topLinePunct w:val="0"/>
        <w:autoSpaceDE/>
        <w:autoSpaceDN/>
        <w:bidi w:val="0"/>
        <w:adjustRightInd/>
        <w:snapToGrid/>
        <w:spacing w:before="61" w:line="360" w:lineRule="auto"/>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23"/>
          <w:w w:val="98"/>
          <w:sz w:val="24"/>
          <w:szCs w:val="24"/>
          <w:highlight w:val="none"/>
        </w:rPr>
        <w:t>致</w:t>
      </w:r>
      <w:r>
        <w:rPr>
          <w:rFonts w:hint="eastAsia" w:ascii="宋体" w:hAnsi="宋体" w:eastAsia="宋体" w:cs="宋体"/>
          <w:color w:val="auto"/>
          <w:spacing w:val="-56"/>
          <w:sz w:val="24"/>
          <w:szCs w:val="24"/>
          <w:highlight w:val="none"/>
        </w:rPr>
        <w:t>：</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56"/>
          <w:sz w:val="24"/>
          <w:szCs w:val="24"/>
          <w:highlight w:val="none"/>
          <w:u w:val="none" w:color="auto"/>
        </w:rPr>
        <w:t>（</w:t>
      </w:r>
      <w:r>
        <w:rPr>
          <w:rFonts w:hint="eastAsia" w:ascii="宋体" w:hAnsi="宋体" w:eastAsia="宋体" w:cs="宋体"/>
          <w:color w:val="auto"/>
          <w:spacing w:val="-56"/>
          <w:sz w:val="24"/>
          <w:szCs w:val="24"/>
          <w:highlight w:val="none"/>
          <w:u w:val="none" w:color="auto"/>
          <w:lang w:val="en-US" w:eastAsia="zh-CN"/>
        </w:rPr>
        <w:t xml:space="preserve">          </w:t>
      </w:r>
      <w:r>
        <w:rPr>
          <w:rFonts w:hint="eastAsia" w:ascii="宋体" w:hAnsi="宋体" w:eastAsia="宋体" w:cs="宋体"/>
          <w:color w:val="auto"/>
          <w:spacing w:val="8"/>
          <w:sz w:val="24"/>
          <w:szCs w:val="24"/>
          <w:highlight w:val="none"/>
          <w:u w:val="none" w:color="auto"/>
          <w:lang w:val="en-US" w:eastAsia="zh-CN"/>
        </w:rPr>
        <w:t>采购人名称）</w:t>
      </w:r>
    </w:p>
    <w:p w14:paraId="67B6FD14">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根据贵方</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eastAsia="zh-CN"/>
        </w:rPr>
        <w:t>（</w:t>
      </w:r>
      <w:r>
        <w:rPr>
          <w:rFonts w:hint="eastAsia" w:ascii="宋体" w:hAnsi="宋体" w:cs="宋体"/>
          <w:color w:val="auto"/>
          <w:spacing w:val="4"/>
          <w:sz w:val="24"/>
          <w:szCs w:val="24"/>
          <w:highlight w:val="none"/>
          <w:u w:val="single"/>
          <w:lang w:val="en-US" w:eastAsia="zh-CN"/>
        </w:rPr>
        <w:t>项目名称</w:t>
      </w:r>
      <w:r>
        <w:rPr>
          <w:rFonts w:hint="eastAsia" w:ascii="宋体" w:hAnsi="宋体" w:cs="宋体"/>
          <w:color w:val="auto"/>
          <w:spacing w:val="4"/>
          <w:sz w:val="24"/>
          <w:szCs w:val="24"/>
          <w:highlight w:val="none"/>
          <w:u w:val="single"/>
          <w:lang w:eastAsia="zh-CN"/>
        </w:rPr>
        <w:t>）</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(项目编号：</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）的磋商文件，签字代表</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（全名、职务）</w:t>
      </w:r>
      <w:r>
        <w:rPr>
          <w:rFonts w:hint="eastAsia" w:ascii="宋体" w:hAnsi="宋体" w:eastAsia="宋体" w:cs="宋体"/>
          <w:color w:val="auto"/>
          <w:spacing w:val="4"/>
          <w:sz w:val="24"/>
          <w:szCs w:val="24"/>
          <w:highlight w:val="none"/>
        </w:rPr>
        <w:t>经正式授权并代表供应商</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(供应商名称)</w:t>
      </w:r>
      <w:r>
        <w:rPr>
          <w:rFonts w:hint="eastAsia" w:ascii="宋体" w:hAnsi="宋体" w:eastAsia="宋体" w:cs="宋体"/>
          <w:color w:val="auto"/>
          <w:spacing w:val="4"/>
          <w:sz w:val="24"/>
          <w:szCs w:val="24"/>
          <w:highlight w:val="none"/>
        </w:rPr>
        <w:t>提交磋商响应文件正本</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份、副本</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份</w:t>
      </w:r>
      <w:r>
        <w:rPr>
          <w:rFonts w:hint="eastAsia" w:ascii="宋体" w:hAnsi="宋体" w:cs="宋体"/>
          <w:color w:val="auto"/>
          <w:spacing w:val="4"/>
          <w:sz w:val="24"/>
          <w:szCs w:val="24"/>
          <w:highlight w:val="none"/>
          <w:lang w:eastAsia="zh-CN"/>
        </w:rPr>
        <w:t>、</w:t>
      </w:r>
      <w:r>
        <w:rPr>
          <w:rFonts w:hint="eastAsia" w:ascii="宋体" w:hAnsi="宋体" w:cs="宋体"/>
          <w:color w:val="auto"/>
          <w:spacing w:val="4"/>
          <w:sz w:val="24"/>
          <w:szCs w:val="24"/>
          <w:highlight w:val="none"/>
          <w:lang w:val="en-US" w:eastAsia="zh-CN"/>
        </w:rPr>
        <w:t>电子版U盘</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份。</w:t>
      </w:r>
    </w:p>
    <w:p w14:paraId="538347E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我方承诺如下：</w:t>
      </w:r>
    </w:p>
    <w:p w14:paraId="3D1F8602">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1.磋商报价为人民币：</w:t>
      </w:r>
      <w:r>
        <w:rPr>
          <w:rFonts w:hint="eastAsia" w:ascii="宋体" w:hAnsi="宋体" w:cs="宋体"/>
          <w:color w:val="auto"/>
          <w:spacing w:val="4"/>
          <w:sz w:val="24"/>
          <w:szCs w:val="24"/>
          <w:highlight w:val="none"/>
          <w:lang w:val="en-US" w:eastAsia="zh-CN"/>
        </w:rPr>
        <w:t>大写</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元）。</w:t>
      </w:r>
    </w:p>
    <w:p w14:paraId="5BBA38F8">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2.如果成交，我们根据磋商文件的规定，履行合同的责任和义务。</w:t>
      </w:r>
    </w:p>
    <w:p w14:paraId="7E48AC5C">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3.我们已详细阅读和审核全部磋商文件（含修改部分）及有关附件，我们知道必须放弃提出含糊不清或误解的问题的权利。</w:t>
      </w:r>
    </w:p>
    <w:p w14:paraId="6C132671">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4.我们同意在磋商有效期内（自磋商之日起</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天内），本磋商响应函对我方具有约束力。</w:t>
      </w:r>
    </w:p>
    <w:p w14:paraId="55F233FC">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5.同意提供贵方可能另外要求的与本磋商有关的任何证据和资料。 </w:t>
      </w:r>
    </w:p>
    <w:p w14:paraId="25DF006D">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6.我们同意，如果成交，向</w:t>
      </w:r>
      <w:r>
        <w:rPr>
          <w:rFonts w:hint="eastAsia" w:ascii="宋体" w:hAnsi="宋体" w:eastAsia="宋体" w:cs="宋体"/>
          <w:color w:val="auto"/>
          <w:spacing w:val="4"/>
          <w:sz w:val="24"/>
          <w:szCs w:val="24"/>
          <w:highlight w:val="none"/>
          <w:lang w:val="en-US" w:eastAsia="zh-CN"/>
        </w:rPr>
        <w:t>陕西中海招标有限公司</w:t>
      </w:r>
      <w:r>
        <w:rPr>
          <w:rFonts w:hint="eastAsia" w:ascii="宋体" w:hAnsi="宋体" w:eastAsia="宋体" w:cs="宋体"/>
          <w:color w:val="auto"/>
          <w:spacing w:val="4"/>
          <w:sz w:val="24"/>
          <w:szCs w:val="24"/>
          <w:highlight w:val="none"/>
        </w:rPr>
        <w:t>交纳招标代理服务费。</w:t>
      </w:r>
    </w:p>
    <w:p w14:paraId="66010581">
      <w:pPr>
        <w:keepNext w:val="0"/>
        <w:keepLines w:val="0"/>
        <w:pageBreakBefore w:val="0"/>
        <w:widowControl w:val="0"/>
        <w:tabs>
          <w:tab w:val="left" w:pos="2160"/>
        </w:tabs>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7.与本磋商有关的一切正式往来通讯为：</w:t>
      </w:r>
    </w:p>
    <w:p w14:paraId="5B151549">
      <w:pPr>
        <w:pStyle w:val="2"/>
        <w:rPr>
          <w:rFonts w:hint="eastAsia" w:ascii="宋体" w:hAnsi="宋体" w:eastAsia="宋体" w:cs="宋体"/>
          <w:color w:val="auto"/>
          <w:spacing w:val="4"/>
          <w:sz w:val="24"/>
          <w:szCs w:val="24"/>
          <w:highlight w:val="none"/>
        </w:rPr>
      </w:pPr>
    </w:p>
    <w:p w14:paraId="762CC9A0">
      <w:pPr>
        <w:pStyle w:val="2"/>
        <w:rPr>
          <w:rFonts w:hint="eastAsia" w:ascii="宋体" w:hAnsi="宋体" w:eastAsia="宋体" w:cs="宋体"/>
          <w:color w:val="auto"/>
          <w:spacing w:val="4"/>
          <w:sz w:val="24"/>
          <w:szCs w:val="24"/>
          <w:highlight w:val="none"/>
        </w:rPr>
      </w:pPr>
    </w:p>
    <w:p w14:paraId="252DDCB1">
      <w:pPr>
        <w:pStyle w:val="2"/>
        <w:ind w:left="0" w:leftChars="0" w:firstLine="0" w:firstLineChars="0"/>
        <w:rPr>
          <w:rFonts w:hint="eastAsia" w:ascii="宋体" w:hAnsi="宋体" w:eastAsia="宋体" w:cs="宋体"/>
          <w:color w:val="auto"/>
          <w:spacing w:val="4"/>
          <w:sz w:val="24"/>
          <w:szCs w:val="24"/>
          <w:highlight w:val="none"/>
        </w:rPr>
      </w:pPr>
    </w:p>
    <w:p w14:paraId="074A190F">
      <w:pPr>
        <w:pStyle w:val="8"/>
        <w:rPr>
          <w:rFonts w:hint="eastAsia"/>
          <w:color w:val="auto"/>
          <w:highlight w:val="none"/>
        </w:rPr>
      </w:pPr>
    </w:p>
    <w:p w14:paraId="349BBD05">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供应商名称（公章）：</w:t>
      </w:r>
      <w:r>
        <w:rPr>
          <w:rFonts w:hint="eastAsia" w:ascii="宋体" w:hAnsi="宋体" w:eastAsia="宋体" w:cs="宋体"/>
          <w:color w:val="auto"/>
          <w:spacing w:val="4"/>
          <w:sz w:val="24"/>
          <w:szCs w:val="24"/>
          <w:highlight w:val="none"/>
          <w:u w:val="single"/>
        </w:rPr>
        <w:t xml:space="preserve">                 </w:t>
      </w:r>
    </w:p>
    <w:p w14:paraId="190CBC3C">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法定代表人（签字或盖章）：</w:t>
      </w:r>
      <w:r>
        <w:rPr>
          <w:rFonts w:hint="eastAsia" w:ascii="宋体" w:hAnsi="宋体" w:eastAsia="宋体" w:cs="宋体"/>
          <w:color w:val="auto"/>
          <w:spacing w:val="4"/>
          <w:sz w:val="24"/>
          <w:szCs w:val="24"/>
          <w:highlight w:val="none"/>
          <w:u w:val="single"/>
        </w:rPr>
        <w:t xml:space="preserve">           </w:t>
      </w:r>
    </w:p>
    <w:p w14:paraId="1C5A0367">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联系地址：</w:t>
      </w:r>
      <w:r>
        <w:rPr>
          <w:rFonts w:hint="eastAsia" w:ascii="宋体" w:hAnsi="宋体" w:eastAsia="宋体" w:cs="宋体"/>
          <w:color w:val="auto"/>
          <w:spacing w:val="4"/>
          <w:sz w:val="24"/>
          <w:szCs w:val="24"/>
          <w:highlight w:val="none"/>
          <w:u w:val="single"/>
        </w:rPr>
        <w:t xml:space="preserve">                           </w:t>
      </w:r>
    </w:p>
    <w:p w14:paraId="479D6B6B">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邮政编码：</w:t>
      </w:r>
      <w:r>
        <w:rPr>
          <w:rFonts w:hint="eastAsia" w:ascii="宋体" w:hAnsi="宋体" w:eastAsia="宋体" w:cs="宋体"/>
          <w:color w:val="auto"/>
          <w:spacing w:val="4"/>
          <w:sz w:val="24"/>
          <w:szCs w:val="24"/>
          <w:highlight w:val="none"/>
          <w:u w:val="single"/>
        </w:rPr>
        <w:t xml:space="preserve">                           </w:t>
      </w:r>
    </w:p>
    <w:p w14:paraId="7671C274">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电    话：</w:t>
      </w:r>
      <w:r>
        <w:rPr>
          <w:rFonts w:hint="eastAsia" w:ascii="宋体" w:hAnsi="宋体" w:eastAsia="宋体" w:cs="宋体"/>
          <w:color w:val="auto"/>
          <w:spacing w:val="4"/>
          <w:sz w:val="24"/>
          <w:szCs w:val="24"/>
          <w:highlight w:val="none"/>
          <w:u w:val="single"/>
        </w:rPr>
        <w:t xml:space="preserve">                           </w:t>
      </w:r>
    </w:p>
    <w:p w14:paraId="5BBEFAE3">
      <w:pPr>
        <w:keepNext w:val="0"/>
        <w:keepLines w:val="0"/>
        <w:pageBreakBefore w:val="0"/>
        <w:widowControl w:val="0"/>
        <w:kinsoku/>
        <w:wordWrap/>
        <w:overflowPunct/>
        <w:topLinePunct w:val="0"/>
        <w:autoSpaceDE/>
        <w:autoSpaceDN/>
        <w:bidi w:val="0"/>
        <w:adjustRightInd/>
        <w:snapToGrid/>
        <w:spacing w:line="360" w:lineRule="auto"/>
        <w:ind w:firstLine="496" w:firstLineChars="200"/>
        <w:jc w:val="left"/>
        <w:textAlignment w:val="auto"/>
        <w:rPr>
          <w:rFonts w:hint="eastAsia" w:ascii="宋体" w:hAnsi="宋体" w:eastAsia="宋体" w:cs="宋体"/>
          <w:color w:val="auto"/>
          <w:spacing w:val="4"/>
          <w:sz w:val="24"/>
          <w:szCs w:val="24"/>
          <w:highlight w:val="none"/>
          <w:u w:val="single"/>
        </w:rPr>
      </w:pPr>
      <w:r>
        <w:rPr>
          <w:rFonts w:hint="eastAsia" w:ascii="宋体" w:hAnsi="宋体" w:cs="宋体"/>
          <w:color w:val="auto"/>
          <w:spacing w:val="4"/>
          <w:sz w:val="24"/>
          <w:szCs w:val="24"/>
          <w:highlight w:val="none"/>
          <w:lang w:val="en-US" w:eastAsia="zh-CN"/>
        </w:rPr>
        <w:t>电子邮箱</w:t>
      </w: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u w:val="single"/>
        </w:rPr>
        <w:t xml:space="preserve">                           </w:t>
      </w:r>
    </w:p>
    <w:p w14:paraId="7EDA7D7B">
      <w:pPr>
        <w:keepNext w:val="0"/>
        <w:keepLines w:val="0"/>
        <w:pageBreakBefore w:val="0"/>
        <w:widowControl w:val="0"/>
        <w:kinsoku/>
        <w:wordWrap/>
        <w:overflowPunct/>
        <w:topLinePunct w:val="0"/>
        <w:autoSpaceDE/>
        <w:autoSpaceDN/>
        <w:bidi w:val="0"/>
        <w:adjustRightInd/>
        <w:snapToGrid/>
        <w:spacing w:line="360" w:lineRule="auto"/>
        <w:ind w:firstLine="424" w:firstLineChars="171"/>
        <w:jc w:val="left"/>
        <w:textAlignment w:val="auto"/>
        <w:rPr>
          <w:rFonts w:hint="eastAsia" w:ascii="宋体" w:hAnsi="宋体" w:eastAsia="宋体" w:cs="宋体"/>
          <w:color w:val="auto"/>
          <w:spacing w:val="4"/>
          <w:sz w:val="24"/>
          <w:szCs w:val="24"/>
          <w:highlight w:val="none"/>
          <w:u w:val="none"/>
          <w:lang w:eastAsia="zh-CN"/>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年</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月</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日</w:t>
      </w:r>
    </w:p>
    <w:p w14:paraId="593A553D">
      <w:pPr>
        <w:spacing w:line="420" w:lineRule="atLeast"/>
        <w:ind w:firstLine="576" w:firstLineChars="200"/>
        <w:jc w:val="left"/>
        <w:rPr>
          <w:rFonts w:hint="eastAsia" w:ascii="宋体" w:hAnsi="宋体" w:eastAsia="宋体" w:cs="宋体"/>
          <w:color w:val="auto"/>
          <w:spacing w:val="4"/>
          <w:sz w:val="28"/>
          <w:szCs w:val="28"/>
          <w:highlight w:val="none"/>
        </w:rPr>
      </w:pPr>
    </w:p>
    <w:p w14:paraId="67A84AB5">
      <w:pPr>
        <w:shd w:val="clear"/>
        <w:spacing w:line="259" w:lineRule="auto"/>
        <w:rPr>
          <w:rFonts w:hint="eastAsia" w:ascii="宋体" w:hAnsi="宋体" w:eastAsia="宋体" w:cs="宋体"/>
          <w:color w:val="auto"/>
          <w:sz w:val="21"/>
          <w:highlight w:val="none"/>
        </w:rPr>
      </w:pPr>
    </w:p>
    <w:p w14:paraId="5AC76B16">
      <w:pPr>
        <w:shd w:val="clear"/>
        <w:spacing w:line="259" w:lineRule="auto"/>
        <w:rPr>
          <w:rFonts w:hint="eastAsia" w:ascii="宋体" w:hAnsi="宋体" w:eastAsia="宋体" w:cs="宋体"/>
          <w:color w:val="auto"/>
          <w:sz w:val="21"/>
          <w:highlight w:val="none"/>
        </w:rPr>
      </w:pPr>
    </w:p>
    <w:p w14:paraId="51DAF54B">
      <w:pPr>
        <w:shd w:val="clear"/>
        <w:spacing w:line="259" w:lineRule="auto"/>
        <w:rPr>
          <w:rFonts w:hint="eastAsia" w:ascii="宋体" w:hAnsi="宋体" w:eastAsia="宋体" w:cs="宋体"/>
          <w:color w:val="auto"/>
          <w:sz w:val="21"/>
          <w:highlight w:val="none"/>
        </w:rPr>
      </w:pPr>
    </w:p>
    <w:p w14:paraId="3BE4E42C">
      <w:pPr>
        <w:shd w:val="clear"/>
        <w:spacing w:line="260" w:lineRule="auto"/>
        <w:rPr>
          <w:rFonts w:hint="eastAsia" w:ascii="宋体" w:hAnsi="宋体" w:eastAsia="宋体" w:cs="宋体"/>
          <w:color w:val="auto"/>
          <w:sz w:val="21"/>
          <w:highlight w:val="none"/>
        </w:rPr>
      </w:pPr>
    </w:p>
    <w:p w14:paraId="33E0DC23">
      <w:pPr>
        <w:shd w:val="clear"/>
        <w:spacing w:before="97" w:line="219" w:lineRule="auto"/>
        <w:outlineLvl w:val="9"/>
        <w:rPr>
          <w:rFonts w:hint="eastAsia" w:ascii="宋体" w:hAnsi="宋体" w:eastAsia="宋体" w:cs="宋体"/>
          <w:color w:val="auto"/>
          <w:spacing w:val="-4"/>
          <w:sz w:val="30"/>
          <w:szCs w:val="30"/>
          <w:highlight w:val="none"/>
        </w:rPr>
      </w:pPr>
    </w:p>
    <w:p w14:paraId="7DE1AD21">
      <w:pPr>
        <w:keepNext w:val="0"/>
        <w:keepLines w:val="0"/>
        <w:pageBreakBefore w:val="0"/>
        <w:numPr>
          <w:ilvl w:val="0"/>
          <w:numId w:val="0"/>
        </w:numPr>
        <w:shd w:val="clear"/>
        <w:kinsoku/>
        <w:wordWrap/>
        <w:overflowPunct/>
        <w:topLinePunct w:val="0"/>
        <w:bidi w:val="0"/>
        <w:snapToGrid/>
        <w:spacing w:before="98" w:line="360" w:lineRule="auto"/>
        <w:jc w:val="center"/>
        <w:textAlignment w:val="auto"/>
        <w:outlineLvl w:val="3"/>
        <w:rPr>
          <w:rFonts w:hint="default" w:ascii="宋体" w:hAnsi="宋体" w:eastAsia="宋体" w:cs="宋体"/>
          <w:color w:val="auto"/>
          <w:highlight w:val="none"/>
          <w:lang w:val="en-US"/>
        </w:rPr>
      </w:pPr>
      <w:bookmarkStart w:id="42" w:name="_bookmark584"/>
      <w:bookmarkEnd w:id="42"/>
      <w:bookmarkStart w:id="43" w:name="_bookmark612"/>
      <w:bookmarkEnd w:id="43"/>
      <w:r>
        <w:rPr>
          <w:rFonts w:hint="eastAsia" w:ascii="宋体" w:hAnsi="宋体" w:cs="宋体"/>
          <w:b/>
          <w:bCs/>
          <w:color w:val="auto"/>
          <w:spacing w:val="-8"/>
          <w:sz w:val="30"/>
          <w:szCs w:val="30"/>
          <w:highlight w:val="none"/>
          <w:lang w:val="en-US" w:eastAsia="zh-CN"/>
        </w:rPr>
        <w:t>二、响应报价表</w:t>
      </w:r>
    </w:p>
    <w:p w14:paraId="7C77A7FA">
      <w:pPr>
        <w:bidi w:val="0"/>
        <w:jc w:val="center"/>
        <w:rPr>
          <w:rFonts w:hint="default"/>
          <w:lang w:val="en-US" w:eastAsia="zh-CN"/>
        </w:rPr>
      </w:pPr>
      <w:r>
        <w:rPr>
          <w:rFonts w:hint="eastAsia" w:ascii="宋体" w:hAnsi="宋体" w:eastAsia="宋体" w:cs="宋体"/>
          <w:b/>
          <w:color w:val="auto"/>
          <w:sz w:val="24"/>
          <w:szCs w:val="24"/>
          <w:highlight w:val="none"/>
          <w:lang w:val="en-US" w:eastAsia="zh-CN"/>
        </w:rPr>
        <w:t>开标一览表</w:t>
      </w:r>
    </w:p>
    <w:p w14:paraId="13BA4D1D">
      <w:pPr>
        <w:keepNext w:val="0"/>
        <w:keepLines w:val="0"/>
        <w:pageBreakBefore w:val="0"/>
        <w:kinsoku/>
        <w:wordWrap/>
        <w:overflowPunct/>
        <w:topLinePunct w:val="0"/>
        <w:bidi w:val="0"/>
        <w:snapToGrid/>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项目名称：</w:t>
      </w:r>
    </w:p>
    <w:p w14:paraId="5B451EAC">
      <w:pPr>
        <w:keepNext w:val="0"/>
        <w:keepLines w:val="0"/>
        <w:pageBreakBefore w:val="0"/>
        <w:kinsoku/>
        <w:wordWrap/>
        <w:overflowPunct/>
        <w:topLinePunct w:val="0"/>
        <w:bidi w:val="0"/>
        <w:snapToGrid/>
        <w:spacing w:line="36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项目编号：                                   </w:t>
      </w:r>
    </w:p>
    <w:p w14:paraId="5A742A6A">
      <w:pPr>
        <w:keepNext w:val="0"/>
        <w:keepLines w:val="0"/>
        <w:pageBreakBefore w:val="0"/>
        <w:kinsoku/>
        <w:wordWrap/>
        <w:overflowPunct/>
        <w:topLinePunct w:val="0"/>
        <w:bidi w:val="0"/>
        <w:snapToGrid/>
        <w:spacing w:line="360" w:lineRule="auto"/>
        <w:ind w:firstLine="7469" w:firstLineChars="31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单位：元</w:t>
      </w:r>
    </w:p>
    <w:tbl>
      <w:tblPr>
        <w:tblStyle w:val="16"/>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9"/>
        <w:gridCol w:w="2981"/>
        <w:gridCol w:w="1581"/>
      </w:tblGrid>
      <w:tr w14:paraId="06860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619" w:type="dxa"/>
            <w:noWrap w:val="0"/>
            <w:vAlign w:val="center"/>
          </w:tcPr>
          <w:p w14:paraId="79D88F93">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磋商报价</w:t>
            </w:r>
          </w:p>
        </w:tc>
        <w:tc>
          <w:tcPr>
            <w:tcW w:w="2981" w:type="dxa"/>
            <w:noWrap w:val="0"/>
            <w:vAlign w:val="center"/>
          </w:tcPr>
          <w:p w14:paraId="794FBB49">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服务期</w:t>
            </w:r>
          </w:p>
        </w:tc>
        <w:tc>
          <w:tcPr>
            <w:tcW w:w="1581" w:type="dxa"/>
            <w:noWrap w:val="0"/>
            <w:vAlign w:val="center"/>
          </w:tcPr>
          <w:p w14:paraId="00F18BA7">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62B4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4619" w:type="dxa"/>
            <w:noWrap w:val="0"/>
            <w:vAlign w:val="center"/>
          </w:tcPr>
          <w:p w14:paraId="0B3C9AEE">
            <w:pPr>
              <w:keepNext w:val="0"/>
              <w:keepLines w:val="0"/>
              <w:pageBreakBefore w:val="0"/>
              <w:kinsoku/>
              <w:wordWrap/>
              <w:overflowPunct/>
              <w:topLinePunct w:val="0"/>
              <w:bidi w:val="0"/>
              <w:snapToGrid/>
              <w:spacing w:line="360" w:lineRule="auto"/>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大写：             元</w:t>
            </w:r>
          </w:p>
          <w:p w14:paraId="6C60C845">
            <w:pPr>
              <w:keepNext w:val="0"/>
              <w:keepLines w:val="0"/>
              <w:pageBreakBefore w:val="0"/>
              <w:kinsoku/>
              <w:wordWrap/>
              <w:overflowPunct/>
              <w:topLinePunct w:val="0"/>
              <w:bidi w:val="0"/>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tc>
        <w:tc>
          <w:tcPr>
            <w:tcW w:w="2981" w:type="dxa"/>
            <w:noWrap w:val="0"/>
            <w:vAlign w:val="center"/>
          </w:tcPr>
          <w:p w14:paraId="6EF8FDA5">
            <w:pPr>
              <w:keepNext w:val="0"/>
              <w:keepLines w:val="0"/>
              <w:pageBreakBefore w:val="0"/>
              <w:widowControl/>
              <w:kinsoku/>
              <w:wordWrap/>
              <w:overflowPunct/>
              <w:topLinePunct w:val="0"/>
              <w:bidi w:val="0"/>
              <w:snapToGrid/>
              <w:spacing w:line="360" w:lineRule="auto"/>
              <w:jc w:val="left"/>
              <w:textAlignment w:val="auto"/>
              <w:rPr>
                <w:rFonts w:hint="eastAsia" w:ascii="宋体" w:hAnsi="宋体" w:eastAsia="宋体" w:cs="宋体"/>
                <w:color w:val="auto"/>
                <w:sz w:val="24"/>
                <w:szCs w:val="24"/>
                <w:highlight w:val="none"/>
              </w:rPr>
            </w:pPr>
          </w:p>
        </w:tc>
        <w:tc>
          <w:tcPr>
            <w:tcW w:w="1581" w:type="dxa"/>
            <w:noWrap w:val="0"/>
            <w:vAlign w:val="center"/>
          </w:tcPr>
          <w:p w14:paraId="0A74B792">
            <w:pPr>
              <w:keepNext w:val="0"/>
              <w:keepLines w:val="0"/>
              <w:pageBreakBefore w:val="0"/>
              <w:widowControl/>
              <w:kinsoku/>
              <w:wordWrap/>
              <w:overflowPunct/>
              <w:topLinePunct w:val="0"/>
              <w:bidi w:val="0"/>
              <w:snapToGrid/>
              <w:spacing w:line="360" w:lineRule="auto"/>
              <w:jc w:val="center"/>
              <w:textAlignment w:val="auto"/>
              <w:rPr>
                <w:rFonts w:hint="eastAsia" w:ascii="仿宋" w:hAnsi="仿宋" w:eastAsia="仿宋"/>
                <w:sz w:val="24"/>
                <w:szCs w:val="24"/>
              </w:rPr>
            </w:pPr>
            <w:r>
              <w:rPr>
                <w:rFonts w:hint="eastAsia" w:ascii="仿宋" w:hAnsi="仿宋" w:eastAsia="仿宋"/>
                <w:sz w:val="24"/>
                <w:szCs w:val="24"/>
              </w:rPr>
              <w:t>是否小微</w:t>
            </w:r>
          </w:p>
          <w:p w14:paraId="163745A4">
            <w:pPr>
              <w:keepNext w:val="0"/>
              <w:keepLines w:val="0"/>
              <w:pageBreakBefore w:val="0"/>
              <w:widowControl/>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rPr>
            </w:pPr>
            <w:r>
              <w:rPr>
                <w:rFonts w:hint="eastAsia" w:ascii="仿宋" w:hAnsi="仿宋" w:eastAsia="仿宋"/>
                <w:sz w:val="24"/>
                <w:szCs w:val="24"/>
              </w:rPr>
              <w:t>企业</w:t>
            </w:r>
          </w:p>
        </w:tc>
      </w:tr>
      <w:tr w14:paraId="18D23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181" w:type="dxa"/>
            <w:gridSpan w:val="3"/>
            <w:noWrap w:val="0"/>
            <w:vAlign w:val="center"/>
          </w:tcPr>
          <w:p w14:paraId="0C259524">
            <w:pPr>
              <w:keepNext w:val="0"/>
              <w:keepLines w:val="0"/>
              <w:pageBreakBefore w:val="0"/>
              <w:kinsoku/>
              <w:wordWrap/>
              <w:overflowPunct/>
              <w:topLinePunct w:val="0"/>
              <w:bidi w:val="0"/>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备注：表内报价内容以元为单位，保留小数点后两位。</w:t>
            </w:r>
          </w:p>
        </w:tc>
      </w:tr>
    </w:tbl>
    <w:p w14:paraId="0879E849">
      <w:pPr>
        <w:keepNext w:val="0"/>
        <w:keepLines w:val="0"/>
        <w:pageBreakBefore w:val="0"/>
        <w:kinsoku/>
        <w:wordWrap/>
        <w:overflowPunct/>
        <w:topLinePunct w:val="0"/>
        <w:bidi w:val="0"/>
        <w:snapToGrid/>
        <w:spacing w:line="360" w:lineRule="auto"/>
        <w:textAlignment w:val="auto"/>
        <w:rPr>
          <w:rFonts w:hint="eastAsia" w:ascii="宋体" w:hAnsi="宋体" w:eastAsia="宋体" w:cs="宋体"/>
          <w:b/>
          <w:color w:val="auto"/>
          <w:sz w:val="24"/>
          <w:szCs w:val="24"/>
          <w:highlight w:val="none"/>
        </w:rPr>
      </w:pPr>
    </w:p>
    <w:p w14:paraId="55B45239">
      <w:pPr>
        <w:spacing w:line="560" w:lineRule="exact"/>
        <w:ind w:firstLine="480" w:firstLineChars="200"/>
        <w:jc w:val="both"/>
        <w:rPr>
          <w:rFonts w:ascii="仿宋" w:hAnsi="仿宋" w:eastAsia="仿宋"/>
          <w:sz w:val="24"/>
          <w:szCs w:val="24"/>
        </w:rPr>
      </w:pPr>
      <w:r>
        <w:rPr>
          <w:rFonts w:ascii="仿宋" w:hAnsi="仿宋" w:eastAsia="仿宋"/>
          <w:sz w:val="24"/>
          <w:szCs w:val="24"/>
        </w:rPr>
        <w:t>注：监狱企业、残疾人福利性单位视同小微企业。</w:t>
      </w:r>
    </w:p>
    <w:p w14:paraId="6B127C34">
      <w:pPr>
        <w:keepNext w:val="0"/>
        <w:keepLines w:val="0"/>
        <w:pageBreakBefore w:val="0"/>
        <w:kinsoku/>
        <w:wordWrap/>
        <w:overflowPunct/>
        <w:topLinePunct w:val="0"/>
        <w:bidi w:val="0"/>
        <w:snapToGrid/>
        <w:spacing w:line="360" w:lineRule="auto"/>
        <w:jc w:val="left"/>
        <w:textAlignment w:val="auto"/>
        <w:rPr>
          <w:rFonts w:hint="eastAsia" w:ascii="宋体" w:hAnsi="宋体" w:eastAsia="宋体" w:cs="宋体"/>
          <w:color w:val="auto"/>
          <w:sz w:val="24"/>
          <w:szCs w:val="24"/>
          <w:highlight w:val="none"/>
        </w:rPr>
      </w:pPr>
    </w:p>
    <w:p w14:paraId="7E5168EF">
      <w:pPr>
        <w:pStyle w:val="2"/>
        <w:keepNext w:val="0"/>
        <w:keepLines w:val="0"/>
        <w:pageBreakBefore w:val="0"/>
        <w:kinsoku/>
        <w:wordWrap/>
        <w:overflowPunct/>
        <w:topLinePunct w:val="0"/>
        <w:bidi w:val="0"/>
        <w:snapToGrid/>
        <w:spacing w:line="360" w:lineRule="auto"/>
        <w:ind w:firstLine="480"/>
        <w:textAlignment w:val="auto"/>
        <w:rPr>
          <w:rFonts w:hint="eastAsia" w:ascii="宋体" w:hAnsi="宋体" w:eastAsia="宋体" w:cs="宋体"/>
          <w:color w:val="auto"/>
          <w:sz w:val="24"/>
          <w:szCs w:val="24"/>
          <w:highlight w:val="none"/>
        </w:rPr>
      </w:pPr>
    </w:p>
    <w:p w14:paraId="07D0DD3E">
      <w:pPr>
        <w:pStyle w:val="2"/>
        <w:keepNext w:val="0"/>
        <w:keepLines w:val="0"/>
        <w:pageBreakBefore w:val="0"/>
        <w:kinsoku/>
        <w:wordWrap/>
        <w:overflowPunct/>
        <w:topLinePunct w:val="0"/>
        <w:bidi w:val="0"/>
        <w:snapToGrid/>
        <w:spacing w:line="360" w:lineRule="auto"/>
        <w:ind w:firstLine="0" w:firstLineChars="0"/>
        <w:textAlignment w:val="auto"/>
        <w:rPr>
          <w:rFonts w:hint="eastAsia" w:ascii="宋体" w:hAnsi="宋体" w:eastAsia="宋体" w:cs="宋体"/>
          <w:color w:val="auto"/>
          <w:sz w:val="24"/>
          <w:szCs w:val="24"/>
          <w:highlight w:val="none"/>
        </w:rPr>
      </w:pPr>
    </w:p>
    <w:p w14:paraId="7607889B">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096111BF">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法定代表人/被授权人（</w:t>
      </w:r>
      <w:r>
        <w:rPr>
          <w:rFonts w:hint="eastAsia" w:ascii="宋体" w:hAnsi="宋体" w:eastAsia="宋体" w:cs="宋体"/>
          <w:color w:val="auto"/>
          <w:spacing w:val="4"/>
          <w:sz w:val="24"/>
          <w:szCs w:val="24"/>
          <w:highlight w:val="none"/>
        </w:rPr>
        <w:t>签字或盖章</w:t>
      </w:r>
      <w:r>
        <w:rPr>
          <w:rFonts w:hint="eastAsia" w:ascii="宋体" w:hAnsi="宋体" w:eastAsia="宋体" w:cs="宋体"/>
          <w:color w:val="auto"/>
          <w:sz w:val="24"/>
          <w:szCs w:val="24"/>
          <w:highlight w:val="none"/>
        </w:rPr>
        <w:t>）：</w:t>
      </w:r>
    </w:p>
    <w:p w14:paraId="7B05E18E">
      <w:pPr>
        <w:keepNext w:val="0"/>
        <w:keepLines w:val="0"/>
        <w:pageBreakBefore w:val="0"/>
        <w:widowControl w:val="0"/>
        <w:kinsoku/>
        <w:wordWrap/>
        <w:overflowPunct/>
        <w:topLinePunct w:val="0"/>
        <w:autoSpaceDE/>
        <w:autoSpaceDN/>
        <w:bidi w:val="0"/>
        <w:adjustRightInd/>
        <w:snapToGrid/>
        <w:spacing w:line="360" w:lineRule="auto"/>
        <w:ind w:firstLine="3648" w:firstLineChars="1471"/>
        <w:jc w:val="left"/>
        <w:textAlignment w:val="auto"/>
        <w:rPr>
          <w:rFonts w:hint="eastAsia" w:ascii="宋体" w:hAnsi="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年</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月</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日</w:t>
      </w:r>
    </w:p>
    <w:p w14:paraId="3C05D7FB">
      <w:pPr>
        <w:bidi w:val="0"/>
        <w:rPr>
          <w:rFonts w:hint="eastAsia"/>
          <w:color w:val="auto"/>
          <w:highlight w:val="none"/>
          <w:lang w:eastAsia="zh-CN"/>
        </w:rPr>
      </w:pPr>
    </w:p>
    <w:p w14:paraId="16C031FD">
      <w:pPr>
        <w:bidi w:val="0"/>
        <w:rPr>
          <w:rFonts w:hint="eastAsia"/>
          <w:color w:val="auto"/>
          <w:highlight w:val="none"/>
          <w:lang w:val="en-US" w:eastAsia="zh-CN"/>
        </w:rPr>
      </w:pPr>
    </w:p>
    <w:p w14:paraId="7774EB1B">
      <w:pPr>
        <w:bidi w:val="0"/>
        <w:rPr>
          <w:rFonts w:hint="eastAsia"/>
          <w:color w:val="auto"/>
          <w:highlight w:val="none"/>
          <w:lang w:eastAsia="zh-CN"/>
        </w:rPr>
      </w:pPr>
    </w:p>
    <w:p w14:paraId="548C8A7E">
      <w:pPr>
        <w:bidi w:val="0"/>
        <w:rPr>
          <w:rFonts w:hint="eastAsia"/>
          <w:color w:val="auto"/>
          <w:highlight w:val="none"/>
          <w:lang w:val="en-US" w:eastAsia="zh-CN"/>
        </w:rPr>
      </w:pPr>
    </w:p>
    <w:p w14:paraId="7CD86B09">
      <w:pPr>
        <w:bidi w:val="0"/>
        <w:rPr>
          <w:rFonts w:hint="eastAsia"/>
          <w:color w:val="auto"/>
          <w:highlight w:val="none"/>
          <w:lang w:eastAsia="zh-CN"/>
        </w:rPr>
      </w:pPr>
    </w:p>
    <w:p w14:paraId="174231EB">
      <w:pPr>
        <w:bidi w:val="0"/>
        <w:rPr>
          <w:rFonts w:hint="eastAsia"/>
          <w:color w:val="auto"/>
          <w:highlight w:val="none"/>
          <w:lang w:val="en-US" w:eastAsia="zh-CN"/>
        </w:rPr>
      </w:pPr>
    </w:p>
    <w:p w14:paraId="524C7C82">
      <w:pPr>
        <w:bidi w:val="0"/>
        <w:rPr>
          <w:rFonts w:hint="eastAsia"/>
          <w:color w:val="auto"/>
          <w:highlight w:val="none"/>
          <w:lang w:eastAsia="zh-CN"/>
        </w:rPr>
      </w:pPr>
    </w:p>
    <w:p w14:paraId="3EB98D82">
      <w:pPr>
        <w:bidi w:val="0"/>
        <w:rPr>
          <w:rFonts w:hint="eastAsia"/>
          <w:color w:val="auto"/>
          <w:highlight w:val="none"/>
          <w:lang w:val="en-US" w:eastAsia="zh-CN"/>
        </w:rPr>
      </w:pPr>
    </w:p>
    <w:p w14:paraId="64A77A82">
      <w:pPr>
        <w:bidi w:val="0"/>
        <w:rPr>
          <w:rFonts w:hint="eastAsia"/>
          <w:color w:val="auto"/>
          <w:highlight w:val="none"/>
          <w:lang w:val="en-US" w:eastAsia="zh-CN"/>
        </w:rPr>
      </w:pPr>
    </w:p>
    <w:p w14:paraId="480C2B35">
      <w:pPr>
        <w:bidi w:val="0"/>
        <w:rPr>
          <w:rFonts w:hint="eastAsia"/>
          <w:color w:val="auto"/>
          <w:highlight w:val="none"/>
          <w:lang w:val="en-US" w:eastAsia="zh-CN"/>
        </w:rPr>
      </w:pPr>
    </w:p>
    <w:p w14:paraId="03E892EE">
      <w:pPr>
        <w:bidi w:val="0"/>
        <w:rPr>
          <w:rFonts w:hint="eastAsia"/>
          <w:color w:val="auto"/>
          <w:highlight w:val="none"/>
          <w:lang w:val="en-US" w:eastAsia="zh-CN"/>
        </w:rPr>
      </w:pPr>
    </w:p>
    <w:p w14:paraId="1303C122">
      <w:pPr>
        <w:bidi w:val="0"/>
        <w:rPr>
          <w:rFonts w:hint="eastAsia"/>
          <w:color w:val="auto"/>
          <w:highlight w:val="none"/>
          <w:lang w:val="en-US" w:eastAsia="zh-CN"/>
        </w:rPr>
      </w:pPr>
    </w:p>
    <w:p w14:paraId="5DF16D09">
      <w:pPr>
        <w:bidi w:val="0"/>
        <w:rPr>
          <w:rFonts w:hint="eastAsia"/>
          <w:color w:val="auto"/>
          <w:highlight w:val="none"/>
          <w:lang w:val="en-US" w:eastAsia="zh-CN"/>
        </w:rPr>
      </w:pPr>
    </w:p>
    <w:p w14:paraId="4AF12869">
      <w:pPr>
        <w:bidi w:val="0"/>
        <w:rPr>
          <w:rFonts w:hint="eastAsia"/>
          <w:color w:val="auto"/>
          <w:highlight w:val="none"/>
          <w:lang w:val="en-US" w:eastAsia="zh-CN"/>
        </w:rPr>
      </w:pPr>
    </w:p>
    <w:p w14:paraId="6247610D">
      <w:pPr>
        <w:bidi w:val="0"/>
        <w:rPr>
          <w:rFonts w:hint="eastAsia"/>
          <w:color w:val="auto"/>
          <w:highlight w:val="none"/>
          <w:lang w:val="en-US" w:eastAsia="zh-CN"/>
        </w:rPr>
      </w:pPr>
    </w:p>
    <w:p w14:paraId="602029EC">
      <w:pPr>
        <w:bidi w:val="0"/>
        <w:rPr>
          <w:rFonts w:hint="eastAsia"/>
          <w:color w:val="auto"/>
          <w:highlight w:val="none"/>
          <w:lang w:eastAsia="zh-CN"/>
        </w:rPr>
      </w:pPr>
    </w:p>
    <w:p w14:paraId="0AAA2BE2">
      <w:pPr>
        <w:bidi w:val="0"/>
        <w:rPr>
          <w:rFonts w:hint="eastAsia"/>
          <w:color w:val="auto"/>
          <w:highlight w:val="none"/>
          <w:lang w:val="en-US" w:eastAsia="zh-CN"/>
        </w:rPr>
      </w:pPr>
    </w:p>
    <w:p w14:paraId="664FD93A">
      <w:pPr>
        <w:bidi w:val="0"/>
        <w:rPr>
          <w:rFonts w:hint="eastAsia"/>
          <w:color w:val="auto"/>
          <w:highlight w:val="none"/>
          <w:lang w:eastAsia="zh-CN"/>
        </w:rPr>
      </w:pPr>
    </w:p>
    <w:p w14:paraId="3D48B93E">
      <w:pPr>
        <w:keepNext w:val="0"/>
        <w:keepLines w:val="0"/>
        <w:pageBreakBefore w:val="0"/>
        <w:widowControl w:val="0"/>
        <w:shd w:val="clear"/>
        <w:kinsoku/>
        <w:wordWrap/>
        <w:overflowPunct/>
        <w:topLinePunct w:val="0"/>
        <w:bidi w:val="0"/>
        <w:spacing w:before="98" w:line="360" w:lineRule="auto"/>
        <w:jc w:val="center"/>
        <w:textAlignment w:val="auto"/>
        <w:outlineLvl w:val="3"/>
        <w:rPr>
          <w:rFonts w:hint="eastAsia" w:ascii="宋体" w:hAnsi="宋体" w:eastAsia="宋体" w:cs="宋体"/>
          <w:color w:val="auto"/>
          <w:sz w:val="21"/>
          <w:highlight w:val="none"/>
        </w:rPr>
      </w:pPr>
      <w:r>
        <w:rPr>
          <w:rFonts w:hint="eastAsia" w:ascii="宋体" w:hAnsi="宋体" w:cs="宋体"/>
          <w:b/>
          <w:bCs/>
          <w:color w:val="auto"/>
          <w:spacing w:val="-8"/>
          <w:sz w:val="30"/>
          <w:szCs w:val="30"/>
          <w:highlight w:val="none"/>
          <w:lang w:val="en-US" w:eastAsia="zh-CN"/>
        </w:rPr>
        <w:t>三</w:t>
      </w:r>
      <w:r>
        <w:rPr>
          <w:rFonts w:hint="eastAsia" w:ascii="宋体" w:hAnsi="宋体" w:eastAsia="宋体" w:cs="宋体"/>
          <w:b/>
          <w:bCs/>
          <w:color w:val="auto"/>
          <w:spacing w:val="-8"/>
          <w:sz w:val="30"/>
          <w:szCs w:val="30"/>
          <w:highlight w:val="none"/>
        </w:rPr>
        <w:t>、法定代表人身份证明书</w:t>
      </w:r>
    </w:p>
    <w:p w14:paraId="47CEAC93">
      <w:pPr>
        <w:keepNext w:val="0"/>
        <w:keepLines w:val="0"/>
        <w:pageBreakBefore w:val="0"/>
        <w:widowControl w:val="0"/>
        <w:shd w:val="clear"/>
        <w:kinsoku/>
        <w:wordWrap/>
        <w:overflowPunct/>
        <w:topLinePunct w:val="0"/>
        <w:bidi w:val="0"/>
        <w:spacing w:before="100" w:line="360" w:lineRule="auto"/>
        <w:ind w:firstLine="525" w:firstLineChars="21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18CC7F28">
      <w:pPr>
        <w:keepNext w:val="0"/>
        <w:keepLines w:val="0"/>
        <w:pageBreakBefore w:val="0"/>
        <w:widowControl w:val="0"/>
        <w:shd w:val="clear"/>
        <w:kinsoku/>
        <w:wordWrap/>
        <w:overflowPunct/>
        <w:topLinePunct w:val="0"/>
        <w:bidi w:val="0"/>
        <w:spacing w:before="100" w:line="360" w:lineRule="auto"/>
        <w:ind w:firstLine="525" w:firstLineChars="21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color="auto"/>
        </w:rPr>
        <w:t xml:space="preserve">                          </w:t>
      </w:r>
    </w:p>
    <w:p w14:paraId="5B3222B1">
      <w:pPr>
        <w:keepNext w:val="0"/>
        <w:keepLines w:val="0"/>
        <w:pageBreakBefore w:val="0"/>
        <w:widowControl w:val="0"/>
        <w:shd w:val="clear"/>
        <w:kinsoku/>
        <w:wordWrap/>
        <w:overflowPunct/>
        <w:topLinePunct w:val="0"/>
        <w:bidi w:val="0"/>
        <w:spacing w:before="227" w:line="360" w:lineRule="auto"/>
        <w:ind w:firstLine="525" w:firstLineChars="21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pacing w:val="14"/>
          <w:sz w:val="24"/>
          <w:szCs w:val="24"/>
          <w:highlight w:val="none"/>
          <w:u w:val="single" w:color="auto"/>
        </w:rPr>
        <w:t xml:space="preserve">      </w:t>
      </w:r>
      <w:r>
        <w:rPr>
          <w:rFonts w:hint="eastAsia" w:ascii="宋体" w:hAnsi="宋体" w:eastAsia="宋体" w:cs="宋体"/>
          <w:color w:val="auto"/>
          <w:spacing w:val="-30"/>
          <w:sz w:val="24"/>
          <w:szCs w:val="24"/>
          <w:highlight w:val="none"/>
        </w:rPr>
        <w:t>年</w:t>
      </w:r>
      <w:r>
        <w:rPr>
          <w:rFonts w:hint="eastAsia" w:ascii="宋体" w:hAnsi="宋体" w:eastAsia="宋体" w:cs="宋体"/>
          <w:color w:val="auto"/>
          <w:spacing w:val="12"/>
          <w:sz w:val="24"/>
          <w:szCs w:val="24"/>
          <w:highlight w:val="none"/>
          <w:u w:val="single" w:color="auto"/>
        </w:rPr>
        <w:t xml:space="preserve">      </w:t>
      </w:r>
      <w:r>
        <w:rPr>
          <w:rFonts w:hint="eastAsia" w:ascii="宋体" w:hAnsi="宋体" w:eastAsia="宋体" w:cs="宋体"/>
          <w:color w:val="auto"/>
          <w:spacing w:val="-30"/>
          <w:sz w:val="24"/>
          <w:szCs w:val="24"/>
          <w:highlight w:val="none"/>
        </w:rPr>
        <w:t>月</w:t>
      </w:r>
      <w:r>
        <w:rPr>
          <w:rFonts w:hint="eastAsia" w:ascii="宋体" w:hAnsi="宋体" w:eastAsia="宋体" w:cs="宋体"/>
          <w:color w:val="auto"/>
          <w:spacing w:val="20"/>
          <w:sz w:val="24"/>
          <w:szCs w:val="24"/>
          <w:highlight w:val="none"/>
          <w:u w:val="single" w:color="auto"/>
        </w:rPr>
        <w:t xml:space="preserve">  </w:t>
      </w:r>
      <w:r>
        <w:rPr>
          <w:rFonts w:hint="eastAsia" w:ascii="宋体" w:hAnsi="宋体" w:cs="宋体"/>
          <w:color w:val="auto"/>
          <w:spacing w:val="20"/>
          <w:sz w:val="24"/>
          <w:szCs w:val="24"/>
          <w:highlight w:val="none"/>
          <w:u w:val="single" w:color="auto"/>
          <w:lang w:val="en-US" w:eastAsia="zh-CN"/>
        </w:rPr>
        <w:t xml:space="preserve"> </w:t>
      </w:r>
      <w:r>
        <w:rPr>
          <w:rFonts w:hint="eastAsia" w:ascii="宋体" w:hAnsi="宋体" w:eastAsia="宋体" w:cs="宋体"/>
          <w:color w:val="auto"/>
          <w:spacing w:val="20"/>
          <w:sz w:val="24"/>
          <w:szCs w:val="24"/>
          <w:highlight w:val="none"/>
          <w:u w:val="single" w:color="auto"/>
        </w:rPr>
        <w:t xml:space="preserve">  </w:t>
      </w:r>
      <w:r>
        <w:rPr>
          <w:rFonts w:hint="eastAsia" w:ascii="宋体" w:hAnsi="宋体" w:eastAsia="宋体" w:cs="宋体"/>
          <w:color w:val="auto"/>
          <w:spacing w:val="-30"/>
          <w:sz w:val="24"/>
          <w:szCs w:val="24"/>
          <w:highlight w:val="none"/>
        </w:rPr>
        <w:t>日</w:t>
      </w:r>
    </w:p>
    <w:p w14:paraId="7A67FC8D">
      <w:pPr>
        <w:keepNext w:val="0"/>
        <w:keepLines w:val="0"/>
        <w:pageBreakBefore w:val="0"/>
        <w:widowControl w:val="0"/>
        <w:shd w:val="clear"/>
        <w:kinsoku/>
        <w:wordWrap/>
        <w:overflowPunct/>
        <w:topLinePunct w:val="0"/>
        <w:bidi w:val="0"/>
        <w:spacing w:before="224" w:line="360" w:lineRule="auto"/>
        <w:ind w:firstLine="516" w:firstLineChars="21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color="auto"/>
        </w:rPr>
        <w:t xml:space="preserve">        </w:t>
      </w:r>
      <w:r>
        <w:rPr>
          <w:rFonts w:hint="eastAsia" w:ascii="宋体" w:hAnsi="宋体" w:cs="宋体"/>
          <w:color w:val="auto"/>
          <w:sz w:val="24"/>
          <w:szCs w:val="24"/>
          <w:highlight w:val="none"/>
          <w:u w:val="single" w:color="auto"/>
          <w:lang w:val="en-US" w:eastAsia="zh-CN"/>
        </w:rPr>
        <w:t xml:space="preserve">              </w:t>
      </w:r>
      <w:r>
        <w:rPr>
          <w:rFonts w:hint="eastAsia" w:ascii="宋体" w:hAnsi="宋体" w:eastAsia="宋体" w:cs="宋体"/>
          <w:color w:val="auto"/>
          <w:sz w:val="24"/>
          <w:szCs w:val="24"/>
          <w:highlight w:val="none"/>
          <w:u w:val="single" w:color="auto"/>
        </w:rPr>
        <w:t xml:space="preserve">    </w:t>
      </w:r>
    </w:p>
    <w:p w14:paraId="0A7089A9">
      <w:pPr>
        <w:keepNext w:val="0"/>
        <w:keepLines w:val="0"/>
        <w:pageBreakBefore w:val="0"/>
        <w:widowControl w:val="0"/>
        <w:shd w:val="clear"/>
        <w:kinsoku/>
        <w:wordWrap/>
        <w:overflowPunct/>
        <w:topLinePunct w:val="0"/>
        <w:bidi w:val="0"/>
        <w:spacing w:before="226" w:line="360" w:lineRule="auto"/>
        <w:ind w:firstLine="516" w:firstLineChars="215"/>
        <w:textAlignment w:val="auto"/>
        <w:rPr>
          <w:rFonts w:hint="eastAsia" w:ascii="宋体" w:hAnsi="宋体" w:cs="宋体"/>
          <w:color w:val="auto"/>
          <w:sz w:val="24"/>
          <w:szCs w:val="24"/>
          <w:highlight w:val="none"/>
          <w:u w:val="single" w:color="auto"/>
          <w:lang w:val="en-US"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pacing w:val="13"/>
          <w:sz w:val="24"/>
          <w:szCs w:val="24"/>
          <w:highlight w:val="none"/>
          <w:u w:val="single" w:color="auto"/>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pacing w:val="14"/>
          <w:sz w:val="24"/>
          <w:szCs w:val="24"/>
          <w:highlight w:val="none"/>
          <w:u w:val="single" w:color="auto"/>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color="auto"/>
        </w:rPr>
        <w:t xml:space="preserve">      </w:t>
      </w:r>
      <w:r>
        <w:rPr>
          <w:rFonts w:hint="eastAsia" w:ascii="宋体" w:hAnsi="宋体" w:cs="宋体"/>
          <w:color w:val="auto"/>
          <w:sz w:val="24"/>
          <w:szCs w:val="24"/>
          <w:highlight w:val="none"/>
          <w:u w:val="single" w:color="auto"/>
          <w:lang w:val="en-US" w:eastAsia="zh-CN"/>
        </w:rPr>
        <w:t xml:space="preserve">  </w:t>
      </w:r>
      <w:r>
        <w:rPr>
          <w:rFonts w:hint="eastAsia" w:ascii="宋体" w:hAnsi="宋体" w:cs="宋体"/>
          <w:color w:val="auto"/>
          <w:sz w:val="24"/>
          <w:szCs w:val="24"/>
          <w:highlight w:val="none"/>
          <w:u w:val="none" w:color="auto"/>
          <w:lang w:val="en-US" w:eastAsia="zh-CN"/>
        </w:rPr>
        <w:t xml:space="preserve">  职务： </w:t>
      </w:r>
      <w:r>
        <w:rPr>
          <w:rFonts w:hint="eastAsia" w:ascii="宋体" w:hAnsi="宋体" w:cs="宋体"/>
          <w:color w:val="auto"/>
          <w:sz w:val="24"/>
          <w:szCs w:val="24"/>
          <w:highlight w:val="none"/>
          <w:u w:val="single" w:color="auto"/>
          <w:lang w:val="en-US" w:eastAsia="zh-CN"/>
        </w:rPr>
        <w:t xml:space="preserve">        </w:t>
      </w:r>
    </w:p>
    <w:p w14:paraId="3A953606">
      <w:pPr>
        <w:keepNext w:val="0"/>
        <w:keepLines w:val="0"/>
        <w:pageBreakBefore w:val="0"/>
        <w:widowControl w:val="0"/>
        <w:shd w:val="clear"/>
        <w:kinsoku/>
        <w:wordWrap/>
        <w:overflowPunct/>
        <w:topLinePunct w:val="0"/>
        <w:bidi w:val="0"/>
        <w:spacing w:before="226" w:line="360" w:lineRule="auto"/>
        <w:ind w:firstLine="604" w:firstLineChars="315"/>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系</w:t>
      </w:r>
      <w:r>
        <w:rPr>
          <w:rFonts w:hint="eastAsia" w:ascii="宋体" w:hAnsi="宋体" w:eastAsia="宋体" w:cs="宋体"/>
          <w:color w:val="auto"/>
          <w:spacing w:val="5"/>
          <w:sz w:val="24"/>
          <w:szCs w:val="24"/>
          <w:highlight w:val="none"/>
          <w:u w:val="single" w:color="auto"/>
        </w:rPr>
        <w:t xml:space="preserve">        </w:t>
      </w:r>
      <w:r>
        <w:rPr>
          <w:rFonts w:hint="eastAsia" w:ascii="宋体" w:hAnsi="宋体" w:cs="宋体"/>
          <w:color w:val="auto"/>
          <w:spacing w:val="5"/>
          <w:sz w:val="24"/>
          <w:szCs w:val="24"/>
          <w:highlight w:val="none"/>
          <w:u w:val="single" w:color="auto"/>
          <w:lang w:val="en-US" w:eastAsia="zh-CN"/>
        </w:rPr>
        <w:t xml:space="preserve">  </w:t>
      </w:r>
      <w:r>
        <w:rPr>
          <w:rFonts w:hint="eastAsia" w:ascii="宋体" w:hAnsi="宋体" w:eastAsia="宋体" w:cs="宋体"/>
          <w:color w:val="auto"/>
          <w:spacing w:val="5"/>
          <w:sz w:val="24"/>
          <w:szCs w:val="24"/>
          <w:highlight w:val="none"/>
          <w:u w:val="single" w:color="auto"/>
        </w:rPr>
        <w:t xml:space="preserve">  </w:t>
      </w:r>
      <w:r>
        <w:rPr>
          <w:rFonts w:hint="eastAsia" w:ascii="宋体" w:hAnsi="宋体" w:cs="宋体"/>
          <w:color w:val="auto"/>
          <w:spacing w:val="5"/>
          <w:sz w:val="24"/>
          <w:szCs w:val="24"/>
          <w:highlight w:val="none"/>
          <w:u w:val="single" w:color="auto"/>
          <w:lang w:val="en-US" w:eastAsia="zh-CN"/>
        </w:rPr>
        <w:t xml:space="preserve">   </w:t>
      </w:r>
      <w:r>
        <w:rPr>
          <w:rFonts w:hint="eastAsia"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24"/>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 的法定代表人</w:t>
      </w:r>
      <w:r>
        <w:rPr>
          <w:rFonts w:hint="eastAsia" w:ascii="宋体" w:hAnsi="宋体" w:eastAsia="宋体" w:cs="宋体"/>
          <w:color w:val="auto"/>
          <w:spacing w:val="-8"/>
          <w:sz w:val="24"/>
          <w:szCs w:val="24"/>
          <w:highlight w:val="none"/>
        </w:rPr>
        <w:t>。</w:t>
      </w:r>
    </w:p>
    <w:p w14:paraId="144189C7">
      <w:pPr>
        <w:keepNext w:val="0"/>
        <w:keepLines w:val="0"/>
        <w:pageBreakBefore w:val="0"/>
        <w:widowControl w:val="0"/>
        <w:shd w:val="clear"/>
        <w:kinsoku/>
        <w:wordWrap/>
        <w:overflowPunct/>
        <w:topLinePunct w:val="0"/>
        <w:bidi w:val="0"/>
        <w:spacing w:before="2" w:line="360" w:lineRule="auto"/>
        <w:ind w:firstLine="675"/>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特此证明。</w:t>
      </w:r>
    </w:p>
    <w:p w14:paraId="747EB12C">
      <w:pPr>
        <w:keepNext w:val="0"/>
        <w:keepLines w:val="0"/>
        <w:pageBreakBefore w:val="0"/>
        <w:widowControl w:val="0"/>
        <w:shd w:val="clear"/>
        <w:kinsoku/>
        <w:wordWrap/>
        <w:overflowPunct/>
        <w:topLinePunct w:val="0"/>
        <w:bidi w:val="0"/>
        <w:spacing w:line="360" w:lineRule="auto"/>
        <w:textAlignment w:val="auto"/>
        <w:rPr>
          <w:rFonts w:hint="eastAsia" w:ascii="宋体" w:hAnsi="宋体" w:eastAsia="宋体" w:cs="宋体"/>
          <w:color w:val="auto"/>
          <w:sz w:val="24"/>
          <w:szCs w:val="24"/>
          <w:highlight w:val="none"/>
        </w:rPr>
      </w:pPr>
    </w:p>
    <w:p w14:paraId="72483F8D">
      <w:pPr>
        <w:keepNext w:val="0"/>
        <w:keepLines w:val="0"/>
        <w:pageBreakBefore w:val="0"/>
        <w:widowControl w:val="0"/>
        <w:shd w:val="clear"/>
        <w:kinsoku/>
        <w:wordWrap/>
        <w:overflowPunct/>
        <w:topLinePunct w:val="0"/>
        <w:autoSpaceDE w:val="0"/>
        <w:autoSpaceDN w:val="0"/>
        <w:bidi w:val="0"/>
        <w:adjustRightInd w:val="0"/>
        <w:snapToGrid w:val="0"/>
        <w:spacing w:before="156" w:beforeLines="50"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附：法定代表人身份证复印件</w:t>
      </w:r>
      <w:r>
        <w:rPr>
          <w:rFonts w:hint="eastAsia" w:ascii="宋体" w:hAnsi="宋体" w:eastAsia="宋体" w:cs="宋体"/>
          <w:color w:val="auto"/>
          <w:sz w:val="24"/>
          <w:szCs w:val="24"/>
          <w:highlight w:val="none"/>
          <w:lang w:eastAsia="zh-CN"/>
        </w:rPr>
        <w:t>（正反面）</w:t>
      </w:r>
    </w:p>
    <w:tbl>
      <w:tblPr>
        <w:tblStyle w:val="16"/>
        <w:tblpPr w:leftFromText="180" w:rightFromText="180" w:vertAnchor="text" w:horzAnchor="margin" w:tblpXSpec="center" w:tblpY="104"/>
        <w:tblW w:w="88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420"/>
        <w:gridCol w:w="4420"/>
      </w:tblGrid>
      <w:tr w14:paraId="32FE5F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75" w:hRule="atLeast"/>
        </w:trPr>
        <w:tc>
          <w:tcPr>
            <w:tcW w:w="4420" w:type="dxa"/>
            <w:tcBorders>
              <w:tl2br w:val="nil"/>
              <w:tr2bl w:val="nil"/>
            </w:tcBorders>
            <w:noWrap w:val="0"/>
            <w:vAlign w:val="center"/>
          </w:tcPr>
          <w:p w14:paraId="2126F800">
            <w:pPr>
              <w:keepNext w:val="0"/>
              <w:keepLines w:val="0"/>
              <w:pageBreakBefore w:val="0"/>
              <w:widowControl w:val="0"/>
              <w:shd w:val="clear"/>
              <w:kinsoku/>
              <w:wordWrap/>
              <w:overflowPunct/>
              <w:topLinePunct w:val="0"/>
              <w:bidi w:val="0"/>
              <w:snapToGrid w:val="0"/>
              <w:spacing w:line="360" w:lineRule="auto"/>
              <w:jc w:val="center"/>
              <w:textAlignment w:val="auto"/>
              <w:rPr>
                <w:rFonts w:hint="eastAsia"/>
                <w:color w:val="auto"/>
                <w:highlight w:val="none"/>
              </w:rPr>
            </w:pPr>
          </w:p>
          <w:p w14:paraId="3795CC23">
            <w:pPr>
              <w:pStyle w:val="4"/>
              <w:numPr>
                <w:ilvl w:val="1"/>
                <w:numId w:val="0"/>
              </w:numPr>
              <w:ind w:left="420" w:leftChars="0"/>
              <w:rPr>
                <w:rFonts w:hint="eastAsia"/>
                <w:color w:val="auto"/>
                <w:highlight w:val="none"/>
              </w:rPr>
            </w:pPr>
          </w:p>
        </w:tc>
        <w:tc>
          <w:tcPr>
            <w:tcW w:w="4420" w:type="dxa"/>
            <w:tcBorders>
              <w:tl2br w:val="nil"/>
              <w:tr2bl w:val="nil"/>
            </w:tcBorders>
            <w:noWrap w:val="0"/>
            <w:vAlign w:val="center"/>
          </w:tcPr>
          <w:p w14:paraId="04550580">
            <w:pPr>
              <w:keepNext w:val="0"/>
              <w:keepLines w:val="0"/>
              <w:pageBreakBefore w:val="0"/>
              <w:widowControl w:val="0"/>
              <w:shd w:val="clear"/>
              <w:kinsoku/>
              <w:wordWrap/>
              <w:overflowPunct/>
              <w:topLinePunct w:val="0"/>
              <w:bidi w:val="0"/>
              <w:snapToGrid w:val="0"/>
              <w:spacing w:line="360" w:lineRule="auto"/>
              <w:jc w:val="center"/>
              <w:textAlignment w:val="auto"/>
              <w:rPr>
                <w:rFonts w:hint="eastAsia" w:ascii="宋体" w:hAnsi="宋体" w:eastAsia="宋体" w:cs="宋体"/>
                <w:color w:val="auto"/>
                <w:sz w:val="24"/>
                <w:szCs w:val="24"/>
                <w:highlight w:val="none"/>
              </w:rPr>
            </w:pPr>
          </w:p>
        </w:tc>
      </w:tr>
    </w:tbl>
    <w:p w14:paraId="5EE21635">
      <w:pPr>
        <w:keepNext w:val="0"/>
        <w:keepLines w:val="0"/>
        <w:pageBreakBefore w:val="0"/>
        <w:widowControl w:val="0"/>
        <w:shd w:val="clear"/>
        <w:kinsoku/>
        <w:wordWrap/>
        <w:overflowPunct/>
        <w:topLinePunct w:val="0"/>
        <w:bidi w:val="0"/>
        <w:spacing w:before="101" w:line="360" w:lineRule="auto"/>
        <w:ind w:firstLine="80"/>
        <w:textAlignment w:val="auto"/>
        <w:rPr>
          <w:rFonts w:hint="eastAsia" w:ascii="宋体" w:hAnsi="宋体" w:eastAsia="宋体" w:cs="宋体"/>
          <w:color w:val="auto"/>
          <w:spacing w:val="-25"/>
          <w:position w:val="8"/>
          <w:sz w:val="24"/>
          <w:szCs w:val="24"/>
          <w:highlight w:val="none"/>
        </w:rPr>
      </w:pPr>
    </w:p>
    <w:p w14:paraId="79EDF147">
      <w:pPr>
        <w:keepNext w:val="0"/>
        <w:keepLines w:val="0"/>
        <w:pageBreakBefore w:val="0"/>
        <w:widowControl w:val="0"/>
        <w:shd w:val="clear"/>
        <w:kinsoku/>
        <w:wordWrap/>
        <w:overflowPunct/>
        <w:topLinePunct w:val="0"/>
        <w:bidi w:val="0"/>
        <w:spacing w:before="101" w:line="360" w:lineRule="auto"/>
        <w:ind w:firstLine="80"/>
        <w:textAlignment w:val="auto"/>
        <w:rPr>
          <w:rFonts w:hint="eastAsia" w:ascii="宋体" w:hAnsi="宋体" w:eastAsia="宋体" w:cs="宋体"/>
          <w:color w:val="auto"/>
          <w:spacing w:val="-25"/>
          <w:position w:val="8"/>
          <w:sz w:val="24"/>
          <w:szCs w:val="24"/>
          <w:highlight w:val="none"/>
        </w:rPr>
      </w:pPr>
    </w:p>
    <w:p w14:paraId="7452A60E">
      <w:pPr>
        <w:keepNext w:val="0"/>
        <w:keepLines w:val="0"/>
        <w:pageBreakBefore w:val="0"/>
        <w:widowControl w:val="0"/>
        <w:kinsoku/>
        <w:wordWrap/>
        <w:overflowPunct/>
        <w:topLinePunct w:val="0"/>
        <w:autoSpaceDE/>
        <w:autoSpaceDN/>
        <w:bidi w:val="0"/>
        <w:adjustRightInd/>
        <w:snapToGrid/>
        <w:spacing w:line="480" w:lineRule="auto"/>
        <w:ind w:firstLine="4080" w:firstLineChars="17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20EC12C5">
      <w:pPr>
        <w:keepNext w:val="0"/>
        <w:keepLines w:val="0"/>
        <w:pageBreakBefore w:val="0"/>
        <w:widowControl w:val="0"/>
        <w:kinsoku/>
        <w:wordWrap/>
        <w:overflowPunct/>
        <w:topLinePunct w:val="0"/>
        <w:autoSpaceDE/>
        <w:autoSpaceDN/>
        <w:bidi w:val="0"/>
        <w:adjustRightInd/>
        <w:snapToGrid/>
        <w:spacing w:line="360" w:lineRule="auto"/>
        <w:ind w:firstLine="4141" w:firstLineChars="1670"/>
        <w:jc w:val="left"/>
        <w:textAlignment w:val="auto"/>
        <w:rPr>
          <w:rFonts w:hint="eastAsia" w:ascii="宋体" w:hAnsi="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年</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月</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日</w:t>
      </w:r>
    </w:p>
    <w:p w14:paraId="1E3A9EED">
      <w:pPr>
        <w:keepNext w:val="0"/>
        <w:keepLines w:val="0"/>
        <w:pageBreakBefore w:val="0"/>
        <w:widowControl w:val="0"/>
        <w:shd w:val="clear"/>
        <w:kinsoku/>
        <w:wordWrap/>
        <w:overflowPunct/>
        <w:topLinePunct w:val="0"/>
        <w:bidi w:val="0"/>
        <w:spacing w:line="360" w:lineRule="auto"/>
        <w:textAlignment w:val="auto"/>
        <w:rPr>
          <w:rFonts w:hint="eastAsia" w:ascii="宋体" w:hAnsi="宋体" w:eastAsia="宋体" w:cs="宋体"/>
          <w:color w:val="auto"/>
          <w:sz w:val="21"/>
          <w:highlight w:val="none"/>
        </w:rPr>
      </w:pPr>
    </w:p>
    <w:p w14:paraId="37928942">
      <w:pPr>
        <w:shd w:val="clear"/>
        <w:spacing w:line="274" w:lineRule="auto"/>
        <w:rPr>
          <w:rFonts w:hint="eastAsia" w:ascii="宋体" w:hAnsi="宋体" w:eastAsia="宋体" w:cs="宋体"/>
          <w:color w:val="auto"/>
          <w:sz w:val="21"/>
          <w:highlight w:val="none"/>
        </w:rPr>
      </w:pPr>
    </w:p>
    <w:p w14:paraId="7DC7717C">
      <w:pPr>
        <w:shd w:val="clear"/>
        <w:spacing w:line="274" w:lineRule="auto"/>
        <w:rPr>
          <w:rFonts w:hint="eastAsia" w:ascii="宋体" w:hAnsi="宋体" w:eastAsia="宋体" w:cs="宋体"/>
          <w:color w:val="auto"/>
          <w:sz w:val="21"/>
          <w:highlight w:val="none"/>
        </w:rPr>
      </w:pPr>
    </w:p>
    <w:p w14:paraId="5548681C">
      <w:pPr>
        <w:shd w:val="clear"/>
        <w:spacing w:line="274" w:lineRule="auto"/>
        <w:rPr>
          <w:rFonts w:hint="eastAsia" w:ascii="宋体" w:hAnsi="宋体" w:eastAsia="宋体" w:cs="宋体"/>
          <w:color w:val="auto"/>
          <w:sz w:val="21"/>
          <w:highlight w:val="none"/>
        </w:rPr>
      </w:pPr>
    </w:p>
    <w:p w14:paraId="2146E44C">
      <w:pPr>
        <w:shd w:val="clear"/>
        <w:spacing w:before="98" w:line="220" w:lineRule="auto"/>
        <w:outlineLvl w:val="3"/>
        <w:rPr>
          <w:rFonts w:hint="eastAsia" w:ascii="宋体" w:hAnsi="宋体" w:eastAsia="宋体" w:cs="宋体"/>
          <w:b/>
          <w:bCs/>
          <w:color w:val="auto"/>
          <w:spacing w:val="-8"/>
          <w:sz w:val="30"/>
          <w:szCs w:val="30"/>
          <w:highlight w:val="none"/>
          <w:lang w:val="en-US" w:eastAsia="zh-CN"/>
        </w:rPr>
      </w:pPr>
      <w:bookmarkStart w:id="44" w:name="_bookmark586"/>
      <w:bookmarkEnd w:id="44"/>
      <w:bookmarkStart w:id="45" w:name="_bookmark614"/>
      <w:bookmarkEnd w:id="45"/>
    </w:p>
    <w:p w14:paraId="4234A0A6">
      <w:pPr>
        <w:shd w:val="clear"/>
        <w:spacing w:before="98" w:line="220" w:lineRule="auto"/>
        <w:outlineLvl w:val="3"/>
        <w:rPr>
          <w:rFonts w:hint="eastAsia" w:ascii="宋体" w:hAnsi="宋体" w:eastAsia="宋体" w:cs="宋体"/>
          <w:b/>
          <w:bCs/>
          <w:color w:val="auto"/>
          <w:spacing w:val="-8"/>
          <w:sz w:val="30"/>
          <w:szCs w:val="30"/>
          <w:highlight w:val="none"/>
          <w:lang w:val="en-US" w:eastAsia="zh-CN"/>
        </w:rPr>
      </w:pPr>
    </w:p>
    <w:p w14:paraId="007C7633">
      <w:pPr>
        <w:keepNext w:val="0"/>
        <w:keepLines w:val="0"/>
        <w:pageBreakBefore w:val="0"/>
        <w:widowControl w:val="0"/>
        <w:shd w:val="clear"/>
        <w:kinsoku/>
        <w:wordWrap/>
        <w:overflowPunct/>
        <w:topLinePunct w:val="0"/>
        <w:autoSpaceDE/>
        <w:autoSpaceDN/>
        <w:bidi w:val="0"/>
        <w:adjustRightInd/>
        <w:snapToGrid/>
        <w:spacing w:before="98" w:line="360" w:lineRule="auto"/>
        <w:jc w:val="center"/>
        <w:textAlignment w:val="auto"/>
        <w:outlineLvl w:val="3"/>
        <w:rPr>
          <w:rFonts w:hint="eastAsia" w:ascii="宋体" w:hAnsi="宋体" w:eastAsia="宋体" w:cs="宋体"/>
          <w:color w:val="auto"/>
          <w:sz w:val="21"/>
          <w:highlight w:val="none"/>
        </w:rPr>
      </w:pPr>
      <w:r>
        <w:rPr>
          <w:rFonts w:hint="eastAsia" w:ascii="宋体" w:hAnsi="宋体" w:cs="宋体"/>
          <w:b/>
          <w:bCs/>
          <w:color w:val="auto"/>
          <w:spacing w:val="-8"/>
          <w:sz w:val="30"/>
          <w:szCs w:val="30"/>
          <w:highlight w:val="none"/>
          <w:lang w:val="en-US" w:eastAsia="zh-CN"/>
        </w:rPr>
        <w:t>四</w:t>
      </w:r>
      <w:r>
        <w:rPr>
          <w:rFonts w:hint="eastAsia" w:ascii="宋体" w:hAnsi="宋体" w:eastAsia="宋体" w:cs="宋体"/>
          <w:b/>
          <w:bCs/>
          <w:color w:val="auto"/>
          <w:spacing w:val="-8"/>
          <w:sz w:val="30"/>
          <w:szCs w:val="30"/>
          <w:highlight w:val="none"/>
        </w:rPr>
        <w:t>、 法定代表人授权委托书</w:t>
      </w:r>
    </w:p>
    <w:p w14:paraId="13208C66">
      <w:pPr>
        <w:keepNext w:val="0"/>
        <w:keepLines w:val="0"/>
        <w:pageBreakBefore w:val="0"/>
        <w:widowControl w:val="0"/>
        <w:shd w:val="clear"/>
        <w:kinsoku/>
        <w:wordWrap/>
        <w:overflowPunct/>
        <w:topLinePunct w:val="0"/>
        <w:autoSpaceDE/>
        <w:autoSpaceDN/>
        <w:bidi w:val="0"/>
        <w:adjustRightInd/>
        <w:snapToGrid/>
        <w:spacing w:before="78" w:line="360" w:lineRule="auto"/>
        <w:ind w:left="23" w:right="12"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本人</w:t>
      </w:r>
      <w:r>
        <w:rPr>
          <w:rFonts w:hint="eastAsia" w:ascii="宋体" w:hAnsi="宋体" w:eastAsia="宋体" w:cs="宋体"/>
          <w:color w:val="auto"/>
          <w:spacing w:val="14"/>
          <w:sz w:val="24"/>
          <w:szCs w:val="24"/>
          <w:highlight w:val="none"/>
          <w:u w:val="single" w:color="auto"/>
        </w:rPr>
        <w:t xml:space="preserve">        </w:t>
      </w:r>
      <w:r>
        <w:rPr>
          <w:rFonts w:hint="eastAsia" w:ascii="宋体" w:hAnsi="宋体" w:eastAsia="宋体" w:cs="宋体"/>
          <w:color w:val="auto"/>
          <w:spacing w:val="-20"/>
          <w:sz w:val="24"/>
          <w:szCs w:val="24"/>
          <w:highlight w:val="none"/>
        </w:rPr>
        <w:t>（姓名）系</w:t>
      </w:r>
      <w:r>
        <w:rPr>
          <w:rFonts w:hint="eastAsia" w:ascii="宋体" w:hAnsi="宋体" w:eastAsia="宋体" w:cs="宋体"/>
          <w:color w:val="auto"/>
          <w:spacing w:val="6"/>
          <w:sz w:val="24"/>
          <w:szCs w:val="24"/>
          <w:highlight w:val="none"/>
          <w:u w:val="single" w:color="auto"/>
        </w:rPr>
        <w:t xml:space="preserve">                   </w:t>
      </w:r>
      <w:r>
        <w:rPr>
          <w:rFonts w:hint="eastAsia" w:ascii="宋体" w:hAnsi="宋体" w:eastAsia="宋体" w:cs="宋体"/>
          <w:color w:val="auto"/>
          <w:spacing w:val="-20"/>
          <w:sz w:val="24"/>
          <w:szCs w:val="24"/>
          <w:highlight w:val="none"/>
        </w:rPr>
        <w:t>（</w:t>
      </w:r>
      <w:r>
        <w:rPr>
          <w:rFonts w:hint="eastAsia" w:ascii="宋体" w:hAnsi="宋体" w:eastAsia="宋体" w:cs="宋体"/>
          <w:color w:val="auto"/>
          <w:spacing w:val="4"/>
          <w:sz w:val="24"/>
          <w:szCs w:val="24"/>
          <w:highlight w:val="none"/>
          <w:lang w:eastAsia="zh-CN"/>
        </w:rPr>
        <w:t>供应商</w:t>
      </w:r>
      <w:r>
        <w:rPr>
          <w:rFonts w:hint="eastAsia" w:ascii="宋体" w:hAnsi="宋体" w:eastAsia="宋体" w:cs="宋体"/>
          <w:color w:val="auto"/>
          <w:spacing w:val="4"/>
          <w:sz w:val="24"/>
          <w:szCs w:val="24"/>
          <w:highlight w:val="none"/>
        </w:rPr>
        <w:t>名称）的法定代表人， 现委托</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pacing w:val="-95"/>
          <w:sz w:val="24"/>
          <w:szCs w:val="24"/>
          <w:highlight w:val="none"/>
        </w:rPr>
        <w:t xml:space="preserve"> </w:t>
      </w:r>
      <w:r>
        <w:rPr>
          <w:rFonts w:hint="eastAsia" w:ascii="宋体" w:hAnsi="宋体" w:eastAsia="宋体" w:cs="宋体"/>
          <w:color w:val="auto"/>
          <w:spacing w:val="-22"/>
          <w:sz w:val="24"/>
          <w:szCs w:val="24"/>
          <w:highlight w:val="none"/>
        </w:rPr>
        <w:t>（</w:t>
      </w:r>
      <w:r>
        <w:rPr>
          <w:rFonts w:hint="eastAsia" w:ascii="宋体" w:hAnsi="宋体" w:eastAsia="宋体" w:cs="宋体"/>
          <w:color w:val="auto"/>
          <w:spacing w:val="4"/>
          <w:sz w:val="24"/>
          <w:szCs w:val="24"/>
          <w:highlight w:val="none"/>
        </w:rPr>
        <w:t xml:space="preserve">姓名）为我方代理人。代理人根据授权，以我方名义签署、澄清、说明、补正、递交、撤回、修改 </w:t>
      </w:r>
      <w:r>
        <w:rPr>
          <w:rFonts w:hint="eastAsia" w:ascii="宋体" w:hAnsi="宋体" w:eastAsia="宋体" w:cs="宋体"/>
          <w:color w:val="auto"/>
          <w:spacing w:val="6"/>
          <w:sz w:val="24"/>
          <w:szCs w:val="24"/>
          <w:highlight w:val="none"/>
          <w:u w:val="single" w:color="auto"/>
        </w:rPr>
        <w:t xml:space="preserve">  </w:t>
      </w:r>
      <w:r>
        <w:rPr>
          <w:rFonts w:hint="eastAsia" w:ascii="宋体" w:hAnsi="宋体" w:eastAsia="宋体" w:cs="宋体"/>
          <w:color w:val="auto"/>
          <w:spacing w:val="8"/>
          <w:sz w:val="24"/>
          <w:szCs w:val="24"/>
          <w:highlight w:val="none"/>
          <w:u w:val="single" w:color="auto"/>
          <w:lang w:eastAsia="zh-CN"/>
        </w:rPr>
        <w:t>（</w:t>
      </w:r>
      <w:r>
        <w:rPr>
          <w:rFonts w:hint="eastAsia" w:ascii="宋体" w:hAnsi="宋体" w:eastAsia="宋体" w:cs="宋体"/>
          <w:color w:val="auto"/>
          <w:spacing w:val="8"/>
          <w:sz w:val="24"/>
          <w:szCs w:val="24"/>
          <w:highlight w:val="none"/>
          <w:u w:val="single" w:color="auto"/>
          <w:lang w:val="en-US" w:eastAsia="zh-CN"/>
        </w:rPr>
        <w:t>项目名称</w:t>
      </w:r>
      <w:r>
        <w:rPr>
          <w:rFonts w:hint="eastAsia" w:ascii="宋体" w:hAnsi="宋体" w:eastAsia="宋体" w:cs="宋体"/>
          <w:color w:val="auto"/>
          <w:spacing w:val="8"/>
          <w:sz w:val="24"/>
          <w:szCs w:val="24"/>
          <w:highlight w:val="none"/>
          <w:u w:val="single" w:color="auto"/>
          <w:lang w:eastAsia="zh-CN"/>
        </w:rPr>
        <w:t>）</w:t>
      </w:r>
      <w:r>
        <w:rPr>
          <w:rFonts w:hint="eastAsia" w:ascii="宋体" w:hAnsi="宋体" w:cs="宋体"/>
          <w:color w:val="auto"/>
          <w:spacing w:val="8"/>
          <w:sz w:val="24"/>
          <w:szCs w:val="24"/>
          <w:highlight w:val="none"/>
          <w:u w:val="single" w:color="auto"/>
          <w:lang w:val="en-US" w:eastAsia="zh-CN"/>
        </w:rPr>
        <w:t xml:space="preserve">        </w:t>
      </w:r>
      <w:r>
        <w:rPr>
          <w:rFonts w:hint="eastAsia" w:ascii="宋体" w:hAnsi="宋体" w:cs="宋体"/>
          <w:color w:val="auto"/>
          <w:spacing w:val="-1"/>
          <w:sz w:val="24"/>
          <w:szCs w:val="24"/>
          <w:highlight w:val="none"/>
          <w:lang w:val="en-US" w:eastAsia="zh-CN"/>
        </w:rPr>
        <w:t>响应</w:t>
      </w:r>
      <w:r>
        <w:rPr>
          <w:rFonts w:hint="eastAsia" w:ascii="宋体" w:hAnsi="宋体" w:eastAsia="宋体" w:cs="宋体"/>
          <w:color w:val="auto"/>
          <w:spacing w:val="-1"/>
          <w:sz w:val="24"/>
          <w:szCs w:val="24"/>
          <w:highlight w:val="none"/>
        </w:rPr>
        <w:t>文件、签</w:t>
      </w:r>
      <w:r>
        <w:rPr>
          <w:rFonts w:hint="eastAsia" w:ascii="宋体" w:hAnsi="宋体" w:eastAsia="宋体" w:cs="宋体"/>
          <w:color w:val="auto"/>
          <w:spacing w:val="-2"/>
          <w:sz w:val="24"/>
          <w:szCs w:val="24"/>
          <w:highlight w:val="none"/>
        </w:rPr>
        <w:t>订合同和处理有关事宜，其法律后果由我方承担。</w:t>
      </w:r>
    </w:p>
    <w:p w14:paraId="3568A05E">
      <w:pPr>
        <w:keepNext w:val="0"/>
        <w:keepLines w:val="0"/>
        <w:pageBreakBefore w:val="0"/>
        <w:widowControl w:val="0"/>
        <w:shd w:val="clear"/>
        <w:kinsoku/>
        <w:wordWrap/>
        <w:overflowPunct/>
        <w:topLinePunct w:val="0"/>
        <w:autoSpaceDE/>
        <w:autoSpaceDN/>
        <w:bidi w:val="0"/>
        <w:adjustRightInd/>
        <w:snapToGrid/>
        <w:spacing w:before="78" w:line="360" w:lineRule="auto"/>
        <w:ind w:firstLine="502"/>
        <w:textAlignment w:val="auto"/>
        <w:rPr>
          <w:rFonts w:hint="eastAsia" w:ascii="宋体" w:hAnsi="宋体" w:cs="宋体" w:eastAsiaTheme="minorEastAsia"/>
          <w:color w:val="auto"/>
          <w:sz w:val="24"/>
          <w:szCs w:val="24"/>
          <w:highlight w:val="none"/>
          <w:lang w:eastAsia="zh-CN"/>
        </w:rPr>
      </w:pPr>
      <w:r>
        <w:rPr>
          <w:rFonts w:hint="eastAsia" w:ascii="宋体" w:hAnsi="宋体" w:eastAsia="宋体" w:cs="宋体"/>
          <w:color w:val="auto"/>
          <w:spacing w:val="-2"/>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自本授权委托书签署之日起至</w:t>
      </w:r>
      <w:r>
        <w:rPr>
          <w:rFonts w:hint="eastAsia" w:asciiTheme="minorEastAsia" w:hAnsiTheme="minorEastAsia" w:eastAsiaTheme="minorEastAsia" w:cstheme="minorEastAsia"/>
          <w:color w:val="auto"/>
          <w:sz w:val="24"/>
          <w:szCs w:val="24"/>
          <w:highlight w:val="none"/>
          <w:u w:val="single"/>
          <w:lang w:val="en-US" w:eastAsia="zh-CN"/>
        </w:rPr>
        <w:t>响应</w:t>
      </w:r>
      <w:r>
        <w:rPr>
          <w:rFonts w:hint="eastAsia" w:asciiTheme="minorEastAsia" w:hAnsiTheme="minorEastAsia" w:eastAsiaTheme="minorEastAsia" w:cstheme="minorEastAsia"/>
          <w:color w:val="auto"/>
          <w:sz w:val="24"/>
          <w:szCs w:val="24"/>
          <w:highlight w:val="none"/>
          <w:u w:val="single"/>
        </w:rPr>
        <w:t>文件有效期满</w:t>
      </w:r>
      <w:r>
        <w:rPr>
          <w:rFonts w:hint="eastAsia" w:asciiTheme="minorEastAsia" w:hAnsiTheme="minorEastAsia" w:eastAsiaTheme="minorEastAsia" w:cstheme="minorEastAsia"/>
          <w:color w:val="auto"/>
          <w:sz w:val="24"/>
          <w:szCs w:val="24"/>
          <w:highlight w:val="none"/>
          <w:u w:val="single"/>
          <w:lang w:eastAsia="zh-CN"/>
        </w:rPr>
        <w:t>。</w:t>
      </w:r>
    </w:p>
    <w:p w14:paraId="6905F5C1">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highlight w:val="none"/>
        </w:rPr>
      </w:pPr>
    </w:p>
    <w:p w14:paraId="07FB3D7A">
      <w:pPr>
        <w:keepNext w:val="0"/>
        <w:keepLines w:val="0"/>
        <w:pageBreakBefore w:val="0"/>
        <w:widowControl w:val="0"/>
        <w:shd w:val="clear"/>
        <w:kinsoku/>
        <w:wordWrap/>
        <w:overflowPunct/>
        <w:topLinePunct w:val="0"/>
        <w:autoSpaceDE/>
        <w:autoSpaceDN/>
        <w:bidi w:val="0"/>
        <w:adjustRightInd/>
        <w:snapToGrid/>
        <w:spacing w:before="78" w:line="360" w:lineRule="auto"/>
        <w:ind w:firstLine="502"/>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代理人无转委托权。</w:t>
      </w:r>
    </w:p>
    <w:p w14:paraId="3253C43F">
      <w:pPr>
        <w:keepNext w:val="0"/>
        <w:keepLines w:val="0"/>
        <w:pageBreakBefore w:val="0"/>
        <w:widowControl w:val="0"/>
        <w:shd w:val="clear"/>
        <w:kinsoku/>
        <w:wordWrap/>
        <w:overflowPunct/>
        <w:topLinePunct w:val="0"/>
        <w:autoSpaceDE/>
        <w:autoSpaceDN/>
        <w:bidi w:val="0"/>
        <w:adjustRightInd/>
        <w:snapToGrid/>
        <w:spacing w:line="360" w:lineRule="auto"/>
        <w:ind w:firstLine="505" w:firstLineChars="204"/>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附：法定代表人、被授权人身份证复印件</w:t>
      </w:r>
      <w:r>
        <w:rPr>
          <w:rFonts w:hint="eastAsia" w:ascii="宋体" w:hAnsi="宋体" w:eastAsia="宋体" w:cs="宋体"/>
          <w:color w:val="auto"/>
          <w:spacing w:val="4"/>
          <w:sz w:val="24"/>
          <w:szCs w:val="24"/>
          <w:highlight w:val="none"/>
          <w:lang w:eastAsia="zh-CN"/>
        </w:rPr>
        <w:t>（正反面）</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115"/>
        <w:gridCol w:w="4025"/>
      </w:tblGrid>
      <w:tr w14:paraId="770556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12" w:hRule="atLeast"/>
          <w:jc w:val="center"/>
        </w:trPr>
        <w:tc>
          <w:tcPr>
            <w:tcW w:w="4115" w:type="dxa"/>
            <w:tcBorders>
              <w:tl2br w:val="nil"/>
              <w:tr2bl w:val="nil"/>
            </w:tcBorders>
            <w:vAlign w:val="center"/>
          </w:tcPr>
          <w:p w14:paraId="090AB1A3">
            <w:pPr>
              <w:pStyle w:val="8"/>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法定代表人身份证复印件</w:t>
            </w:r>
            <w:r>
              <w:rPr>
                <w:rFonts w:hint="eastAsia" w:ascii="宋体" w:hAnsi="宋体" w:eastAsia="宋体" w:cs="宋体"/>
                <w:color w:val="auto"/>
                <w:sz w:val="24"/>
                <w:szCs w:val="24"/>
                <w:highlight w:val="none"/>
                <w:lang w:eastAsia="zh-CN"/>
              </w:rPr>
              <w:t>）</w:t>
            </w:r>
          </w:p>
        </w:tc>
        <w:tc>
          <w:tcPr>
            <w:tcW w:w="4025" w:type="dxa"/>
            <w:tcBorders>
              <w:tl2br w:val="nil"/>
              <w:tr2bl w:val="nil"/>
            </w:tcBorders>
            <w:vAlign w:val="center"/>
          </w:tcPr>
          <w:p w14:paraId="262DEB2D">
            <w:pPr>
              <w:pStyle w:val="8"/>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委托代理人身份证复印件</w:t>
            </w:r>
            <w:r>
              <w:rPr>
                <w:rFonts w:hint="eastAsia" w:ascii="宋体" w:hAnsi="宋体" w:eastAsia="宋体" w:cs="宋体"/>
                <w:color w:val="auto"/>
                <w:sz w:val="24"/>
                <w:szCs w:val="24"/>
                <w:highlight w:val="none"/>
                <w:lang w:eastAsia="zh-CN"/>
              </w:rPr>
              <w:t>）</w:t>
            </w:r>
          </w:p>
        </w:tc>
      </w:tr>
      <w:tr w14:paraId="0FCF43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77" w:hRule="atLeast"/>
          <w:jc w:val="center"/>
        </w:trPr>
        <w:tc>
          <w:tcPr>
            <w:tcW w:w="4115" w:type="dxa"/>
            <w:tcBorders>
              <w:tl2br w:val="nil"/>
              <w:tr2bl w:val="nil"/>
            </w:tcBorders>
            <w:vAlign w:val="center"/>
          </w:tcPr>
          <w:p w14:paraId="387C5CB3">
            <w:pPr>
              <w:pStyle w:val="8"/>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法定代表人身份证复印件</w:t>
            </w:r>
            <w:r>
              <w:rPr>
                <w:rFonts w:hint="eastAsia" w:ascii="宋体" w:hAnsi="宋体" w:eastAsia="宋体" w:cs="宋体"/>
                <w:color w:val="auto"/>
                <w:sz w:val="24"/>
                <w:szCs w:val="24"/>
                <w:highlight w:val="none"/>
                <w:lang w:eastAsia="zh-CN"/>
              </w:rPr>
              <w:t>）</w:t>
            </w:r>
          </w:p>
        </w:tc>
        <w:tc>
          <w:tcPr>
            <w:tcW w:w="4025" w:type="dxa"/>
            <w:tcBorders>
              <w:tl2br w:val="nil"/>
              <w:tr2bl w:val="nil"/>
            </w:tcBorders>
            <w:vAlign w:val="center"/>
          </w:tcPr>
          <w:p w14:paraId="6D249061">
            <w:pPr>
              <w:pStyle w:val="8"/>
              <w:keepNext w:val="0"/>
              <w:keepLines w:val="0"/>
              <w:pageBreakBefore w:val="0"/>
              <w:widowControl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委托代理人身份证复印件</w:t>
            </w:r>
            <w:r>
              <w:rPr>
                <w:rFonts w:hint="eastAsia" w:ascii="宋体" w:hAnsi="宋体" w:eastAsia="宋体" w:cs="宋体"/>
                <w:color w:val="auto"/>
                <w:sz w:val="24"/>
                <w:szCs w:val="24"/>
                <w:highlight w:val="none"/>
                <w:lang w:eastAsia="zh-CN"/>
              </w:rPr>
              <w:t>）</w:t>
            </w:r>
          </w:p>
        </w:tc>
      </w:tr>
    </w:tbl>
    <w:p w14:paraId="321B9260">
      <w:pPr>
        <w:keepNext w:val="0"/>
        <w:keepLines w:val="0"/>
        <w:pageBreakBefore w:val="0"/>
        <w:widowControl w:val="0"/>
        <w:shd w:val="clear"/>
        <w:kinsoku/>
        <w:wordWrap/>
        <w:overflowPunct/>
        <w:topLinePunct w:val="0"/>
        <w:autoSpaceDE/>
        <w:autoSpaceDN/>
        <w:bidi w:val="0"/>
        <w:adjustRightInd/>
        <w:snapToGrid/>
        <w:spacing w:before="78" w:line="360" w:lineRule="auto"/>
        <w:textAlignment w:val="auto"/>
        <w:rPr>
          <w:rFonts w:hint="eastAsia" w:ascii="宋体" w:hAnsi="宋体" w:eastAsia="宋体" w:cs="宋体"/>
          <w:color w:val="auto"/>
          <w:spacing w:val="-2"/>
          <w:sz w:val="24"/>
          <w:szCs w:val="24"/>
          <w:highlight w:val="none"/>
          <w:lang w:eastAsia="zh-CN"/>
        </w:rPr>
      </w:pPr>
    </w:p>
    <w:p w14:paraId="263C58DF">
      <w:pPr>
        <w:keepNext w:val="0"/>
        <w:keepLines w:val="0"/>
        <w:pageBreakBefore w:val="0"/>
        <w:widowControl w:val="0"/>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（盖单位章）</w:t>
      </w:r>
    </w:p>
    <w:p w14:paraId="5E462D59">
      <w:pPr>
        <w:keepNext w:val="0"/>
        <w:keepLines w:val="0"/>
        <w:pageBreakBefore w:val="0"/>
        <w:widowControl w:val="0"/>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法定</w:t>
      </w:r>
      <w:r>
        <w:rPr>
          <w:rFonts w:hint="eastAsia" w:ascii="宋体" w:hAnsi="宋体" w:eastAsia="宋体" w:cs="宋体"/>
          <w:color w:val="auto"/>
          <w:sz w:val="24"/>
          <w:szCs w:val="24"/>
          <w:highlight w:val="none"/>
        </w:rPr>
        <w:t>代表人：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p>
    <w:p w14:paraId="5BA64EAC">
      <w:pPr>
        <w:keepNext w:val="0"/>
        <w:keepLines w:val="0"/>
        <w:pageBreakBefore w:val="0"/>
        <w:widowControl w:val="0"/>
        <w:kinsoku/>
        <w:wordWrap/>
        <w:overflowPunct/>
        <w:topLinePunct w:val="0"/>
        <w:autoSpaceDE/>
        <w:autoSpaceDN/>
        <w:bidi w:val="0"/>
        <w:adjustRightInd/>
        <w:snapToGrid/>
        <w:spacing w:line="360" w:lineRule="auto"/>
        <w:ind w:firstLine="2640" w:firstLineChars="1100"/>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lang w:val="en-US" w:eastAsia="zh-CN"/>
        </w:rPr>
        <w:t xml:space="preserve">                 </w:t>
      </w:r>
    </w:p>
    <w:p w14:paraId="731F9DBD">
      <w:pPr>
        <w:keepNext w:val="0"/>
        <w:keepLines w:val="0"/>
        <w:pageBreakBefore w:val="0"/>
        <w:widowControl w:val="0"/>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p>
    <w:p w14:paraId="22FD8E2B">
      <w:pPr>
        <w:keepNext w:val="0"/>
        <w:keepLines w:val="0"/>
        <w:pageBreakBefore w:val="0"/>
        <w:widowControl w:val="0"/>
        <w:tabs>
          <w:tab w:val="left" w:pos="4248"/>
        </w:tabs>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14:paraId="0A93684F">
      <w:pPr>
        <w:keepNext w:val="0"/>
        <w:keepLines w:val="0"/>
        <w:pageBreakBefore w:val="0"/>
        <w:widowControl w:val="0"/>
        <w:tabs>
          <w:tab w:val="left" w:pos="4248"/>
        </w:tabs>
        <w:kinsoku/>
        <w:wordWrap/>
        <w:overflowPunct/>
        <w:topLinePunct w:val="0"/>
        <w:autoSpaceDE/>
        <w:autoSpaceDN/>
        <w:bidi w:val="0"/>
        <w:adjustRightInd/>
        <w:snapToGrid/>
        <w:spacing w:line="360" w:lineRule="auto"/>
        <w:ind w:firstLine="2640" w:firstLineChars="1100"/>
        <w:textAlignment w:val="auto"/>
        <w:rPr>
          <w:rFonts w:hint="eastAsia" w:ascii="宋体" w:hAnsi="宋体" w:eastAsia="宋体" w:cs="宋体"/>
          <w:color w:val="auto"/>
          <w:sz w:val="24"/>
          <w:szCs w:val="24"/>
          <w:highlight w:val="none"/>
        </w:rPr>
        <w:sectPr>
          <w:footerReference r:id="rId5" w:type="default"/>
          <w:pgSz w:w="11907" w:h="16839"/>
          <w:pgMar w:top="1417" w:right="1531" w:bottom="1417" w:left="1531" w:header="850" w:footer="850" w:gutter="0"/>
          <w:pgNumType w:fmt="decimal"/>
          <w:cols w:space="720" w:num="1"/>
        </w:sectPr>
      </w:pPr>
      <w:r>
        <w:rPr>
          <w:rFonts w:hint="eastAsia" w:ascii="宋体" w:hAnsi="宋体" w:eastAsia="宋体" w:cs="宋体"/>
          <w:b w:val="0"/>
          <w:bCs w:val="0"/>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lang w:eastAsia="zh-CN"/>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lang w:eastAsia="zh-CN"/>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日</w:t>
      </w:r>
    </w:p>
    <w:p w14:paraId="13D367F3">
      <w:pPr>
        <w:shd w:val="clear"/>
        <w:spacing w:before="98" w:line="220" w:lineRule="auto"/>
        <w:ind w:firstLine="3313"/>
        <w:outlineLvl w:val="3"/>
        <w:rPr>
          <w:rFonts w:hint="eastAsia" w:ascii="宋体" w:hAnsi="宋体" w:eastAsia="宋体" w:cs="宋体"/>
          <w:color w:val="auto"/>
          <w:sz w:val="24"/>
          <w:szCs w:val="24"/>
          <w:highlight w:val="none"/>
        </w:rPr>
      </w:pPr>
      <w:bookmarkStart w:id="46" w:name="_bookmark623"/>
      <w:bookmarkEnd w:id="46"/>
      <w:bookmarkStart w:id="47" w:name="_bookmark592"/>
      <w:bookmarkEnd w:id="47"/>
      <w:bookmarkStart w:id="48" w:name="_bookmark590"/>
      <w:bookmarkEnd w:id="48"/>
      <w:bookmarkStart w:id="49" w:name="_bookmark620"/>
      <w:bookmarkEnd w:id="49"/>
      <w:bookmarkStart w:id="50" w:name="_bookmark593"/>
      <w:bookmarkEnd w:id="50"/>
      <w:r>
        <w:rPr>
          <w:rFonts w:hint="eastAsia" w:ascii="宋体" w:hAnsi="宋体" w:cs="宋体"/>
          <w:b/>
          <w:bCs/>
          <w:color w:val="auto"/>
          <w:spacing w:val="-8"/>
          <w:sz w:val="30"/>
          <w:szCs w:val="30"/>
          <w:highlight w:val="none"/>
          <w:lang w:val="en-US" w:eastAsia="zh-CN"/>
        </w:rPr>
        <w:t>五</w:t>
      </w:r>
      <w:r>
        <w:rPr>
          <w:rFonts w:hint="eastAsia" w:ascii="宋体" w:hAnsi="宋体" w:eastAsia="宋体" w:cs="宋体"/>
          <w:b/>
          <w:bCs/>
          <w:color w:val="auto"/>
          <w:spacing w:val="-8"/>
          <w:sz w:val="30"/>
          <w:szCs w:val="30"/>
          <w:highlight w:val="none"/>
          <w:lang w:val="en-US" w:eastAsia="zh-CN"/>
        </w:rPr>
        <w:t>、 技术响应偏离表</w:t>
      </w:r>
    </w:p>
    <w:p w14:paraId="5079D03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010201F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bl>
      <w:tblPr>
        <w:tblStyle w:val="16"/>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9"/>
        <w:gridCol w:w="2557"/>
        <w:gridCol w:w="2762"/>
        <w:gridCol w:w="2076"/>
      </w:tblGrid>
      <w:tr w14:paraId="56873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center"/>
          </w:tcPr>
          <w:p w14:paraId="0B22107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557" w:type="dxa"/>
            <w:noWrap w:val="0"/>
            <w:vAlign w:val="center"/>
          </w:tcPr>
          <w:p w14:paraId="47947939">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磋商文件技术</w:t>
            </w:r>
            <w:r>
              <w:rPr>
                <w:rFonts w:hint="eastAsia" w:ascii="宋体" w:hAnsi="宋体" w:cs="宋体"/>
                <w:color w:val="auto"/>
                <w:sz w:val="24"/>
                <w:szCs w:val="24"/>
                <w:highlight w:val="none"/>
                <w:lang w:val="en-US" w:eastAsia="zh-CN"/>
              </w:rPr>
              <w:t>指标</w:t>
            </w:r>
          </w:p>
        </w:tc>
        <w:tc>
          <w:tcPr>
            <w:tcW w:w="2762" w:type="dxa"/>
            <w:noWrap w:val="0"/>
            <w:vAlign w:val="center"/>
          </w:tcPr>
          <w:p w14:paraId="136E3044">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响应文件技术</w:t>
            </w:r>
            <w:r>
              <w:rPr>
                <w:rFonts w:hint="eastAsia" w:ascii="宋体" w:hAnsi="宋体" w:cs="宋体"/>
                <w:color w:val="auto"/>
                <w:sz w:val="24"/>
                <w:szCs w:val="24"/>
                <w:highlight w:val="none"/>
                <w:lang w:val="en-US" w:eastAsia="zh-CN"/>
              </w:rPr>
              <w:t>指标</w:t>
            </w:r>
          </w:p>
        </w:tc>
        <w:tc>
          <w:tcPr>
            <w:tcW w:w="2076" w:type="dxa"/>
            <w:noWrap w:val="0"/>
            <w:vAlign w:val="center"/>
          </w:tcPr>
          <w:p w14:paraId="3DE0227A">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偏离</w:t>
            </w:r>
            <w:r>
              <w:rPr>
                <w:rFonts w:hint="eastAsia" w:ascii="宋体" w:hAnsi="宋体" w:cs="宋体"/>
                <w:color w:val="auto"/>
                <w:sz w:val="24"/>
                <w:szCs w:val="24"/>
                <w:highlight w:val="none"/>
                <w:lang w:val="en-US" w:eastAsia="zh-CN"/>
              </w:rPr>
              <w:t>说明</w:t>
            </w:r>
          </w:p>
        </w:tc>
      </w:tr>
      <w:tr w14:paraId="6F705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05D58542">
            <w:pPr>
              <w:rPr>
                <w:rFonts w:hint="eastAsia" w:ascii="宋体" w:hAnsi="宋体" w:eastAsia="宋体" w:cs="宋体"/>
                <w:color w:val="auto"/>
                <w:sz w:val="24"/>
                <w:szCs w:val="24"/>
                <w:highlight w:val="none"/>
              </w:rPr>
            </w:pPr>
          </w:p>
        </w:tc>
        <w:tc>
          <w:tcPr>
            <w:tcW w:w="2557" w:type="dxa"/>
            <w:noWrap w:val="0"/>
            <w:vAlign w:val="top"/>
          </w:tcPr>
          <w:p w14:paraId="7CC182B1">
            <w:pPr>
              <w:rPr>
                <w:rFonts w:hint="eastAsia" w:ascii="宋体" w:hAnsi="宋体" w:eastAsia="宋体" w:cs="宋体"/>
                <w:color w:val="auto"/>
                <w:sz w:val="24"/>
                <w:szCs w:val="24"/>
                <w:highlight w:val="none"/>
              </w:rPr>
            </w:pPr>
          </w:p>
        </w:tc>
        <w:tc>
          <w:tcPr>
            <w:tcW w:w="2762" w:type="dxa"/>
            <w:noWrap w:val="0"/>
            <w:vAlign w:val="top"/>
          </w:tcPr>
          <w:p w14:paraId="3C9BCD04">
            <w:pPr>
              <w:rPr>
                <w:rFonts w:hint="eastAsia" w:ascii="宋体" w:hAnsi="宋体" w:eastAsia="宋体" w:cs="宋体"/>
                <w:color w:val="auto"/>
                <w:sz w:val="24"/>
                <w:szCs w:val="24"/>
                <w:highlight w:val="none"/>
              </w:rPr>
            </w:pPr>
          </w:p>
        </w:tc>
        <w:tc>
          <w:tcPr>
            <w:tcW w:w="2076" w:type="dxa"/>
            <w:noWrap w:val="0"/>
            <w:vAlign w:val="top"/>
          </w:tcPr>
          <w:p w14:paraId="27344F1A">
            <w:pPr>
              <w:rPr>
                <w:rFonts w:hint="eastAsia" w:ascii="宋体" w:hAnsi="宋体" w:eastAsia="宋体" w:cs="宋体"/>
                <w:color w:val="auto"/>
                <w:sz w:val="24"/>
                <w:szCs w:val="24"/>
                <w:highlight w:val="none"/>
              </w:rPr>
            </w:pPr>
          </w:p>
        </w:tc>
      </w:tr>
      <w:tr w14:paraId="0E5BF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5B54C5C7">
            <w:pPr>
              <w:rPr>
                <w:rFonts w:hint="eastAsia" w:ascii="宋体" w:hAnsi="宋体" w:eastAsia="宋体" w:cs="宋体"/>
                <w:color w:val="auto"/>
                <w:sz w:val="24"/>
                <w:szCs w:val="24"/>
                <w:highlight w:val="none"/>
              </w:rPr>
            </w:pPr>
          </w:p>
        </w:tc>
        <w:tc>
          <w:tcPr>
            <w:tcW w:w="2557" w:type="dxa"/>
            <w:noWrap w:val="0"/>
            <w:vAlign w:val="top"/>
          </w:tcPr>
          <w:p w14:paraId="54CA876B">
            <w:pPr>
              <w:rPr>
                <w:rFonts w:hint="eastAsia" w:ascii="宋体" w:hAnsi="宋体" w:eastAsia="宋体" w:cs="宋体"/>
                <w:color w:val="auto"/>
                <w:sz w:val="24"/>
                <w:szCs w:val="24"/>
                <w:highlight w:val="none"/>
              </w:rPr>
            </w:pPr>
          </w:p>
        </w:tc>
        <w:tc>
          <w:tcPr>
            <w:tcW w:w="2762" w:type="dxa"/>
            <w:noWrap w:val="0"/>
            <w:vAlign w:val="top"/>
          </w:tcPr>
          <w:p w14:paraId="78946304">
            <w:pPr>
              <w:rPr>
                <w:rFonts w:hint="eastAsia" w:ascii="宋体" w:hAnsi="宋体" w:eastAsia="宋体" w:cs="宋体"/>
                <w:color w:val="auto"/>
                <w:sz w:val="24"/>
                <w:szCs w:val="24"/>
                <w:highlight w:val="none"/>
              </w:rPr>
            </w:pPr>
          </w:p>
        </w:tc>
        <w:tc>
          <w:tcPr>
            <w:tcW w:w="2076" w:type="dxa"/>
            <w:noWrap w:val="0"/>
            <w:vAlign w:val="top"/>
          </w:tcPr>
          <w:p w14:paraId="2AC12459">
            <w:pPr>
              <w:rPr>
                <w:rFonts w:hint="eastAsia" w:ascii="宋体" w:hAnsi="宋体" w:eastAsia="宋体" w:cs="宋体"/>
                <w:color w:val="auto"/>
                <w:sz w:val="24"/>
                <w:szCs w:val="24"/>
                <w:highlight w:val="none"/>
              </w:rPr>
            </w:pPr>
          </w:p>
        </w:tc>
      </w:tr>
      <w:tr w14:paraId="0B52A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3A4E18E4">
            <w:pPr>
              <w:rPr>
                <w:rFonts w:hint="eastAsia" w:ascii="宋体" w:hAnsi="宋体" w:eastAsia="宋体" w:cs="宋体"/>
                <w:color w:val="auto"/>
                <w:sz w:val="24"/>
                <w:szCs w:val="24"/>
                <w:highlight w:val="none"/>
              </w:rPr>
            </w:pPr>
          </w:p>
        </w:tc>
        <w:tc>
          <w:tcPr>
            <w:tcW w:w="2557" w:type="dxa"/>
            <w:noWrap w:val="0"/>
            <w:vAlign w:val="top"/>
          </w:tcPr>
          <w:p w14:paraId="1374DE00">
            <w:pPr>
              <w:rPr>
                <w:rFonts w:hint="eastAsia" w:ascii="宋体" w:hAnsi="宋体" w:eastAsia="宋体" w:cs="宋体"/>
                <w:color w:val="auto"/>
                <w:sz w:val="24"/>
                <w:szCs w:val="24"/>
                <w:highlight w:val="none"/>
              </w:rPr>
            </w:pPr>
          </w:p>
        </w:tc>
        <w:tc>
          <w:tcPr>
            <w:tcW w:w="2762" w:type="dxa"/>
            <w:noWrap w:val="0"/>
            <w:vAlign w:val="top"/>
          </w:tcPr>
          <w:p w14:paraId="668DAAF1">
            <w:pPr>
              <w:rPr>
                <w:rFonts w:hint="eastAsia" w:ascii="宋体" w:hAnsi="宋体" w:eastAsia="宋体" w:cs="宋体"/>
                <w:color w:val="auto"/>
                <w:sz w:val="24"/>
                <w:szCs w:val="24"/>
                <w:highlight w:val="none"/>
              </w:rPr>
            </w:pPr>
          </w:p>
        </w:tc>
        <w:tc>
          <w:tcPr>
            <w:tcW w:w="2076" w:type="dxa"/>
            <w:noWrap w:val="0"/>
            <w:vAlign w:val="top"/>
          </w:tcPr>
          <w:p w14:paraId="1B653CC2">
            <w:pPr>
              <w:rPr>
                <w:rFonts w:hint="eastAsia" w:ascii="宋体" w:hAnsi="宋体" w:eastAsia="宋体" w:cs="宋体"/>
                <w:color w:val="auto"/>
                <w:sz w:val="24"/>
                <w:szCs w:val="24"/>
                <w:highlight w:val="none"/>
              </w:rPr>
            </w:pPr>
          </w:p>
        </w:tc>
      </w:tr>
      <w:tr w14:paraId="2A03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11F96590">
            <w:pPr>
              <w:rPr>
                <w:rFonts w:hint="eastAsia" w:ascii="宋体" w:hAnsi="宋体" w:eastAsia="宋体" w:cs="宋体"/>
                <w:color w:val="auto"/>
                <w:sz w:val="24"/>
                <w:szCs w:val="24"/>
                <w:highlight w:val="none"/>
              </w:rPr>
            </w:pPr>
          </w:p>
        </w:tc>
        <w:tc>
          <w:tcPr>
            <w:tcW w:w="2557" w:type="dxa"/>
            <w:noWrap w:val="0"/>
            <w:vAlign w:val="top"/>
          </w:tcPr>
          <w:p w14:paraId="21620F4E">
            <w:pPr>
              <w:rPr>
                <w:rFonts w:hint="eastAsia" w:ascii="宋体" w:hAnsi="宋体" w:eastAsia="宋体" w:cs="宋体"/>
                <w:color w:val="auto"/>
                <w:sz w:val="24"/>
                <w:szCs w:val="24"/>
                <w:highlight w:val="none"/>
              </w:rPr>
            </w:pPr>
          </w:p>
        </w:tc>
        <w:tc>
          <w:tcPr>
            <w:tcW w:w="2762" w:type="dxa"/>
            <w:noWrap w:val="0"/>
            <w:vAlign w:val="top"/>
          </w:tcPr>
          <w:p w14:paraId="0835E90F">
            <w:pPr>
              <w:rPr>
                <w:rFonts w:hint="eastAsia" w:ascii="宋体" w:hAnsi="宋体" w:eastAsia="宋体" w:cs="宋体"/>
                <w:color w:val="auto"/>
                <w:sz w:val="24"/>
                <w:szCs w:val="24"/>
                <w:highlight w:val="none"/>
              </w:rPr>
            </w:pPr>
          </w:p>
        </w:tc>
        <w:tc>
          <w:tcPr>
            <w:tcW w:w="2076" w:type="dxa"/>
            <w:noWrap w:val="0"/>
            <w:vAlign w:val="top"/>
          </w:tcPr>
          <w:p w14:paraId="7D9FAA2C">
            <w:pPr>
              <w:rPr>
                <w:rFonts w:hint="eastAsia" w:ascii="宋体" w:hAnsi="宋体" w:eastAsia="宋体" w:cs="宋体"/>
                <w:color w:val="auto"/>
                <w:sz w:val="24"/>
                <w:szCs w:val="24"/>
                <w:highlight w:val="none"/>
              </w:rPr>
            </w:pPr>
          </w:p>
        </w:tc>
      </w:tr>
      <w:tr w14:paraId="12A10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06DE435F">
            <w:pPr>
              <w:rPr>
                <w:rFonts w:hint="eastAsia" w:ascii="宋体" w:hAnsi="宋体" w:eastAsia="宋体" w:cs="宋体"/>
                <w:color w:val="auto"/>
                <w:sz w:val="24"/>
                <w:szCs w:val="24"/>
                <w:highlight w:val="none"/>
              </w:rPr>
            </w:pPr>
          </w:p>
        </w:tc>
        <w:tc>
          <w:tcPr>
            <w:tcW w:w="2557" w:type="dxa"/>
            <w:noWrap w:val="0"/>
            <w:vAlign w:val="top"/>
          </w:tcPr>
          <w:p w14:paraId="7C3C673B">
            <w:pPr>
              <w:rPr>
                <w:rFonts w:hint="eastAsia" w:ascii="宋体" w:hAnsi="宋体" w:eastAsia="宋体" w:cs="宋体"/>
                <w:color w:val="auto"/>
                <w:sz w:val="24"/>
                <w:szCs w:val="24"/>
                <w:highlight w:val="none"/>
              </w:rPr>
            </w:pPr>
          </w:p>
        </w:tc>
        <w:tc>
          <w:tcPr>
            <w:tcW w:w="2762" w:type="dxa"/>
            <w:noWrap w:val="0"/>
            <w:vAlign w:val="top"/>
          </w:tcPr>
          <w:p w14:paraId="280DA204">
            <w:pPr>
              <w:rPr>
                <w:rFonts w:hint="eastAsia" w:ascii="宋体" w:hAnsi="宋体" w:eastAsia="宋体" w:cs="宋体"/>
                <w:color w:val="auto"/>
                <w:sz w:val="24"/>
                <w:szCs w:val="24"/>
                <w:highlight w:val="none"/>
              </w:rPr>
            </w:pPr>
          </w:p>
        </w:tc>
        <w:tc>
          <w:tcPr>
            <w:tcW w:w="2076" w:type="dxa"/>
            <w:noWrap w:val="0"/>
            <w:vAlign w:val="top"/>
          </w:tcPr>
          <w:p w14:paraId="4264D072">
            <w:pPr>
              <w:rPr>
                <w:rFonts w:hint="eastAsia" w:ascii="宋体" w:hAnsi="宋体" w:eastAsia="宋体" w:cs="宋体"/>
                <w:color w:val="auto"/>
                <w:sz w:val="24"/>
                <w:szCs w:val="24"/>
                <w:highlight w:val="none"/>
              </w:rPr>
            </w:pPr>
          </w:p>
        </w:tc>
      </w:tr>
    </w:tbl>
    <w:p w14:paraId="1336EC3E">
      <w:pPr>
        <w:jc w:val="left"/>
        <w:rPr>
          <w:rFonts w:hint="eastAsia" w:ascii="宋体" w:hAnsi="宋体" w:eastAsia="宋体" w:cs="宋体"/>
          <w:color w:val="auto"/>
          <w:sz w:val="24"/>
          <w:szCs w:val="24"/>
          <w:highlight w:val="none"/>
        </w:rPr>
      </w:pPr>
    </w:p>
    <w:p w14:paraId="42A416FA">
      <w:pPr>
        <w:keepNext w:val="0"/>
        <w:keepLines w:val="0"/>
        <w:pageBreakBefore w:val="0"/>
        <w:tabs>
          <w:tab w:val="left" w:pos="864"/>
        </w:tabs>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说明</w:t>
      </w:r>
      <w:r>
        <w:rPr>
          <w:rFonts w:hint="eastAsia" w:ascii="宋体" w:hAnsi="宋体" w:eastAsia="宋体" w:cs="宋体"/>
          <w:color w:val="auto"/>
          <w:sz w:val="24"/>
          <w:szCs w:val="24"/>
          <w:highlight w:val="none"/>
        </w:rPr>
        <w:t>：</w:t>
      </w:r>
      <w:r>
        <w:rPr>
          <w:rFonts w:hint="eastAsia" w:ascii="宋体" w:hAnsi="宋体" w:cs="宋体"/>
          <w:b w:val="0"/>
          <w:bCs w:val="0"/>
          <w:color w:val="auto"/>
          <w:sz w:val="24"/>
          <w:szCs w:val="24"/>
          <w:highlight w:val="none"/>
          <w:lang w:val="en-US" w:eastAsia="zh-CN"/>
        </w:rPr>
        <w:t xml:space="preserve"> </w:t>
      </w:r>
    </w:p>
    <w:p w14:paraId="4A7D1497">
      <w:pPr>
        <w:keepNext w:val="0"/>
        <w:keepLines w:val="0"/>
        <w:pageBreakBefore w:val="0"/>
        <w:tabs>
          <w:tab w:val="left" w:pos="864"/>
        </w:tabs>
        <w:kinsoku/>
        <w:wordWrap/>
        <w:overflowPunct/>
        <w:topLinePunct w:val="0"/>
        <w:autoSpaceDE/>
        <w:autoSpaceDN/>
        <w:bidi w:val="0"/>
        <w:adjustRightInd/>
        <w:snapToGrid/>
        <w:spacing w:line="360" w:lineRule="auto"/>
        <w:ind w:firstLine="720" w:firstLineChars="3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1.本表应严格按照磋商内容及要求中所包含的技术参数进行填写；偏离说明填写：</w:t>
      </w:r>
      <w:r>
        <w:rPr>
          <w:rFonts w:hint="eastAsia" w:ascii="宋体" w:hAnsi="宋体" w:cs="宋体"/>
          <w:b/>
          <w:bCs/>
          <w:color w:val="auto"/>
          <w:sz w:val="24"/>
          <w:szCs w:val="24"/>
          <w:highlight w:val="none"/>
          <w:lang w:val="en-US" w:eastAsia="zh-CN"/>
        </w:rPr>
        <w:t>正偏离或负偏离</w:t>
      </w:r>
      <w:r>
        <w:rPr>
          <w:rFonts w:hint="eastAsia" w:ascii="宋体" w:hAnsi="宋体" w:cs="宋体"/>
          <w:b w:val="0"/>
          <w:bCs w:val="0"/>
          <w:color w:val="auto"/>
          <w:sz w:val="24"/>
          <w:szCs w:val="24"/>
          <w:highlight w:val="none"/>
          <w:lang w:val="en-US" w:eastAsia="zh-CN"/>
        </w:rPr>
        <w:t xml:space="preserve">。若完全响应磋商文件的不用在此表列出。 </w:t>
      </w:r>
    </w:p>
    <w:p w14:paraId="1B7DFCB6">
      <w:pPr>
        <w:keepNext w:val="0"/>
        <w:keepLines w:val="0"/>
        <w:pageBreakBefore w:val="0"/>
        <w:tabs>
          <w:tab w:val="left" w:pos="864"/>
        </w:tabs>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2.供应商必须据实填写，不得虚假响应，否则将取消其磋商或中标资格，并按有关规定进行处罚。</w:t>
      </w:r>
    </w:p>
    <w:p w14:paraId="29FEA8D3">
      <w:pPr>
        <w:pStyle w:val="2"/>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p>
    <w:p w14:paraId="4DF368BE">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2433EAC6">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法定代表人/被授权人（</w:t>
      </w:r>
      <w:r>
        <w:rPr>
          <w:rFonts w:hint="eastAsia" w:ascii="宋体" w:hAnsi="宋体" w:eastAsia="宋体" w:cs="宋体"/>
          <w:color w:val="auto"/>
          <w:spacing w:val="4"/>
          <w:sz w:val="24"/>
          <w:szCs w:val="24"/>
          <w:highlight w:val="none"/>
        </w:rPr>
        <w:t>签字或盖章</w:t>
      </w:r>
      <w:r>
        <w:rPr>
          <w:rFonts w:hint="eastAsia" w:ascii="宋体" w:hAnsi="宋体" w:eastAsia="宋体" w:cs="宋体"/>
          <w:color w:val="auto"/>
          <w:sz w:val="24"/>
          <w:szCs w:val="24"/>
          <w:highlight w:val="none"/>
        </w:rPr>
        <w:t>）：</w:t>
      </w:r>
    </w:p>
    <w:p w14:paraId="3298A560">
      <w:pPr>
        <w:keepNext w:val="0"/>
        <w:keepLines w:val="0"/>
        <w:pageBreakBefore w:val="0"/>
        <w:widowControl w:val="0"/>
        <w:kinsoku/>
        <w:wordWrap/>
        <w:overflowPunct/>
        <w:topLinePunct w:val="0"/>
        <w:autoSpaceDE/>
        <w:autoSpaceDN/>
        <w:bidi w:val="0"/>
        <w:adjustRightInd/>
        <w:snapToGrid/>
        <w:spacing w:line="360" w:lineRule="auto"/>
        <w:ind w:firstLine="3648" w:firstLineChars="1471"/>
        <w:jc w:val="left"/>
        <w:textAlignment w:val="auto"/>
        <w:rPr>
          <w:rFonts w:hint="eastAsia" w:ascii="宋体" w:hAnsi="宋体" w:cs="宋体"/>
          <w:color w:val="auto"/>
          <w:spacing w:val="4"/>
          <w:sz w:val="24"/>
          <w:szCs w:val="24"/>
          <w:highlight w:val="none"/>
          <w:u w:val="none"/>
          <w:lang w:val="en-US" w:eastAsia="zh-CN"/>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年</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月</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日</w:t>
      </w:r>
    </w:p>
    <w:p w14:paraId="49B24CBB">
      <w:pPr>
        <w:jc w:val="both"/>
        <w:rPr>
          <w:rFonts w:hint="eastAsia" w:ascii="宋体" w:hAnsi="宋体" w:cs="宋体"/>
          <w:b/>
          <w:bCs/>
          <w:color w:val="auto"/>
          <w:sz w:val="24"/>
          <w:szCs w:val="24"/>
          <w:highlight w:val="none"/>
          <w:lang w:val="en-US" w:eastAsia="zh-CN"/>
        </w:rPr>
      </w:pPr>
    </w:p>
    <w:p w14:paraId="4D10058B">
      <w:pPr>
        <w:shd w:val="clear"/>
        <w:spacing w:before="98" w:line="220" w:lineRule="auto"/>
        <w:ind w:firstLine="3313"/>
        <w:outlineLvl w:val="3"/>
        <w:rPr>
          <w:rFonts w:hint="eastAsia" w:ascii="宋体" w:hAnsi="宋体" w:eastAsia="宋体" w:cs="宋体"/>
          <w:b/>
          <w:bCs/>
          <w:color w:val="auto"/>
          <w:spacing w:val="-8"/>
          <w:sz w:val="30"/>
          <w:szCs w:val="30"/>
          <w:highlight w:val="none"/>
          <w:lang w:val="en-US" w:eastAsia="zh-CN"/>
        </w:rPr>
      </w:pPr>
      <w:r>
        <w:rPr>
          <w:rFonts w:hint="eastAsia" w:ascii="宋体" w:hAnsi="宋体" w:cs="宋体"/>
          <w:b/>
          <w:bCs/>
          <w:color w:val="auto"/>
          <w:spacing w:val="-8"/>
          <w:sz w:val="30"/>
          <w:szCs w:val="30"/>
          <w:highlight w:val="none"/>
          <w:lang w:val="en-US" w:eastAsia="zh-CN"/>
        </w:rPr>
        <w:t>六</w:t>
      </w:r>
      <w:r>
        <w:rPr>
          <w:rFonts w:hint="eastAsia" w:ascii="宋体" w:hAnsi="宋体" w:eastAsia="宋体" w:cs="宋体"/>
          <w:b/>
          <w:bCs/>
          <w:color w:val="auto"/>
          <w:spacing w:val="-8"/>
          <w:sz w:val="30"/>
          <w:szCs w:val="30"/>
          <w:highlight w:val="none"/>
          <w:lang w:val="en-US" w:eastAsia="zh-CN"/>
        </w:rPr>
        <w:t>、商务响应偏离表</w:t>
      </w:r>
    </w:p>
    <w:p w14:paraId="7FE03FD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03F929D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bl>
      <w:tblPr>
        <w:tblStyle w:val="16"/>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9"/>
        <w:gridCol w:w="2557"/>
        <w:gridCol w:w="2762"/>
        <w:gridCol w:w="2076"/>
      </w:tblGrid>
      <w:tr w14:paraId="7F97C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center"/>
          </w:tcPr>
          <w:p w14:paraId="3C6AFAC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557" w:type="dxa"/>
            <w:noWrap w:val="0"/>
            <w:vAlign w:val="center"/>
          </w:tcPr>
          <w:p w14:paraId="7B734C63">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磋商文件</w:t>
            </w:r>
            <w:r>
              <w:rPr>
                <w:rFonts w:hint="eastAsia" w:ascii="宋体" w:hAnsi="宋体" w:cs="宋体"/>
                <w:color w:val="auto"/>
                <w:sz w:val="24"/>
                <w:szCs w:val="24"/>
                <w:highlight w:val="none"/>
                <w:lang w:val="en-US" w:eastAsia="zh-CN"/>
              </w:rPr>
              <w:t>商务条款</w:t>
            </w:r>
          </w:p>
        </w:tc>
        <w:tc>
          <w:tcPr>
            <w:tcW w:w="2762" w:type="dxa"/>
            <w:noWrap w:val="0"/>
            <w:vAlign w:val="center"/>
          </w:tcPr>
          <w:p w14:paraId="77DAB253">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响应文件</w:t>
            </w:r>
            <w:r>
              <w:rPr>
                <w:rFonts w:hint="eastAsia" w:ascii="宋体" w:hAnsi="宋体" w:cs="宋体"/>
                <w:color w:val="auto"/>
                <w:sz w:val="24"/>
                <w:szCs w:val="24"/>
                <w:highlight w:val="none"/>
                <w:lang w:val="en-US" w:eastAsia="zh-CN"/>
              </w:rPr>
              <w:t>商务条款</w:t>
            </w:r>
          </w:p>
        </w:tc>
        <w:tc>
          <w:tcPr>
            <w:tcW w:w="2076" w:type="dxa"/>
            <w:noWrap w:val="0"/>
            <w:vAlign w:val="center"/>
          </w:tcPr>
          <w:p w14:paraId="275575C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偏离</w:t>
            </w:r>
            <w:r>
              <w:rPr>
                <w:rFonts w:hint="eastAsia" w:ascii="宋体" w:hAnsi="宋体" w:cs="宋体"/>
                <w:color w:val="auto"/>
                <w:sz w:val="24"/>
                <w:szCs w:val="24"/>
                <w:highlight w:val="none"/>
                <w:lang w:val="en-US" w:eastAsia="zh-CN"/>
              </w:rPr>
              <w:t>说明</w:t>
            </w:r>
          </w:p>
        </w:tc>
      </w:tr>
      <w:tr w14:paraId="0BC7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03219CC2">
            <w:pPr>
              <w:rPr>
                <w:rFonts w:hint="eastAsia" w:ascii="宋体" w:hAnsi="宋体" w:eastAsia="宋体" w:cs="宋体"/>
                <w:color w:val="auto"/>
                <w:sz w:val="24"/>
                <w:szCs w:val="24"/>
                <w:highlight w:val="none"/>
              </w:rPr>
            </w:pPr>
          </w:p>
        </w:tc>
        <w:tc>
          <w:tcPr>
            <w:tcW w:w="2557" w:type="dxa"/>
            <w:noWrap w:val="0"/>
            <w:vAlign w:val="top"/>
          </w:tcPr>
          <w:p w14:paraId="748DA2AC">
            <w:pPr>
              <w:rPr>
                <w:rFonts w:hint="eastAsia" w:ascii="宋体" w:hAnsi="宋体" w:eastAsia="宋体" w:cs="宋体"/>
                <w:color w:val="auto"/>
                <w:sz w:val="24"/>
                <w:szCs w:val="24"/>
                <w:highlight w:val="none"/>
              </w:rPr>
            </w:pPr>
          </w:p>
        </w:tc>
        <w:tc>
          <w:tcPr>
            <w:tcW w:w="2762" w:type="dxa"/>
            <w:noWrap w:val="0"/>
            <w:vAlign w:val="top"/>
          </w:tcPr>
          <w:p w14:paraId="4149BC75">
            <w:pPr>
              <w:rPr>
                <w:rFonts w:hint="eastAsia" w:ascii="宋体" w:hAnsi="宋体" w:eastAsia="宋体" w:cs="宋体"/>
                <w:color w:val="auto"/>
                <w:sz w:val="24"/>
                <w:szCs w:val="24"/>
                <w:highlight w:val="none"/>
              </w:rPr>
            </w:pPr>
          </w:p>
        </w:tc>
        <w:tc>
          <w:tcPr>
            <w:tcW w:w="2076" w:type="dxa"/>
            <w:noWrap w:val="0"/>
            <w:vAlign w:val="top"/>
          </w:tcPr>
          <w:p w14:paraId="71F2B714">
            <w:pPr>
              <w:rPr>
                <w:rFonts w:hint="eastAsia" w:ascii="宋体" w:hAnsi="宋体" w:eastAsia="宋体" w:cs="宋体"/>
                <w:color w:val="auto"/>
                <w:sz w:val="24"/>
                <w:szCs w:val="24"/>
                <w:highlight w:val="none"/>
              </w:rPr>
            </w:pPr>
          </w:p>
        </w:tc>
      </w:tr>
      <w:tr w14:paraId="772EB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2FA62E1D">
            <w:pPr>
              <w:rPr>
                <w:rFonts w:hint="eastAsia" w:ascii="宋体" w:hAnsi="宋体" w:eastAsia="宋体" w:cs="宋体"/>
                <w:color w:val="auto"/>
                <w:sz w:val="24"/>
                <w:szCs w:val="24"/>
                <w:highlight w:val="none"/>
              </w:rPr>
            </w:pPr>
          </w:p>
        </w:tc>
        <w:tc>
          <w:tcPr>
            <w:tcW w:w="2557" w:type="dxa"/>
            <w:noWrap w:val="0"/>
            <w:vAlign w:val="top"/>
          </w:tcPr>
          <w:p w14:paraId="3F49488C">
            <w:pPr>
              <w:rPr>
                <w:rFonts w:hint="eastAsia" w:ascii="宋体" w:hAnsi="宋体" w:eastAsia="宋体" w:cs="宋体"/>
                <w:color w:val="auto"/>
                <w:sz w:val="24"/>
                <w:szCs w:val="24"/>
                <w:highlight w:val="none"/>
              </w:rPr>
            </w:pPr>
          </w:p>
        </w:tc>
        <w:tc>
          <w:tcPr>
            <w:tcW w:w="2762" w:type="dxa"/>
            <w:noWrap w:val="0"/>
            <w:vAlign w:val="top"/>
          </w:tcPr>
          <w:p w14:paraId="4FF6D092">
            <w:pPr>
              <w:rPr>
                <w:rFonts w:hint="eastAsia" w:ascii="宋体" w:hAnsi="宋体" w:eastAsia="宋体" w:cs="宋体"/>
                <w:color w:val="auto"/>
                <w:sz w:val="24"/>
                <w:szCs w:val="24"/>
                <w:highlight w:val="none"/>
              </w:rPr>
            </w:pPr>
          </w:p>
        </w:tc>
        <w:tc>
          <w:tcPr>
            <w:tcW w:w="2076" w:type="dxa"/>
            <w:noWrap w:val="0"/>
            <w:vAlign w:val="top"/>
          </w:tcPr>
          <w:p w14:paraId="604EAE8E">
            <w:pPr>
              <w:rPr>
                <w:rFonts w:hint="eastAsia" w:ascii="宋体" w:hAnsi="宋体" w:eastAsia="宋体" w:cs="宋体"/>
                <w:color w:val="auto"/>
                <w:sz w:val="24"/>
                <w:szCs w:val="24"/>
                <w:highlight w:val="none"/>
              </w:rPr>
            </w:pPr>
          </w:p>
        </w:tc>
      </w:tr>
      <w:tr w14:paraId="76FF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086BB22B">
            <w:pPr>
              <w:rPr>
                <w:rFonts w:hint="eastAsia" w:ascii="宋体" w:hAnsi="宋体" w:eastAsia="宋体" w:cs="宋体"/>
                <w:color w:val="auto"/>
                <w:sz w:val="24"/>
                <w:szCs w:val="24"/>
                <w:highlight w:val="none"/>
              </w:rPr>
            </w:pPr>
          </w:p>
        </w:tc>
        <w:tc>
          <w:tcPr>
            <w:tcW w:w="2557" w:type="dxa"/>
            <w:noWrap w:val="0"/>
            <w:vAlign w:val="top"/>
          </w:tcPr>
          <w:p w14:paraId="315DEE4E">
            <w:pPr>
              <w:rPr>
                <w:rFonts w:hint="eastAsia" w:ascii="宋体" w:hAnsi="宋体" w:eastAsia="宋体" w:cs="宋体"/>
                <w:color w:val="auto"/>
                <w:sz w:val="24"/>
                <w:szCs w:val="24"/>
                <w:highlight w:val="none"/>
              </w:rPr>
            </w:pPr>
          </w:p>
        </w:tc>
        <w:tc>
          <w:tcPr>
            <w:tcW w:w="2762" w:type="dxa"/>
            <w:noWrap w:val="0"/>
            <w:vAlign w:val="top"/>
          </w:tcPr>
          <w:p w14:paraId="2D330969">
            <w:pPr>
              <w:rPr>
                <w:rFonts w:hint="eastAsia" w:ascii="宋体" w:hAnsi="宋体" w:eastAsia="宋体" w:cs="宋体"/>
                <w:color w:val="auto"/>
                <w:sz w:val="24"/>
                <w:szCs w:val="24"/>
                <w:highlight w:val="none"/>
              </w:rPr>
            </w:pPr>
          </w:p>
        </w:tc>
        <w:tc>
          <w:tcPr>
            <w:tcW w:w="2076" w:type="dxa"/>
            <w:noWrap w:val="0"/>
            <w:vAlign w:val="top"/>
          </w:tcPr>
          <w:p w14:paraId="0BF0DB29">
            <w:pPr>
              <w:rPr>
                <w:rFonts w:hint="eastAsia" w:ascii="宋体" w:hAnsi="宋体" w:eastAsia="宋体" w:cs="宋体"/>
                <w:color w:val="auto"/>
                <w:sz w:val="24"/>
                <w:szCs w:val="24"/>
                <w:highlight w:val="none"/>
              </w:rPr>
            </w:pPr>
          </w:p>
        </w:tc>
      </w:tr>
      <w:tr w14:paraId="28A5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71BA01A4">
            <w:pPr>
              <w:rPr>
                <w:rFonts w:hint="eastAsia" w:ascii="宋体" w:hAnsi="宋体" w:eastAsia="宋体" w:cs="宋体"/>
                <w:color w:val="auto"/>
                <w:sz w:val="24"/>
                <w:szCs w:val="24"/>
                <w:highlight w:val="none"/>
              </w:rPr>
            </w:pPr>
          </w:p>
        </w:tc>
        <w:tc>
          <w:tcPr>
            <w:tcW w:w="2557" w:type="dxa"/>
            <w:noWrap w:val="0"/>
            <w:vAlign w:val="top"/>
          </w:tcPr>
          <w:p w14:paraId="7396ABFF">
            <w:pPr>
              <w:rPr>
                <w:rFonts w:hint="eastAsia" w:ascii="宋体" w:hAnsi="宋体" w:eastAsia="宋体" w:cs="宋体"/>
                <w:color w:val="auto"/>
                <w:sz w:val="24"/>
                <w:szCs w:val="24"/>
                <w:highlight w:val="none"/>
              </w:rPr>
            </w:pPr>
          </w:p>
        </w:tc>
        <w:tc>
          <w:tcPr>
            <w:tcW w:w="2762" w:type="dxa"/>
            <w:noWrap w:val="0"/>
            <w:vAlign w:val="top"/>
          </w:tcPr>
          <w:p w14:paraId="26273CB3">
            <w:pPr>
              <w:rPr>
                <w:rFonts w:hint="eastAsia" w:ascii="宋体" w:hAnsi="宋体" w:eastAsia="宋体" w:cs="宋体"/>
                <w:color w:val="auto"/>
                <w:sz w:val="24"/>
                <w:szCs w:val="24"/>
                <w:highlight w:val="none"/>
              </w:rPr>
            </w:pPr>
          </w:p>
        </w:tc>
        <w:tc>
          <w:tcPr>
            <w:tcW w:w="2076" w:type="dxa"/>
            <w:noWrap w:val="0"/>
            <w:vAlign w:val="top"/>
          </w:tcPr>
          <w:p w14:paraId="47A18913">
            <w:pPr>
              <w:rPr>
                <w:rFonts w:hint="eastAsia" w:ascii="宋体" w:hAnsi="宋体" w:eastAsia="宋体" w:cs="宋体"/>
                <w:color w:val="auto"/>
                <w:sz w:val="24"/>
                <w:szCs w:val="24"/>
                <w:highlight w:val="none"/>
              </w:rPr>
            </w:pPr>
          </w:p>
        </w:tc>
      </w:tr>
      <w:tr w14:paraId="150F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389" w:type="dxa"/>
            <w:noWrap w:val="0"/>
            <w:vAlign w:val="top"/>
          </w:tcPr>
          <w:p w14:paraId="02DDAE78">
            <w:pPr>
              <w:rPr>
                <w:rFonts w:hint="eastAsia" w:ascii="宋体" w:hAnsi="宋体" w:eastAsia="宋体" w:cs="宋体"/>
                <w:color w:val="auto"/>
                <w:sz w:val="24"/>
                <w:szCs w:val="24"/>
                <w:highlight w:val="none"/>
              </w:rPr>
            </w:pPr>
          </w:p>
        </w:tc>
        <w:tc>
          <w:tcPr>
            <w:tcW w:w="2557" w:type="dxa"/>
            <w:noWrap w:val="0"/>
            <w:vAlign w:val="top"/>
          </w:tcPr>
          <w:p w14:paraId="42BE2AA4">
            <w:pPr>
              <w:rPr>
                <w:rFonts w:hint="eastAsia" w:ascii="宋体" w:hAnsi="宋体" w:eastAsia="宋体" w:cs="宋体"/>
                <w:color w:val="auto"/>
                <w:sz w:val="24"/>
                <w:szCs w:val="24"/>
                <w:highlight w:val="none"/>
              </w:rPr>
            </w:pPr>
          </w:p>
        </w:tc>
        <w:tc>
          <w:tcPr>
            <w:tcW w:w="2762" w:type="dxa"/>
            <w:noWrap w:val="0"/>
            <w:vAlign w:val="top"/>
          </w:tcPr>
          <w:p w14:paraId="36A01A85">
            <w:pPr>
              <w:rPr>
                <w:rFonts w:hint="eastAsia" w:ascii="宋体" w:hAnsi="宋体" w:eastAsia="宋体" w:cs="宋体"/>
                <w:color w:val="auto"/>
                <w:sz w:val="24"/>
                <w:szCs w:val="24"/>
                <w:highlight w:val="none"/>
              </w:rPr>
            </w:pPr>
          </w:p>
        </w:tc>
        <w:tc>
          <w:tcPr>
            <w:tcW w:w="2076" w:type="dxa"/>
            <w:noWrap w:val="0"/>
            <w:vAlign w:val="top"/>
          </w:tcPr>
          <w:p w14:paraId="09218963">
            <w:pPr>
              <w:rPr>
                <w:rFonts w:hint="eastAsia" w:ascii="宋体" w:hAnsi="宋体" w:eastAsia="宋体" w:cs="宋体"/>
                <w:color w:val="auto"/>
                <w:sz w:val="24"/>
                <w:szCs w:val="24"/>
                <w:highlight w:val="none"/>
              </w:rPr>
            </w:pPr>
          </w:p>
        </w:tc>
      </w:tr>
    </w:tbl>
    <w:p w14:paraId="0CF42D38">
      <w:pPr>
        <w:jc w:val="left"/>
        <w:rPr>
          <w:rFonts w:hint="eastAsia" w:ascii="宋体" w:hAnsi="宋体" w:eastAsia="宋体" w:cs="宋体"/>
          <w:color w:val="auto"/>
          <w:sz w:val="24"/>
          <w:szCs w:val="24"/>
          <w:highlight w:val="none"/>
        </w:rPr>
      </w:pPr>
    </w:p>
    <w:p w14:paraId="381589E9">
      <w:pPr>
        <w:keepNext w:val="0"/>
        <w:keepLines w:val="0"/>
        <w:pageBreakBefore w:val="0"/>
        <w:tabs>
          <w:tab w:val="left" w:pos="864"/>
        </w:tabs>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说明</w:t>
      </w: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 xml:space="preserve"> 1.本表应严格按照磋商内容及要求中所包含的商务条款进行填写；偏离说明填写：</w:t>
      </w:r>
      <w:r>
        <w:rPr>
          <w:rFonts w:hint="eastAsia" w:ascii="宋体" w:hAnsi="宋体" w:cs="宋体"/>
          <w:b/>
          <w:bCs/>
          <w:color w:val="auto"/>
          <w:sz w:val="24"/>
          <w:szCs w:val="24"/>
          <w:highlight w:val="none"/>
          <w:lang w:val="en-US" w:eastAsia="zh-CN"/>
        </w:rPr>
        <w:t>正偏离或负偏离</w:t>
      </w:r>
      <w:r>
        <w:rPr>
          <w:rFonts w:hint="eastAsia" w:ascii="宋体" w:hAnsi="宋体" w:cs="宋体"/>
          <w:b w:val="0"/>
          <w:bCs w:val="0"/>
          <w:color w:val="auto"/>
          <w:sz w:val="24"/>
          <w:szCs w:val="24"/>
          <w:highlight w:val="none"/>
          <w:lang w:val="en-US" w:eastAsia="zh-CN"/>
        </w:rPr>
        <w:t xml:space="preserve">。若完全响应磋商文件的不用在此表列出。 </w:t>
      </w:r>
    </w:p>
    <w:p w14:paraId="74B1098A">
      <w:pPr>
        <w:keepNext w:val="0"/>
        <w:keepLines w:val="0"/>
        <w:pageBreakBefore w:val="0"/>
        <w:tabs>
          <w:tab w:val="left" w:pos="864"/>
        </w:tabs>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2.供应商必须据实填写，不得虚假响应，否则将取消其磋商或中标资格，并按有关规定进行处罚。</w:t>
      </w:r>
    </w:p>
    <w:p w14:paraId="1B6E809F">
      <w:pPr>
        <w:pStyle w:val="2"/>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p>
    <w:p w14:paraId="1D8A4231">
      <w:pPr>
        <w:rPr>
          <w:rFonts w:hint="eastAsia"/>
          <w:color w:val="auto"/>
          <w:highlight w:val="none"/>
        </w:rPr>
      </w:pPr>
    </w:p>
    <w:p w14:paraId="10D6FD6A">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48ED91C0">
      <w:pPr>
        <w:keepNext w:val="0"/>
        <w:keepLines w:val="0"/>
        <w:pageBreakBefore w:val="0"/>
        <w:widowControl w:val="0"/>
        <w:kinsoku/>
        <w:wordWrap/>
        <w:overflowPunct/>
        <w:topLinePunct w:val="0"/>
        <w:autoSpaceDE/>
        <w:autoSpaceDN/>
        <w:bidi w:val="0"/>
        <w:adjustRightInd/>
        <w:snapToGrid/>
        <w:spacing w:line="480" w:lineRule="auto"/>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法定代表人/被授权人（</w:t>
      </w:r>
      <w:r>
        <w:rPr>
          <w:rFonts w:hint="eastAsia" w:ascii="宋体" w:hAnsi="宋体" w:eastAsia="宋体" w:cs="宋体"/>
          <w:color w:val="auto"/>
          <w:spacing w:val="4"/>
          <w:sz w:val="24"/>
          <w:szCs w:val="24"/>
          <w:highlight w:val="none"/>
        </w:rPr>
        <w:t>签字或盖章</w:t>
      </w:r>
      <w:r>
        <w:rPr>
          <w:rFonts w:hint="eastAsia" w:ascii="宋体" w:hAnsi="宋体" w:eastAsia="宋体" w:cs="宋体"/>
          <w:color w:val="auto"/>
          <w:sz w:val="24"/>
          <w:szCs w:val="24"/>
          <w:highlight w:val="none"/>
        </w:rPr>
        <w:t>）：</w:t>
      </w:r>
    </w:p>
    <w:p w14:paraId="1C9E582A">
      <w:pPr>
        <w:spacing w:line="360" w:lineRule="auto"/>
        <w:ind w:firstLine="3720" w:firstLineChars="150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日    期：</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年</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月</w:t>
      </w:r>
      <w:r>
        <w:rPr>
          <w:rFonts w:hint="eastAsia" w:ascii="宋体" w:hAnsi="宋体" w:eastAsia="宋体" w:cs="宋体"/>
          <w:color w:val="auto"/>
          <w:spacing w:val="4"/>
          <w:sz w:val="24"/>
          <w:szCs w:val="24"/>
          <w:highlight w:val="none"/>
          <w:u w:val="single"/>
        </w:rPr>
        <w:t xml:space="preserve">      </w:t>
      </w:r>
      <w:r>
        <w:rPr>
          <w:rFonts w:hint="eastAsia" w:ascii="宋体" w:hAnsi="宋体" w:cs="宋体"/>
          <w:color w:val="auto"/>
          <w:spacing w:val="4"/>
          <w:sz w:val="24"/>
          <w:szCs w:val="24"/>
          <w:highlight w:val="none"/>
          <w:u w:val="none"/>
          <w:lang w:val="en-US" w:eastAsia="zh-CN"/>
        </w:rPr>
        <w:t>日</w:t>
      </w:r>
      <w:r>
        <w:rPr>
          <w:rFonts w:hint="eastAsia" w:ascii="宋体" w:hAnsi="宋体" w:eastAsia="宋体" w:cs="宋体"/>
          <w:color w:val="auto"/>
          <w:sz w:val="24"/>
          <w:szCs w:val="24"/>
          <w:highlight w:val="none"/>
        </w:rPr>
        <w:t xml:space="preserve">     </w:t>
      </w:r>
    </w:p>
    <w:p w14:paraId="3D645B46">
      <w:pPr>
        <w:pStyle w:val="8"/>
        <w:rPr>
          <w:rFonts w:hint="eastAsia" w:ascii="宋体" w:hAnsi="宋体" w:eastAsia="宋体" w:cs="宋体"/>
          <w:color w:val="auto"/>
          <w:sz w:val="24"/>
          <w:szCs w:val="24"/>
          <w:highlight w:val="none"/>
        </w:rPr>
      </w:pPr>
    </w:p>
    <w:p w14:paraId="06F0798D">
      <w:pPr>
        <w:rPr>
          <w:rFonts w:hint="eastAsia"/>
          <w:color w:val="auto"/>
          <w:highlight w:val="none"/>
        </w:rPr>
      </w:pPr>
    </w:p>
    <w:p w14:paraId="37956A3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b/>
          <w:bCs/>
          <w:color w:val="auto"/>
          <w:sz w:val="32"/>
          <w:szCs w:val="32"/>
          <w:highlight w:val="none"/>
        </w:rPr>
      </w:pPr>
      <w:r>
        <w:rPr>
          <w:rFonts w:hint="eastAsia"/>
          <w:b/>
          <w:bCs/>
          <w:color w:val="auto"/>
          <w:sz w:val="32"/>
          <w:szCs w:val="32"/>
          <w:highlight w:val="none"/>
          <w:lang w:val="en-US" w:eastAsia="zh-CN"/>
        </w:rPr>
        <w:t>七、</w:t>
      </w:r>
      <w:r>
        <w:rPr>
          <w:rFonts w:hint="eastAsia" w:ascii="Calibri" w:hAnsi="Calibri" w:cs="Times New Roman"/>
          <w:b/>
          <w:color w:val="auto"/>
          <w:kern w:val="2"/>
          <w:sz w:val="32"/>
          <w:szCs w:val="32"/>
          <w:highlight w:val="none"/>
          <w:lang w:val="en-US" w:eastAsia="zh-CN" w:bidi="ar-SA"/>
        </w:rPr>
        <w:t>磋商</w:t>
      </w:r>
      <w:r>
        <w:rPr>
          <w:rFonts w:hint="eastAsia" w:ascii="Calibri" w:hAnsi="Calibri" w:eastAsia="宋体" w:cs="Times New Roman"/>
          <w:b/>
          <w:color w:val="auto"/>
          <w:kern w:val="2"/>
          <w:sz w:val="32"/>
          <w:szCs w:val="32"/>
          <w:highlight w:val="none"/>
          <w:lang w:val="en-US" w:eastAsia="zh-CN" w:bidi="ar-SA"/>
        </w:rPr>
        <w:t>保证金</w:t>
      </w:r>
    </w:p>
    <w:p w14:paraId="1E4FCB00">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color w:val="auto"/>
          <w:sz w:val="24"/>
          <w:szCs w:val="24"/>
          <w:highlight w:val="none"/>
          <w:lang w:eastAsia="zh-CN"/>
        </w:rPr>
      </w:pPr>
    </w:p>
    <w:p w14:paraId="0A1D3DC8">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eastAsia="宋体"/>
          <w:color w:val="auto"/>
          <w:sz w:val="24"/>
          <w:szCs w:val="24"/>
          <w:highlight w:val="none"/>
          <w:lang w:val="en-US" w:eastAsia="zh-CN"/>
        </w:rPr>
      </w:pPr>
      <w:r>
        <w:rPr>
          <w:rFonts w:hint="eastAsia"/>
          <w:color w:val="auto"/>
          <w:sz w:val="24"/>
          <w:szCs w:val="24"/>
          <w:highlight w:val="none"/>
          <w:lang w:eastAsia="zh-CN"/>
        </w:rPr>
        <w:t>附</w:t>
      </w:r>
      <w:r>
        <w:rPr>
          <w:rFonts w:hint="eastAsia"/>
          <w:color w:val="auto"/>
          <w:sz w:val="24"/>
          <w:szCs w:val="24"/>
          <w:highlight w:val="none"/>
          <w:lang w:val="en-US" w:eastAsia="zh-CN"/>
        </w:rPr>
        <w:t>磋商</w:t>
      </w:r>
      <w:r>
        <w:rPr>
          <w:rFonts w:hint="eastAsia"/>
          <w:color w:val="auto"/>
          <w:sz w:val="24"/>
          <w:szCs w:val="24"/>
          <w:highlight w:val="none"/>
        </w:rPr>
        <w:t>保证金</w:t>
      </w:r>
      <w:r>
        <w:rPr>
          <w:rFonts w:hint="eastAsia"/>
          <w:color w:val="auto"/>
          <w:sz w:val="24"/>
          <w:szCs w:val="24"/>
          <w:highlight w:val="none"/>
          <w:lang w:val="en-US" w:eastAsia="zh-CN"/>
        </w:rPr>
        <w:t>支付凭证</w:t>
      </w:r>
    </w:p>
    <w:p w14:paraId="79AEA046">
      <w:pPr>
        <w:rPr>
          <w:rFonts w:hint="eastAsia"/>
          <w:color w:val="auto"/>
          <w:sz w:val="24"/>
          <w:szCs w:val="24"/>
          <w:highlight w:val="none"/>
          <w:lang w:val="en-US" w:eastAsia="zh-CN"/>
        </w:rPr>
      </w:pPr>
    </w:p>
    <w:p w14:paraId="1D783FD6">
      <w:pPr>
        <w:pStyle w:val="8"/>
        <w:rPr>
          <w:rFonts w:hint="eastAsia"/>
          <w:color w:val="auto"/>
          <w:sz w:val="24"/>
          <w:szCs w:val="24"/>
          <w:highlight w:val="none"/>
          <w:lang w:val="en-US" w:eastAsia="zh-CN"/>
        </w:rPr>
      </w:pPr>
    </w:p>
    <w:p w14:paraId="672C0D81">
      <w:pPr>
        <w:rPr>
          <w:rFonts w:hint="eastAsia"/>
          <w:color w:val="auto"/>
          <w:sz w:val="24"/>
          <w:szCs w:val="24"/>
          <w:highlight w:val="none"/>
          <w:lang w:val="en-US" w:eastAsia="zh-CN"/>
        </w:rPr>
      </w:pPr>
    </w:p>
    <w:p w14:paraId="4E11ADEA">
      <w:pPr>
        <w:pStyle w:val="8"/>
        <w:rPr>
          <w:rFonts w:hint="eastAsia"/>
          <w:color w:val="auto"/>
          <w:sz w:val="24"/>
          <w:szCs w:val="24"/>
          <w:highlight w:val="none"/>
          <w:lang w:val="en-US" w:eastAsia="zh-CN"/>
        </w:rPr>
      </w:pPr>
    </w:p>
    <w:p w14:paraId="4EDB87D5">
      <w:pPr>
        <w:rPr>
          <w:rFonts w:hint="eastAsia"/>
          <w:color w:val="auto"/>
          <w:sz w:val="24"/>
          <w:szCs w:val="24"/>
          <w:highlight w:val="none"/>
          <w:lang w:val="en-US" w:eastAsia="zh-CN"/>
        </w:rPr>
      </w:pPr>
    </w:p>
    <w:p w14:paraId="5345E4C1">
      <w:pPr>
        <w:pStyle w:val="8"/>
        <w:rPr>
          <w:rFonts w:hint="eastAsia"/>
          <w:color w:val="auto"/>
          <w:sz w:val="24"/>
          <w:szCs w:val="24"/>
          <w:highlight w:val="none"/>
          <w:lang w:val="en-US" w:eastAsia="zh-CN"/>
        </w:rPr>
      </w:pPr>
    </w:p>
    <w:p w14:paraId="1A2C41E4">
      <w:pPr>
        <w:rPr>
          <w:rFonts w:hint="eastAsia"/>
          <w:color w:val="auto"/>
          <w:sz w:val="24"/>
          <w:szCs w:val="24"/>
          <w:highlight w:val="none"/>
          <w:lang w:val="en-US" w:eastAsia="zh-CN"/>
        </w:rPr>
      </w:pPr>
    </w:p>
    <w:p w14:paraId="19C8750A">
      <w:pPr>
        <w:pStyle w:val="8"/>
        <w:rPr>
          <w:rFonts w:hint="eastAsia"/>
          <w:color w:val="auto"/>
          <w:sz w:val="24"/>
          <w:szCs w:val="24"/>
          <w:highlight w:val="none"/>
          <w:lang w:val="en-US" w:eastAsia="zh-CN"/>
        </w:rPr>
      </w:pPr>
    </w:p>
    <w:p w14:paraId="70265AA6">
      <w:pPr>
        <w:rPr>
          <w:rFonts w:hint="eastAsia"/>
          <w:color w:val="auto"/>
          <w:sz w:val="24"/>
          <w:szCs w:val="24"/>
          <w:highlight w:val="none"/>
          <w:lang w:val="en-US" w:eastAsia="zh-CN"/>
        </w:rPr>
      </w:pPr>
    </w:p>
    <w:p w14:paraId="430583A6">
      <w:pPr>
        <w:pStyle w:val="8"/>
        <w:rPr>
          <w:rFonts w:hint="eastAsia"/>
          <w:color w:val="auto"/>
          <w:sz w:val="24"/>
          <w:szCs w:val="24"/>
          <w:highlight w:val="none"/>
          <w:lang w:val="en-US" w:eastAsia="zh-CN"/>
        </w:rPr>
      </w:pPr>
    </w:p>
    <w:p w14:paraId="29AA291E">
      <w:pPr>
        <w:rPr>
          <w:rFonts w:hint="eastAsia"/>
          <w:color w:val="auto"/>
          <w:sz w:val="24"/>
          <w:szCs w:val="24"/>
          <w:highlight w:val="none"/>
          <w:lang w:val="en-US" w:eastAsia="zh-CN"/>
        </w:rPr>
      </w:pPr>
    </w:p>
    <w:p w14:paraId="2234BEED">
      <w:pPr>
        <w:pStyle w:val="8"/>
        <w:rPr>
          <w:rFonts w:hint="eastAsia"/>
          <w:color w:val="auto"/>
          <w:sz w:val="24"/>
          <w:szCs w:val="24"/>
          <w:highlight w:val="none"/>
          <w:lang w:val="en-US" w:eastAsia="zh-CN"/>
        </w:rPr>
      </w:pPr>
    </w:p>
    <w:p w14:paraId="3DF1890D">
      <w:pPr>
        <w:rPr>
          <w:rFonts w:hint="eastAsia"/>
          <w:color w:val="auto"/>
          <w:sz w:val="24"/>
          <w:szCs w:val="24"/>
          <w:highlight w:val="none"/>
          <w:lang w:val="en-US" w:eastAsia="zh-CN"/>
        </w:rPr>
      </w:pPr>
    </w:p>
    <w:p w14:paraId="07DD541E">
      <w:pPr>
        <w:pStyle w:val="8"/>
        <w:rPr>
          <w:rFonts w:hint="eastAsia"/>
          <w:color w:val="auto"/>
          <w:sz w:val="24"/>
          <w:szCs w:val="24"/>
          <w:highlight w:val="none"/>
          <w:lang w:val="en-US" w:eastAsia="zh-CN"/>
        </w:rPr>
      </w:pPr>
    </w:p>
    <w:p w14:paraId="573BC06E">
      <w:pPr>
        <w:rPr>
          <w:rFonts w:hint="eastAsia"/>
          <w:color w:val="auto"/>
          <w:sz w:val="24"/>
          <w:szCs w:val="24"/>
          <w:highlight w:val="none"/>
          <w:lang w:val="en-US" w:eastAsia="zh-CN"/>
        </w:rPr>
      </w:pPr>
    </w:p>
    <w:p w14:paraId="5AE6D24C">
      <w:pPr>
        <w:pStyle w:val="8"/>
        <w:rPr>
          <w:rFonts w:hint="eastAsia"/>
          <w:color w:val="auto"/>
          <w:sz w:val="24"/>
          <w:szCs w:val="24"/>
          <w:highlight w:val="none"/>
          <w:lang w:val="en-US" w:eastAsia="zh-CN"/>
        </w:rPr>
      </w:pPr>
    </w:p>
    <w:p w14:paraId="1200A74F">
      <w:pPr>
        <w:rPr>
          <w:rFonts w:hint="eastAsia"/>
          <w:color w:val="auto"/>
          <w:sz w:val="24"/>
          <w:szCs w:val="24"/>
          <w:highlight w:val="none"/>
          <w:lang w:val="en-US" w:eastAsia="zh-CN"/>
        </w:rPr>
      </w:pPr>
    </w:p>
    <w:p w14:paraId="323FAE5B">
      <w:pPr>
        <w:pStyle w:val="8"/>
        <w:rPr>
          <w:rFonts w:hint="eastAsia"/>
          <w:color w:val="auto"/>
          <w:sz w:val="24"/>
          <w:szCs w:val="24"/>
          <w:highlight w:val="none"/>
          <w:lang w:val="en-US" w:eastAsia="zh-CN"/>
        </w:rPr>
      </w:pPr>
    </w:p>
    <w:p w14:paraId="6943C800">
      <w:pPr>
        <w:rPr>
          <w:rFonts w:hint="eastAsia"/>
          <w:color w:val="auto"/>
          <w:sz w:val="24"/>
          <w:szCs w:val="24"/>
          <w:highlight w:val="none"/>
          <w:lang w:val="en-US" w:eastAsia="zh-CN"/>
        </w:rPr>
      </w:pPr>
    </w:p>
    <w:p w14:paraId="2FA80167">
      <w:pPr>
        <w:pStyle w:val="8"/>
        <w:rPr>
          <w:rFonts w:hint="eastAsia"/>
          <w:color w:val="auto"/>
          <w:sz w:val="24"/>
          <w:szCs w:val="24"/>
          <w:highlight w:val="none"/>
          <w:lang w:val="en-US" w:eastAsia="zh-CN"/>
        </w:rPr>
      </w:pPr>
    </w:p>
    <w:p w14:paraId="55A7C12A">
      <w:pPr>
        <w:rPr>
          <w:rFonts w:hint="eastAsia"/>
          <w:color w:val="auto"/>
          <w:sz w:val="24"/>
          <w:szCs w:val="24"/>
          <w:highlight w:val="none"/>
          <w:lang w:val="en-US" w:eastAsia="zh-CN"/>
        </w:rPr>
      </w:pPr>
    </w:p>
    <w:p w14:paraId="76C3AFBB">
      <w:pPr>
        <w:pStyle w:val="8"/>
        <w:rPr>
          <w:rFonts w:hint="eastAsia"/>
          <w:color w:val="auto"/>
          <w:sz w:val="24"/>
          <w:szCs w:val="24"/>
          <w:highlight w:val="none"/>
          <w:lang w:val="en-US" w:eastAsia="zh-CN"/>
        </w:rPr>
      </w:pPr>
    </w:p>
    <w:p w14:paraId="4801CD5D">
      <w:pPr>
        <w:rPr>
          <w:rFonts w:hint="eastAsia"/>
          <w:color w:val="auto"/>
          <w:sz w:val="24"/>
          <w:szCs w:val="24"/>
          <w:highlight w:val="none"/>
          <w:lang w:val="en-US" w:eastAsia="zh-CN"/>
        </w:rPr>
      </w:pPr>
    </w:p>
    <w:p w14:paraId="6262044E">
      <w:pPr>
        <w:pStyle w:val="8"/>
        <w:rPr>
          <w:rFonts w:hint="eastAsia"/>
          <w:color w:val="auto"/>
          <w:sz w:val="24"/>
          <w:szCs w:val="24"/>
          <w:highlight w:val="none"/>
          <w:lang w:val="en-US" w:eastAsia="zh-CN"/>
        </w:rPr>
      </w:pPr>
    </w:p>
    <w:p w14:paraId="253A21C8">
      <w:pPr>
        <w:rPr>
          <w:rFonts w:hint="eastAsia"/>
          <w:color w:val="auto"/>
          <w:sz w:val="24"/>
          <w:szCs w:val="24"/>
          <w:highlight w:val="none"/>
          <w:lang w:val="en-US" w:eastAsia="zh-CN"/>
        </w:rPr>
      </w:pPr>
    </w:p>
    <w:p w14:paraId="0A1957CB">
      <w:pPr>
        <w:pStyle w:val="8"/>
        <w:rPr>
          <w:rFonts w:hint="eastAsia"/>
          <w:color w:val="auto"/>
          <w:sz w:val="24"/>
          <w:szCs w:val="24"/>
          <w:highlight w:val="none"/>
          <w:lang w:val="en-US" w:eastAsia="zh-CN"/>
        </w:rPr>
      </w:pPr>
    </w:p>
    <w:p w14:paraId="5C87D7C9">
      <w:pPr>
        <w:rPr>
          <w:rFonts w:hint="eastAsia"/>
          <w:color w:val="auto"/>
          <w:sz w:val="24"/>
          <w:szCs w:val="24"/>
          <w:highlight w:val="none"/>
          <w:lang w:val="en-US" w:eastAsia="zh-CN"/>
        </w:rPr>
      </w:pPr>
    </w:p>
    <w:p w14:paraId="0C0AD4F6">
      <w:pPr>
        <w:pStyle w:val="8"/>
        <w:rPr>
          <w:rFonts w:hint="eastAsia"/>
          <w:color w:val="auto"/>
          <w:sz w:val="24"/>
          <w:szCs w:val="24"/>
          <w:highlight w:val="none"/>
          <w:lang w:val="en-US" w:eastAsia="zh-CN"/>
        </w:rPr>
      </w:pPr>
    </w:p>
    <w:p w14:paraId="0DD3A1C2">
      <w:pPr>
        <w:rPr>
          <w:rFonts w:hint="eastAsia"/>
          <w:color w:val="auto"/>
          <w:sz w:val="24"/>
          <w:szCs w:val="24"/>
          <w:highlight w:val="none"/>
          <w:lang w:val="en-US" w:eastAsia="zh-CN"/>
        </w:rPr>
      </w:pPr>
    </w:p>
    <w:p w14:paraId="0087E730">
      <w:pPr>
        <w:pStyle w:val="2"/>
        <w:rPr>
          <w:rFonts w:hint="eastAsia"/>
          <w:lang w:val="en-US" w:eastAsia="zh-CN"/>
        </w:rPr>
      </w:pPr>
    </w:p>
    <w:p w14:paraId="46053B3A">
      <w:pPr>
        <w:pStyle w:val="8"/>
        <w:rPr>
          <w:rFonts w:hint="eastAsia"/>
          <w:color w:val="auto"/>
          <w:sz w:val="24"/>
          <w:szCs w:val="24"/>
          <w:highlight w:val="none"/>
          <w:lang w:val="en-US" w:eastAsia="zh-CN"/>
        </w:rPr>
      </w:pPr>
    </w:p>
    <w:p w14:paraId="0A506CE3">
      <w:pPr>
        <w:rPr>
          <w:rFonts w:hint="eastAsia"/>
          <w:color w:val="auto"/>
          <w:highlight w:val="none"/>
          <w:lang w:val="en-US" w:eastAsia="zh-CN"/>
        </w:rPr>
      </w:pPr>
    </w:p>
    <w:p w14:paraId="24E6A3E6">
      <w:pPr>
        <w:shd w:val="clear"/>
        <w:spacing w:before="98" w:line="220" w:lineRule="auto"/>
        <w:ind w:firstLine="3313"/>
        <w:outlineLvl w:val="3"/>
        <w:rPr>
          <w:rFonts w:hint="eastAsia" w:ascii="宋体" w:hAnsi="宋体" w:eastAsia="宋体" w:cs="宋体"/>
          <w:b/>
          <w:bCs/>
          <w:color w:val="auto"/>
          <w:spacing w:val="-8"/>
          <w:sz w:val="30"/>
          <w:szCs w:val="30"/>
          <w:highlight w:val="none"/>
        </w:rPr>
      </w:pPr>
      <w:r>
        <w:rPr>
          <w:rFonts w:hint="eastAsia" w:ascii="宋体" w:hAnsi="宋体" w:cs="宋体"/>
          <w:b/>
          <w:bCs/>
          <w:color w:val="auto"/>
          <w:spacing w:val="-8"/>
          <w:sz w:val="30"/>
          <w:szCs w:val="30"/>
          <w:highlight w:val="none"/>
          <w:lang w:val="en-US" w:eastAsia="zh-CN"/>
        </w:rPr>
        <w:t>八</w:t>
      </w:r>
      <w:r>
        <w:rPr>
          <w:rFonts w:hint="eastAsia" w:ascii="宋体" w:hAnsi="宋体" w:eastAsia="宋体" w:cs="宋体"/>
          <w:b/>
          <w:bCs/>
          <w:color w:val="auto"/>
          <w:spacing w:val="-8"/>
          <w:sz w:val="30"/>
          <w:szCs w:val="30"/>
          <w:highlight w:val="none"/>
        </w:rPr>
        <w:t>、资格证明文件</w:t>
      </w:r>
    </w:p>
    <w:p w14:paraId="481C3273">
      <w:pPr>
        <w:keepNext w:val="0"/>
        <w:keepLines w:val="0"/>
        <w:pageBreakBefore w:val="0"/>
        <w:widowControl w:val="0"/>
        <w:kinsoku/>
        <w:wordWrap/>
        <w:overflowPunct/>
        <w:topLinePunct w:val="0"/>
        <w:autoSpaceDE/>
        <w:autoSpaceDN/>
        <w:bidi w:val="0"/>
        <w:adjustRightInd/>
        <w:snapToGrid/>
        <w:spacing w:before="139" w:line="360" w:lineRule="auto"/>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1、</w:t>
      </w:r>
      <w:r>
        <w:rPr>
          <w:rFonts w:hint="eastAsia" w:ascii="宋体" w:hAnsi="宋体" w:eastAsia="宋体" w:cs="宋体"/>
          <w:b w:val="0"/>
          <w:bCs w:val="0"/>
          <w:color w:val="auto"/>
          <w:kern w:val="2"/>
          <w:sz w:val="24"/>
          <w:szCs w:val="24"/>
          <w:highlight w:val="none"/>
          <w:vertAlign w:val="baseline"/>
          <w:lang w:val="en-US" w:eastAsia="zh-CN" w:bidi="ar-SA"/>
        </w:rPr>
        <w:t xml:space="preserve">具有独立承担民事责任能力的法人、其他组织或自然人，并出具合法有效的营业执照或事业单位法人证书等国家规定的相关证明，自然人参与的提供其身份证明。 </w:t>
      </w:r>
      <w:r>
        <w:rPr>
          <w:rFonts w:hint="eastAsia" w:ascii="宋体" w:hAnsi="宋体" w:eastAsia="宋体" w:cs="宋体"/>
          <w:b w:val="0"/>
          <w:bCs w:val="0"/>
          <w:color w:val="auto"/>
          <w:kern w:val="2"/>
          <w:sz w:val="24"/>
          <w:szCs w:val="24"/>
          <w:highlight w:val="none"/>
          <w:vertAlign w:val="baseline"/>
          <w:lang w:val="en-US" w:eastAsia="zh-CN" w:bidi="ar-SA"/>
        </w:rPr>
        <w:br w:type="textWrapping"/>
      </w:r>
      <w:r>
        <w:rPr>
          <w:rFonts w:hint="eastAsia" w:ascii="宋体" w:hAnsi="宋体" w:cs="宋体"/>
          <w:b w:val="0"/>
          <w:bCs w:val="0"/>
          <w:color w:val="auto"/>
          <w:kern w:val="2"/>
          <w:sz w:val="24"/>
          <w:szCs w:val="24"/>
          <w:highlight w:val="none"/>
          <w:vertAlign w:val="baseline"/>
          <w:lang w:val="en-US" w:eastAsia="zh-CN" w:bidi="ar-SA"/>
        </w:rPr>
        <w:t xml:space="preserve">    2、</w:t>
      </w:r>
      <w:r>
        <w:rPr>
          <w:rFonts w:hint="eastAsia" w:ascii="宋体" w:hAnsi="宋体" w:eastAsia="宋体" w:cs="宋体"/>
          <w:b w:val="0"/>
          <w:bCs w:val="0"/>
          <w:color w:val="auto"/>
          <w:kern w:val="2"/>
          <w:sz w:val="24"/>
          <w:szCs w:val="24"/>
          <w:highlight w:val="none"/>
          <w:vertAlign w:val="baseline"/>
          <w:lang w:val="en-US" w:eastAsia="zh-CN" w:bidi="ar-SA"/>
        </w:rPr>
        <w:t>财务状况报告：提供2024或2025年度经会计师事务所审计并通过注册会计师行业统一监管平台备案赋码的审计报告（包括审计报告、资产负债表、利润表、现金流量表、所有者权益变动表及其附注，成立时间至提交响应文件截止时间不足一年的可提供成立后任意时段的资产负债表），或其开标前六个月内银行出具的资信证明，或信用担保机构出具的投标担保函。（以上三种形式的资料提供任何一种即可）。</w:t>
      </w:r>
    </w:p>
    <w:p w14:paraId="7B5DD1F0">
      <w:pPr>
        <w:keepNext w:val="0"/>
        <w:keepLines w:val="0"/>
        <w:pageBreakBefore w:val="0"/>
        <w:widowControl w:val="0"/>
        <w:kinsoku/>
        <w:wordWrap/>
        <w:overflowPunct/>
        <w:topLinePunct w:val="0"/>
        <w:autoSpaceDE/>
        <w:autoSpaceDN/>
        <w:bidi w:val="0"/>
        <w:adjustRightInd/>
        <w:snapToGrid/>
        <w:spacing w:before="139" w:line="360" w:lineRule="auto"/>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3、</w:t>
      </w:r>
      <w:r>
        <w:rPr>
          <w:rFonts w:hint="eastAsia" w:ascii="宋体" w:hAnsi="宋体" w:eastAsia="宋体" w:cs="宋体"/>
          <w:b w:val="0"/>
          <w:bCs w:val="0"/>
          <w:color w:val="auto"/>
          <w:kern w:val="2"/>
          <w:sz w:val="24"/>
          <w:szCs w:val="24"/>
          <w:highlight w:val="none"/>
          <w:vertAlign w:val="baseline"/>
          <w:lang w:val="en-US" w:eastAsia="zh-CN" w:bidi="ar-SA"/>
        </w:rPr>
        <w:t>税收缴纳证明：提供2025年1月至今已缴纳至少一个月的依法缴纳税款的相关凭据（时间以税款所属日期为准），凭据应有税务机关或代收机关的公章或业务专用章。依法免税或无须缴纳税款的供应商，应提供相关证明文件。</w:t>
      </w:r>
    </w:p>
    <w:p w14:paraId="0D0AACEC">
      <w:pPr>
        <w:keepNext w:val="0"/>
        <w:keepLines w:val="0"/>
        <w:pageBreakBefore w:val="0"/>
        <w:widowControl w:val="0"/>
        <w:kinsoku/>
        <w:wordWrap/>
        <w:overflowPunct/>
        <w:topLinePunct w:val="0"/>
        <w:autoSpaceDE/>
        <w:autoSpaceDN/>
        <w:bidi w:val="0"/>
        <w:adjustRightInd/>
        <w:snapToGrid/>
        <w:spacing w:before="139" w:line="360" w:lineRule="auto"/>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4、</w:t>
      </w:r>
      <w:r>
        <w:rPr>
          <w:rFonts w:hint="eastAsia" w:ascii="宋体" w:hAnsi="宋体" w:eastAsia="宋体" w:cs="宋体"/>
          <w:b w:val="0"/>
          <w:bCs w:val="0"/>
          <w:color w:val="auto"/>
          <w:kern w:val="2"/>
          <w:sz w:val="24"/>
          <w:szCs w:val="24"/>
          <w:highlight w:val="none"/>
          <w:vertAlign w:val="baseline"/>
          <w:lang w:val="en-US" w:eastAsia="zh-CN" w:bidi="ar-SA"/>
        </w:rPr>
        <w:t xml:space="preserve">社会保障资金缴纳证明：提供2025年1月至今已缴存的至少一个月的社会保障资金缴存单据或社保机构开具的社会保险参保缴费情况证明，依法不需要缴纳社会保障资金的单位应提供相关证明材料。 </w:t>
      </w:r>
    </w:p>
    <w:p w14:paraId="45A4C1A8">
      <w:pPr>
        <w:keepNext w:val="0"/>
        <w:keepLines w:val="0"/>
        <w:pageBreakBefore w:val="0"/>
        <w:widowControl w:val="0"/>
        <w:kinsoku/>
        <w:wordWrap/>
        <w:overflowPunct/>
        <w:topLinePunct w:val="0"/>
        <w:autoSpaceDE/>
        <w:autoSpaceDN/>
        <w:bidi w:val="0"/>
        <w:adjustRightInd/>
        <w:snapToGrid/>
        <w:spacing w:before="139" w:line="360" w:lineRule="auto"/>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5、</w:t>
      </w:r>
      <w:r>
        <w:rPr>
          <w:rFonts w:hint="eastAsia" w:ascii="宋体" w:hAnsi="宋体" w:eastAsia="宋体" w:cs="宋体"/>
          <w:b w:val="0"/>
          <w:bCs w:val="0"/>
          <w:color w:val="auto"/>
          <w:kern w:val="2"/>
          <w:sz w:val="24"/>
          <w:szCs w:val="24"/>
          <w:highlight w:val="none"/>
          <w:vertAlign w:val="baseline"/>
          <w:lang w:val="en-US" w:eastAsia="zh-CN" w:bidi="ar-SA"/>
        </w:rPr>
        <w:t>书面声明：参加本次政府采购活动前三年内在经营活动中没有重大违法记录，以及未被列入失信被执行人、重大税收违法失信主体、严重失信主体名单的书面声明。本项目拒绝被列入失信被执行人、重大税收违法失信主体、严重失信主体的供应商参与。</w:t>
      </w:r>
    </w:p>
    <w:p w14:paraId="400DE838">
      <w:pPr>
        <w:keepNext w:val="0"/>
        <w:keepLines w:val="0"/>
        <w:pageBreakBefore w:val="0"/>
        <w:widowControl w:val="0"/>
        <w:kinsoku/>
        <w:wordWrap/>
        <w:overflowPunct/>
        <w:topLinePunct w:val="0"/>
        <w:autoSpaceDE/>
        <w:autoSpaceDN/>
        <w:bidi w:val="0"/>
        <w:adjustRightInd/>
        <w:snapToGrid/>
        <w:spacing w:before="139" w:line="360" w:lineRule="auto"/>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6、</w:t>
      </w:r>
      <w:r>
        <w:rPr>
          <w:rFonts w:hint="eastAsia" w:ascii="宋体" w:hAnsi="宋体" w:eastAsia="宋体" w:cs="宋体"/>
          <w:b w:val="0"/>
          <w:bCs w:val="0"/>
          <w:color w:val="auto"/>
          <w:kern w:val="2"/>
          <w:sz w:val="24"/>
          <w:szCs w:val="24"/>
          <w:highlight w:val="none"/>
          <w:vertAlign w:val="baseline"/>
          <w:lang w:val="en-US" w:eastAsia="zh-CN" w:bidi="ar-SA"/>
        </w:rPr>
        <w:t>提供具有履行合同所必需的设备和专业技术能力的承诺函</w:t>
      </w:r>
      <w:r>
        <w:rPr>
          <w:rFonts w:hint="eastAsia" w:ascii="宋体" w:hAnsi="宋体" w:cs="宋体"/>
          <w:b w:val="0"/>
          <w:bCs w:val="0"/>
          <w:color w:val="auto"/>
          <w:kern w:val="2"/>
          <w:sz w:val="24"/>
          <w:szCs w:val="24"/>
          <w:highlight w:val="none"/>
          <w:vertAlign w:val="baseline"/>
          <w:lang w:val="en-US" w:eastAsia="zh-CN" w:bidi="ar-SA"/>
        </w:rPr>
        <w:t>；</w:t>
      </w:r>
      <w:r>
        <w:rPr>
          <w:rFonts w:hint="eastAsia" w:ascii="宋体" w:hAnsi="宋体" w:eastAsia="宋体" w:cs="宋体"/>
          <w:b w:val="0"/>
          <w:bCs w:val="0"/>
          <w:color w:val="auto"/>
          <w:kern w:val="2"/>
          <w:sz w:val="24"/>
          <w:szCs w:val="24"/>
          <w:highlight w:val="none"/>
          <w:vertAlign w:val="baseline"/>
          <w:lang w:val="en-US" w:eastAsia="zh-CN" w:bidi="ar-SA"/>
        </w:rPr>
        <w:t xml:space="preserve"> </w:t>
      </w:r>
    </w:p>
    <w:p w14:paraId="2C4D59E8">
      <w:pPr>
        <w:keepNext w:val="0"/>
        <w:keepLines w:val="0"/>
        <w:pageBreakBefore w:val="0"/>
        <w:widowControl w:val="0"/>
        <w:kinsoku/>
        <w:wordWrap/>
        <w:overflowPunct/>
        <w:topLinePunct w:val="0"/>
        <w:autoSpaceDE/>
        <w:autoSpaceDN/>
        <w:bidi w:val="0"/>
        <w:adjustRightInd/>
        <w:snapToGrid/>
        <w:spacing w:before="139" w:line="360" w:lineRule="auto"/>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7、</w:t>
      </w:r>
      <w:r>
        <w:rPr>
          <w:rFonts w:hint="eastAsia" w:ascii="宋体" w:hAnsi="宋体" w:eastAsia="宋体" w:cs="宋体"/>
          <w:b w:val="0"/>
          <w:bCs w:val="0"/>
          <w:color w:val="auto"/>
          <w:kern w:val="2"/>
          <w:sz w:val="24"/>
          <w:szCs w:val="24"/>
          <w:highlight w:val="none"/>
          <w:vertAlign w:val="baseline"/>
          <w:lang w:val="en-US" w:eastAsia="zh-CN" w:bidi="ar-SA"/>
        </w:rPr>
        <w:t>法定代表人授权书及被授权人身份证。（法定代表人直接参与磋商只须提交其身份证原件）</w:t>
      </w:r>
      <w:r>
        <w:rPr>
          <w:rFonts w:hint="eastAsia" w:ascii="宋体" w:hAnsi="宋体" w:cs="宋体"/>
          <w:b w:val="0"/>
          <w:bCs w:val="0"/>
          <w:color w:val="auto"/>
          <w:kern w:val="2"/>
          <w:sz w:val="24"/>
          <w:szCs w:val="24"/>
          <w:highlight w:val="none"/>
          <w:vertAlign w:val="baseline"/>
          <w:lang w:val="en-US" w:eastAsia="zh-CN" w:bidi="ar-SA"/>
        </w:rPr>
        <w:t>；</w:t>
      </w:r>
    </w:p>
    <w:p w14:paraId="325849D3">
      <w:pPr>
        <w:keepNext w:val="0"/>
        <w:keepLines w:val="0"/>
        <w:pageBreakBefore w:val="0"/>
        <w:widowControl w:val="0"/>
        <w:kinsoku/>
        <w:wordWrap/>
        <w:overflowPunct/>
        <w:topLinePunct w:val="0"/>
        <w:autoSpaceDE/>
        <w:autoSpaceDN/>
        <w:bidi w:val="0"/>
        <w:adjustRightInd/>
        <w:snapToGrid/>
        <w:spacing w:before="139" w:line="360" w:lineRule="auto"/>
        <w:ind w:firstLine="480" w:firstLineChars="200"/>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cs="宋体"/>
          <w:b w:val="0"/>
          <w:bCs w:val="0"/>
          <w:color w:val="auto"/>
          <w:kern w:val="2"/>
          <w:sz w:val="24"/>
          <w:szCs w:val="24"/>
          <w:highlight w:val="none"/>
          <w:vertAlign w:val="baseline"/>
          <w:lang w:val="en-US" w:eastAsia="zh-CN" w:bidi="ar-SA"/>
        </w:rPr>
        <w:t>8、</w:t>
      </w:r>
      <w:r>
        <w:rPr>
          <w:rFonts w:hint="eastAsia" w:ascii="宋体" w:hAnsi="宋体" w:eastAsia="宋体" w:cs="宋体"/>
          <w:b w:val="0"/>
          <w:bCs w:val="0"/>
          <w:color w:val="auto"/>
          <w:kern w:val="2"/>
          <w:sz w:val="24"/>
          <w:szCs w:val="24"/>
          <w:highlight w:val="none"/>
          <w:vertAlign w:val="baseline"/>
          <w:lang w:val="en-US" w:eastAsia="zh-CN" w:bidi="ar-SA"/>
        </w:rPr>
        <w:t>提供中小企业声明函。（本项目为非专门面向中、小、微型企业采购项目）</w:t>
      </w:r>
      <w:r>
        <w:rPr>
          <w:rFonts w:hint="eastAsia" w:ascii="宋体" w:hAnsi="宋体" w:cs="宋体"/>
          <w:b w:val="0"/>
          <w:bCs w:val="0"/>
          <w:color w:val="auto"/>
          <w:kern w:val="2"/>
          <w:sz w:val="24"/>
          <w:szCs w:val="24"/>
          <w:highlight w:val="none"/>
          <w:vertAlign w:val="baseline"/>
          <w:lang w:val="en-US" w:eastAsia="zh-CN" w:bidi="ar-SA"/>
        </w:rPr>
        <w:t>。</w:t>
      </w:r>
    </w:p>
    <w:p w14:paraId="183052C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overflowPunct/>
        <w:bidi w:val="0"/>
        <w:spacing w:before="0" w:beforeAutospacing="0" w:after="0" w:afterAutospacing="0" w:line="500" w:lineRule="exact"/>
        <w:ind w:right="0" w:rightChars="0" w:firstLine="482" w:firstLineChars="200"/>
        <w:jc w:val="both"/>
        <w:textAlignment w:val="baseline"/>
        <w:rPr>
          <w:rFonts w:hint="eastAsia" w:ascii="宋体" w:hAnsi="宋体" w:cs="宋体"/>
          <w:b/>
          <w:bCs/>
          <w:color w:val="auto"/>
          <w:kern w:val="2"/>
          <w:sz w:val="24"/>
          <w:szCs w:val="24"/>
          <w:highlight w:val="none"/>
          <w:vertAlign w:val="baseline"/>
          <w:lang w:val="en-US" w:eastAsia="zh-CN" w:bidi="ar-SA"/>
        </w:rPr>
      </w:pPr>
      <w:r>
        <w:rPr>
          <w:rFonts w:hint="eastAsia" w:ascii="宋体" w:hAnsi="宋体" w:eastAsia="宋体" w:cs="宋体"/>
          <w:b/>
          <w:bCs/>
          <w:color w:val="auto"/>
          <w:kern w:val="2"/>
          <w:sz w:val="24"/>
          <w:szCs w:val="24"/>
          <w:highlight w:val="none"/>
          <w:vertAlign w:val="baseline"/>
          <w:lang w:val="en-US" w:eastAsia="zh-CN" w:bidi="ar-SA"/>
        </w:rPr>
        <w:t>注：以上资质为必备资质，</w:t>
      </w:r>
      <w:r>
        <w:rPr>
          <w:rFonts w:hint="eastAsia" w:ascii="宋体" w:hAnsi="宋体" w:cs="宋体"/>
          <w:b/>
          <w:bCs/>
          <w:color w:val="auto"/>
          <w:kern w:val="2"/>
          <w:sz w:val="24"/>
          <w:szCs w:val="24"/>
          <w:highlight w:val="none"/>
          <w:vertAlign w:val="baseline"/>
          <w:lang w:val="en-US" w:eastAsia="zh-CN" w:bidi="ar-SA"/>
        </w:rPr>
        <w:t>提供</w:t>
      </w:r>
      <w:r>
        <w:rPr>
          <w:rFonts w:hint="eastAsia" w:ascii="宋体" w:hAnsi="宋体" w:eastAsia="宋体" w:cs="宋体"/>
          <w:b/>
          <w:bCs/>
          <w:color w:val="auto"/>
          <w:kern w:val="2"/>
          <w:sz w:val="24"/>
          <w:szCs w:val="24"/>
          <w:highlight w:val="none"/>
          <w:vertAlign w:val="baseline"/>
          <w:lang w:val="en-US" w:eastAsia="zh-CN" w:bidi="ar-SA"/>
        </w:rPr>
        <w:t>复印件或扫描件</w:t>
      </w:r>
      <w:r>
        <w:rPr>
          <w:rFonts w:hint="eastAsia" w:ascii="宋体" w:hAnsi="宋体" w:cs="宋体"/>
          <w:b/>
          <w:bCs/>
          <w:color w:val="auto"/>
          <w:kern w:val="2"/>
          <w:sz w:val="24"/>
          <w:szCs w:val="24"/>
          <w:highlight w:val="none"/>
          <w:vertAlign w:val="baseline"/>
          <w:lang w:val="en-US" w:eastAsia="zh-CN" w:bidi="ar-SA"/>
        </w:rPr>
        <w:t>并加盖公章。</w:t>
      </w:r>
    </w:p>
    <w:p w14:paraId="33E04E57">
      <w:pPr>
        <w:bidi w:val="0"/>
        <w:rPr>
          <w:rFonts w:hint="eastAsia"/>
          <w:color w:val="auto"/>
          <w:highlight w:val="none"/>
          <w:lang w:val="en-US" w:eastAsia="zh-CN"/>
        </w:rPr>
      </w:pPr>
    </w:p>
    <w:p w14:paraId="54C7E643">
      <w:pPr>
        <w:pStyle w:val="2"/>
        <w:ind w:left="0" w:leftChars="0" w:firstLine="0" w:firstLineChars="0"/>
        <w:rPr>
          <w:rFonts w:hint="eastAsia"/>
          <w:color w:val="auto"/>
          <w:highlight w:val="none"/>
          <w:lang w:val="en-US" w:eastAsia="zh-CN"/>
        </w:rPr>
      </w:pPr>
    </w:p>
    <w:p w14:paraId="778B8164">
      <w:pPr>
        <w:shd w:val="clear"/>
        <w:spacing w:line="245" w:lineRule="auto"/>
        <w:jc w:val="center"/>
        <w:outlineLvl w:val="0"/>
        <w:rPr>
          <w:rFonts w:hint="default" w:ascii="宋体" w:hAnsi="宋体" w:eastAsia="宋体" w:cs="宋体"/>
          <w:b/>
          <w:bCs/>
          <w:color w:val="auto"/>
          <w:sz w:val="30"/>
          <w:szCs w:val="30"/>
          <w:highlight w:val="none"/>
          <w:u w:val="none" w:color="auto"/>
          <w:lang w:val="en-US" w:eastAsia="zh-CN"/>
        </w:rPr>
      </w:pPr>
      <w:bookmarkStart w:id="51" w:name="_Toc4981"/>
      <w:r>
        <w:rPr>
          <w:rFonts w:hint="eastAsia" w:ascii="宋体" w:hAnsi="宋体" w:eastAsia="宋体" w:cs="宋体"/>
          <w:b/>
          <w:bCs/>
          <w:color w:val="auto"/>
          <w:sz w:val="30"/>
          <w:szCs w:val="30"/>
          <w:highlight w:val="none"/>
          <w:u w:val="none" w:color="auto"/>
          <w:lang w:val="en-US" w:eastAsia="zh-CN"/>
        </w:rPr>
        <w:t>九、</w:t>
      </w:r>
      <w:r>
        <w:rPr>
          <w:rFonts w:hint="eastAsia" w:ascii="宋体" w:hAnsi="宋体" w:cs="宋体"/>
          <w:b/>
          <w:bCs/>
          <w:color w:val="auto"/>
          <w:sz w:val="30"/>
          <w:szCs w:val="30"/>
          <w:highlight w:val="none"/>
          <w:u w:val="none" w:color="auto"/>
          <w:lang w:val="en-US" w:eastAsia="zh-CN"/>
        </w:rPr>
        <w:t>响应</w:t>
      </w:r>
      <w:r>
        <w:rPr>
          <w:rFonts w:hint="eastAsia" w:ascii="宋体" w:hAnsi="宋体" w:eastAsia="宋体" w:cs="宋体"/>
          <w:b/>
          <w:bCs/>
          <w:color w:val="auto"/>
          <w:sz w:val="30"/>
          <w:szCs w:val="30"/>
          <w:highlight w:val="none"/>
          <w:u w:val="none" w:color="auto"/>
          <w:lang w:val="en-US" w:eastAsia="zh-CN"/>
        </w:rPr>
        <w:t>方案</w:t>
      </w:r>
      <w:bookmarkEnd w:id="51"/>
      <w:r>
        <w:rPr>
          <w:rFonts w:hint="eastAsia" w:ascii="宋体" w:hAnsi="宋体" w:cs="宋体"/>
          <w:b/>
          <w:bCs/>
          <w:color w:val="auto"/>
          <w:sz w:val="30"/>
          <w:szCs w:val="30"/>
          <w:highlight w:val="none"/>
          <w:u w:val="none" w:color="auto"/>
          <w:lang w:val="en-US" w:eastAsia="zh-CN"/>
        </w:rPr>
        <w:t>说明</w:t>
      </w:r>
    </w:p>
    <w:p w14:paraId="75294C3C">
      <w:pPr>
        <w:shd w:val="clear"/>
        <w:spacing w:before="98" w:line="220" w:lineRule="auto"/>
        <w:jc w:val="both"/>
        <w:outlineLvl w:val="3"/>
        <w:rPr>
          <w:rFonts w:hint="default" w:ascii="宋体" w:hAnsi="宋体" w:eastAsia="宋体" w:cs="宋体"/>
          <w:color w:val="auto"/>
          <w:spacing w:val="-13"/>
          <w:sz w:val="24"/>
          <w:szCs w:val="24"/>
          <w:highlight w:val="none"/>
          <w:lang w:val="en-US" w:eastAsia="zh-CN"/>
        </w:rPr>
      </w:pPr>
    </w:p>
    <w:p w14:paraId="1D90727C">
      <w:pPr>
        <w:pStyle w:val="8"/>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根据磋商</w:t>
      </w:r>
      <w:r>
        <w:rPr>
          <w:rFonts w:hint="eastAsia" w:ascii="宋体" w:hAnsi="宋体" w:cs="宋体"/>
          <w:b/>
          <w:bCs/>
          <w:color w:val="auto"/>
          <w:sz w:val="24"/>
          <w:szCs w:val="24"/>
          <w:highlight w:val="none"/>
        </w:rPr>
        <w:t>文件第</w:t>
      </w:r>
      <w:r>
        <w:rPr>
          <w:rFonts w:hint="eastAsia" w:ascii="宋体" w:hAnsi="宋体" w:cs="宋体"/>
          <w:b/>
          <w:bCs/>
          <w:color w:val="auto"/>
          <w:sz w:val="24"/>
          <w:szCs w:val="24"/>
          <w:highlight w:val="none"/>
          <w:lang w:val="en-US" w:eastAsia="zh-CN"/>
        </w:rPr>
        <w:t>三章 评标办法</w:t>
      </w:r>
      <w:r>
        <w:rPr>
          <w:rFonts w:hint="eastAsia" w:ascii="宋体" w:hAnsi="宋体" w:cs="宋体"/>
          <w:b/>
          <w:bCs/>
          <w:color w:val="auto"/>
          <w:sz w:val="24"/>
          <w:szCs w:val="24"/>
          <w:highlight w:val="none"/>
        </w:rPr>
        <w:t>进行编写</w:t>
      </w:r>
      <w:r>
        <w:rPr>
          <w:rFonts w:hint="eastAsia" w:ascii="宋体" w:hAnsi="宋体" w:cs="宋体"/>
          <w:b/>
          <w:bCs/>
          <w:color w:val="auto"/>
          <w:sz w:val="24"/>
          <w:szCs w:val="24"/>
          <w:highlight w:val="none"/>
          <w:lang w:val="en-US" w:eastAsia="zh-CN"/>
        </w:rPr>
        <w:t xml:space="preserve"> 格式自拟</w:t>
      </w:r>
      <w:r>
        <w:rPr>
          <w:rFonts w:hint="eastAsia" w:ascii="宋体" w:hAnsi="宋体" w:cs="宋体"/>
          <w:b/>
          <w:bCs/>
          <w:color w:val="auto"/>
          <w:sz w:val="24"/>
          <w:szCs w:val="24"/>
          <w:highlight w:val="none"/>
        </w:rPr>
        <w:t>）</w:t>
      </w:r>
    </w:p>
    <w:p w14:paraId="3EC70A04">
      <w:pPr>
        <w:rPr>
          <w:rFonts w:hint="eastAsia" w:ascii="宋体" w:hAnsi="宋体" w:cs="宋体"/>
          <w:b/>
          <w:bCs/>
          <w:color w:val="auto"/>
          <w:sz w:val="24"/>
          <w:szCs w:val="24"/>
          <w:highlight w:val="none"/>
        </w:rPr>
      </w:pPr>
    </w:p>
    <w:p w14:paraId="081E21D9">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397AFE1B">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4E96B01C">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13E79E72">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5FA7E9A4">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33C8EEAC">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062CAC44">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0A32A83D">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4835809C">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65DFCD1A">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16735C21">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114C609F">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33A3B0A6">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6A7A76D2">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709C9A2E">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4F63F088">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6CFD882E">
      <w:pPr>
        <w:shd w:val="clear"/>
        <w:spacing w:before="98" w:line="220" w:lineRule="auto"/>
        <w:jc w:val="both"/>
        <w:outlineLvl w:val="3"/>
        <w:rPr>
          <w:rFonts w:hint="eastAsia" w:ascii="宋体" w:hAnsi="宋体" w:cs="宋体"/>
          <w:b/>
          <w:bCs/>
          <w:color w:val="auto"/>
          <w:spacing w:val="-8"/>
          <w:sz w:val="28"/>
          <w:szCs w:val="28"/>
          <w:highlight w:val="none"/>
          <w:lang w:val="en-US" w:eastAsia="zh-CN"/>
        </w:rPr>
      </w:pPr>
    </w:p>
    <w:p w14:paraId="70E111C4">
      <w:pPr>
        <w:shd w:val="clear"/>
        <w:spacing w:before="98" w:line="220" w:lineRule="auto"/>
        <w:jc w:val="both"/>
        <w:outlineLvl w:val="3"/>
        <w:rPr>
          <w:rFonts w:hint="default" w:ascii="宋体" w:hAnsi="宋体" w:eastAsia="宋体" w:cs="宋体"/>
          <w:b/>
          <w:bCs/>
          <w:color w:val="auto"/>
          <w:spacing w:val="-8"/>
          <w:sz w:val="28"/>
          <w:szCs w:val="28"/>
          <w:highlight w:val="none"/>
          <w:lang w:val="en-US" w:eastAsia="zh-CN"/>
        </w:rPr>
      </w:pPr>
      <w:r>
        <w:rPr>
          <w:rFonts w:hint="eastAsia" w:ascii="宋体" w:hAnsi="宋体" w:cs="宋体"/>
          <w:b/>
          <w:bCs/>
          <w:color w:val="auto"/>
          <w:spacing w:val="-8"/>
          <w:sz w:val="28"/>
          <w:szCs w:val="28"/>
          <w:highlight w:val="none"/>
          <w:lang w:val="en-US" w:eastAsia="zh-CN"/>
        </w:rPr>
        <w:t>附表：</w:t>
      </w:r>
    </w:p>
    <w:p w14:paraId="1872F4A4">
      <w:pPr>
        <w:shd w:val="clear"/>
        <w:spacing w:before="98" w:line="220" w:lineRule="auto"/>
        <w:jc w:val="center"/>
        <w:outlineLvl w:val="3"/>
        <w:rPr>
          <w:rFonts w:hint="eastAsia" w:ascii="宋体" w:hAnsi="宋体" w:eastAsia="宋体" w:cs="宋体"/>
          <w:b/>
          <w:bCs/>
          <w:color w:val="auto"/>
          <w:spacing w:val="-8"/>
          <w:sz w:val="28"/>
          <w:szCs w:val="28"/>
          <w:highlight w:val="none"/>
          <w:lang w:val="en-US" w:eastAsia="zh-CN"/>
        </w:rPr>
      </w:pPr>
      <w:r>
        <w:rPr>
          <w:rFonts w:hint="eastAsia" w:ascii="宋体" w:hAnsi="宋体" w:cs="宋体"/>
          <w:b/>
          <w:bCs/>
          <w:color w:val="auto"/>
          <w:spacing w:val="-8"/>
          <w:sz w:val="28"/>
          <w:szCs w:val="28"/>
          <w:highlight w:val="none"/>
          <w:lang w:val="en-US" w:eastAsia="zh-CN"/>
        </w:rPr>
        <w:t>类似项目</w:t>
      </w:r>
      <w:r>
        <w:rPr>
          <w:rFonts w:hint="eastAsia" w:ascii="宋体" w:hAnsi="宋体" w:eastAsia="宋体" w:cs="宋体"/>
          <w:b/>
          <w:bCs/>
          <w:color w:val="auto"/>
          <w:spacing w:val="-8"/>
          <w:sz w:val="28"/>
          <w:szCs w:val="28"/>
          <w:highlight w:val="none"/>
          <w:lang w:val="en-US" w:eastAsia="zh-CN"/>
        </w:rPr>
        <w:t>业绩一览表</w:t>
      </w:r>
    </w:p>
    <w:p w14:paraId="5B9592B1">
      <w:pPr>
        <w:numPr>
          <w:ilvl w:val="0"/>
          <w:numId w:val="0"/>
        </w:numPr>
        <w:shd w:val="clear"/>
        <w:rPr>
          <w:rFonts w:hint="eastAsia" w:ascii="宋体" w:hAnsi="宋体" w:eastAsia="宋体" w:cs="宋体"/>
          <w:color w:val="auto"/>
          <w:highlight w:val="none"/>
        </w:rPr>
      </w:pPr>
    </w:p>
    <w:tbl>
      <w:tblPr>
        <w:tblStyle w:val="16"/>
        <w:tblW w:w="946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54" w:type="dxa"/>
          <w:bottom w:w="0" w:type="dxa"/>
          <w:right w:w="54" w:type="dxa"/>
        </w:tblCellMar>
      </w:tblPr>
      <w:tblGrid>
        <w:gridCol w:w="1001"/>
        <w:gridCol w:w="1981"/>
        <w:gridCol w:w="2419"/>
        <w:gridCol w:w="1237"/>
        <w:gridCol w:w="1613"/>
        <w:gridCol w:w="1218"/>
      </w:tblGrid>
      <w:tr w14:paraId="5B36D0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937" w:hRule="atLeast"/>
          <w:jc w:val="center"/>
        </w:trPr>
        <w:tc>
          <w:tcPr>
            <w:tcW w:w="1001" w:type="dxa"/>
            <w:tcBorders>
              <w:tl2br w:val="nil"/>
              <w:tr2bl w:val="nil"/>
            </w:tcBorders>
            <w:noWrap w:val="0"/>
            <w:vAlign w:val="center"/>
          </w:tcPr>
          <w:p w14:paraId="3D154027">
            <w:pPr>
              <w:pageBreakBefore w:val="0"/>
              <w:shd w:val="clear"/>
              <w:overflowPunct/>
              <w:bidi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年份</w:t>
            </w:r>
          </w:p>
        </w:tc>
        <w:tc>
          <w:tcPr>
            <w:tcW w:w="1981" w:type="dxa"/>
            <w:tcBorders>
              <w:tl2br w:val="nil"/>
              <w:tr2bl w:val="nil"/>
            </w:tcBorders>
            <w:noWrap w:val="0"/>
            <w:vAlign w:val="center"/>
          </w:tcPr>
          <w:p w14:paraId="42A5C840">
            <w:pPr>
              <w:pageBreakBefore w:val="0"/>
              <w:shd w:val="clear"/>
              <w:overflowPunct/>
              <w:bidi w:val="0"/>
              <w:spacing w:line="500" w:lineRule="exact"/>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名称</w:t>
            </w:r>
          </w:p>
        </w:tc>
        <w:tc>
          <w:tcPr>
            <w:tcW w:w="2419" w:type="dxa"/>
            <w:tcBorders>
              <w:tl2br w:val="nil"/>
              <w:tr2bl w:val="nil"/>
            </w:tcBorders>
            <w:noWrap w:val="0"/>
            <w:vAlign w:val="center"/>
          </w:tcPr>
          <w:p w14:paraId="3C2C053F">
            <w:pPr>
              <w:pageBreakBefore w:val="0"/>
              <w:shd w:val="clear"/>
              <w:overflowPunct/>
              <w:bidi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1237" w:type="dxa"/>
            <w:tcBorders>
              <w:tl2br w:val="nil"/>
              <w:tr2bl w:val="nil"/>
            </w:tcBorders>
            <w:noWrap w:val="0"/>
            <w:vAlign w:val="center"/>
          </w:tcPr>
          <w:p w14:paraId="067AD0D3">
            <w:pPr>
              <w:pageBreakBefore w:val="0"/>
              <w:shd w:val="clear"/>
              <w:overflowPunct/>
              <w:bidi w:val="0"/>
              <w:spacing w:line="500" w:lineRule="exact"/>
              <w:ind w:firstLine="120" w:firstLineChars="5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合同金额</w:t>
            </w:r>
          </w:p>
        </w:tc>
        <w:tc>
          <w:tcPr>
            <w:tcW w:w="1613" w:type="dxa"/>
            <w:tcBorders>
              <w:tl2br w:val="nil"/>
              <w:tr2bl w:val="nil"/>
            </w:tcBorders>
            <w:noWrap w:val="0"/>
            <w:vAlign w:val="center"/>
          </w:tcPr>
          <w:p w14:paraId="15B187C4">
            <w:pPr>
              <w:pageBreakBefore w:val="0"/>
              <w:shd w:val="clear"/>
              <w:overflowPunct/>
              <w:bidi w:val="0"/>
              <w:spacing w:line="500" w:lineRule="exact"/>
              <w:ind w:left="204" w:hanging="232" w:hangingChars="97"/>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完成项目质量</w:t>
            </w:r>
          </w:p>
        </w:tc>
        <w:tc>
          <w:tcPr>
            <w:tcW w:w="1218" w:type="dxa"/>
            <w:tcBorders>
              <w:tl2br w:val="nil"/>
              <w:tr2bl w:val="nil"/>
            </w:tcBorders>
            <w:noWrap w:val="0"/>
            <w:vAlign w:val="center"/>
          </w:tcPr>
          <w:p w14:paraId="5AFA41C9">
            <w:pPr>
              <w:pageBreakBefore w:val="0"/>
              <w:shd w:val="clear"/>
              <w:overflowPunct/>
              <w:bidi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115E8A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45" w:hRule="atLeast"/>
          <w:jc w:val="center"/>
        </w:trPr>
        <w:tc>
          <w:tcPr>
            <w:tcW w:w="1001" w:type="dxa"/>
            <w:tcBorders>
              <w:tl2br w:val="nil"/>
              <w:tr2bl w:val="nil"/>
            </w:tcBorders>
            <w:noWrap w:val="0"/>
            <w:vAlign w:val="center"/>
          </w:tcPr>
          <w:p w14:paraId="2C2B4BC1">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31898B70">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5CB3F0DA">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3ECE5AF2">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40EA916B">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373BD993">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r>
      <w:tr w14:paraId="636706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45" w:hRule="atLeast"/>
          <w:jc w:val="center"/>
        </w:trPr>
        <w:tc>
          <w:tcPr>
            <w:tcW w:w="1001" w:type="dxa"/>
            <w:tcBorders>
              <w:tl2br w:val="nil"/>
              <w:tr2bl w:val="nil"/>
            </w:tcBorders>
            <w:noWrap w:val="0"/>
            <w:vAlign w:val="center"/>
          </w:tcPr>
          <w:p w14:paraId="4255A0EF">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539FEF36">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3C0D6362">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52F2925D">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02AE0507">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2B73C6C8">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r>
      <w:tr w14:paraId="5C06A0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45" w:hRule="atLeast"/>
          <w:jc w:val="center"/>
        </w:trPr>
        <w:tc>
          <w:tcPr>
            <w:tcW w:w="1001" w:type="dxa"/>
            <w:tcBorders>
              <w:tl2br w:val="nil"/>
              <w:tr2bl w:val="nil"/>
            </w:tcBorders>
            <w:noWrap w:val="0"/>
            <w:vAlign w:val="center"/>
          </w:tcPr>
          <w:p w14:paraId="2C3220CE">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0BB3A5CE">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218A1F41">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3604679F">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37420C74">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0857B1B7">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r>
      <w:tr w14:paraId="37C3C8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45" w:hRule="atLeast"/>
          <w:jc w:val="center"/>
        </w:trPr>
        <w:tc>
          <w:tcPr>
            <w:tcW w:w="1001" w:type="dxa"/>
            <w:tcBorders>
              <w:tl2br w:val="nil"/>
              <w:tr2bl w:val="nil"/>
            </w:tcBorders>
            <w:noWrap w:val="0"/>
            <w:vAlign w:val="center"/>
          </w:tcPr>
          <w:p w14:paraId="518E2B81">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7B791BCB">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1EEFB221">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745BCA20">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2B6C26DE">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58E54D27">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r>
      <w:tr w14:paraId="585001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45" w:hRule="atLeast"/>
          <w:jc w:val="center"/>
        </w:trPr>
        <w:tc>
          <w:tcPr>
            <w:tcW w:w="1001" w:type="dxa"/>
            <w:tcBorders>
              <w:tl2br w:val="nil"/>
              <w:tr2bl w:val="nil"/>
            </w:tcBorders>
            <w:noWrap w:val="0"/>
            <w:vAlign w:val="center"/>
          </w:tcPr>
          <w:p w14:paraId="36429BFC">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002226CF">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0AE15B14">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075CBD66">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7F417C50">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22CC5C73">
            <w:pPr>
              <w:pageBreakBefore w:val="0"/>
              <w:shd w:val="clear"/>
              <w:overflowPunct/>
              <w:bidi w:val="0"/>
              <w:spacing w:line="500" w:lineRule="exact"/>
              <w:rPr>
                <w:rFonts w:hint="eastAsia" w:ascii="宋体" w:hAnsi="宋体" w:eastAsia="宋体" w:cs="宋体"/>
                <w:bCs/>
                <w:color w:val="auto"/>
                <w:sz w:val="24"/>
                <w:szCs w:val="24"/>
                <w:highlight w:val="none"/>
              </w:rPr>
            </w:pPr>
          </w:p>
        </w:tc>
      </w:tr>
      <w:tr w14:paraId="7E8D3F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45" w:hRule="atLeast"/>
          <w:jc w:val="center"/>
        </w:trPr>
        <w:tc>
          <w:tcPr>
            <w:tcW w:w="1001" w:type="dxa"/>
            <w:tcBorders>
              <w:tl2br w:val="nil"/>
              <w:tr2bl w:val="nil"/>
            </w:tcBorders>
            <w:noWrap w:val="0"/>
            <w:vAlign w:val="center"/>
          </w:tcPr>
          <w:p w14:paraId="7F68A6E6">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0BB9E1C9">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73DEF68D">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37A05AB5">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11C75A80">
            <w:pPr>
              <w:pageBreakBefore w:val="0"/>
              <w:shd w:val="clear"/>
              <w:overflowPunct/>
              <w:bidi w:val="0"/>
              <w:spacing w:line="500" w:lineRule="exact"/>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3EEB77EF">
            <w:pPr>
              <w:pageBreakBefore w:val="0"/>
              <w:shd w:val="clear"/>
              <w:overflowPunct/>
              <w:bidi w:val="0"/>
              <w:spacing w:line="500" w:lineRule="exact"/>
              <w:rPr>
                <w:rFonts w:hint="eastAsia" w:ascii="宋体" w:hAnsi="宋体" w:eastAsia="宋体" w:cs="宋体"/>
                <w:bCs/>
                <w:color w:val="auto"/>
                <w:sz w:val="24"/>
                <w:szCs w:val="24"/>
                <w:highlight w:val="none"/>
              </w:rPr>
            </w:pPr>
          </w:p>
        </w:tc>
      </w:tr>
      <w:tr w14:paraId="30B522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54" w:type="dxa"/>
            <w:bottom w:w="0" w:type="dxa"/>
            <w:right w:w="54" w:type="dxa"/>
          </w:tblCellMar>
        </w:tblPrEx>
        <w:trPr>
          <w:cantSplit/>
          <w:trHeight w:val="896" w:hRule="atLeast"/>
          <w:jc w:val="center"/>
        </w:trPr>
        <w:tc>
          <w:tcPr>
            <w:tcW w:w="1001" w:type="dxa"/>
            <w:tcBorders>
              <w:tl2br w:val="nil"/>
              <w:tr2bl w:val="nil"/>
            </w:tcBorders>
            <w:noWrap w:val="0"/>
            <w:vAlign w:val="center"/>
          </w:tcPr>
          <w:p w14:paraId="4D7CFB7E">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981" w:type="dxa"/>
            <w:tcBorders>
              <w:tl2br w:val="nil"/>
              <w:tr2bl w:val="nil"/>
            </w:tcBorders>
            <w:noWrap w:val="0"/>
            <w:vAlign w:val="center"/>
          </w:tcPr>
          <w:p w14:paraId="4C43EF58">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2419" w:type="dxa"/>
            <w:tcBorders>
              <w:tl2br w:val="nil"/>
              <w:tr2bl w:val="nil"/>
            </w:tcBorders>
            <w:noWrap w:val="0"/>
            <w:vAlign w:val="center"/>
          </w:tcPr>
          <w:p w14:paraId="6FB5FE70">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37" w:type="dxa"/>
            <w:tcBorders>
              <w:tl2br w:val="nil"/>
              <w:tr2bl w:val="nil"/>
            </w:tcBorders>
            <w:noWrap w:val="0"/>
            <w:vAlign w:val="center"/>
          </w:tcPr>
          <w:p w14:paraId="1DBA88EF">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613" w:type="dxa"/>
            <w:tcBorders>
              <w:tl2br w:val="nil"/>
              <w:tr2bl w:val="nil"/>
            </w:tcBorders>
            <w:noWrap w:val="0"/>
            <w:vAlign w:val="center"/>
          </w:tcPr>
          <w:p w14:paraId="24EE212D">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c>
          <w:tcPr>
            <w:tcW w:w="1218" w:type="dxa"/>
            <w:tcBorders>
              <w:tl2br w:val="nil"/>
              <w:tr2bl w:val="nil"/>
            </w:tcBorders>
            <w:noWrap w:val="0"/>
            <w:vAlign w:val="center"/>
          </w:tcPr>
          <w:p w14:paraId="3152D891">
            <w:pPr>
              <w:pageBreakBefore w:val="0"/>
              <w:shd w:val="clear"/>
              <w:overflowPunct/>
              <w:bidi w:val="0"/>
              <w:spacing w:line="500" w:lineRule="exact"/>
              <w:jc w:val="center"/>
              <w:rPr>
                <w:rFonts w:hint="eastAsia" w:ascii="宋体" w:hAnsi="宋体" w:eastAsia="宋体" w:cs="宋体"/>
                <w:bCs/>
                <w:color w:val="auto"/>
                <w:sz w:val="24"/>
                <w:szCs w:val="24"/>
                <w:highlight w:val="none"/>
              </w:rPr>
            </w:pPr>
          </w:p>
        </w:tc>
      </w:tr>
    </w:tbl>
    <w:p w14:paraId="3F9FF94E">
      <w:pPr>
        <w:keepNext w:val="0"/>
        <w:keepLines w:val="0"/>
        <w:pageBreakBefore w:val="0"/>
        <w:widowControl w:val="0"/>
        <w:shd w:val="clear"/>
        <w:kinsoku/>
        <w:wordWrap/>
        <w:overflowPunct/>
        <w:topLinePunct w:val="0"/>
        <w:autoSpaceDE/>
        <w:autoSpaceDN/>
        <w:bidi w:val="0"/>
        <w:adjustRightInd/>
        <w:snapToGrid/>
        <w:spacing w:before="98" w:line="360" w:lineRule="auto"/>
        <w:textAlignment w:val="auto"/>
        <w:outlineLvl w:val="9"/>
        <w:rPr>
          <w:rFonts w:hint="eastAsia" w:ascii="宋体" w:hAnsi="宋体" w:eastAsia="宋体" w:cs="宋体"/>
          <w:color w:val="auto"/>
          <w:sz w:val="24"/>
          <w:szCs w:val="24"/>
          <w:highlight w:val="none"/>
        </w:rPr>
      </w:pPr>
    </w:p>
    <w:p w14:paraId="19794BF1">
      <w:pPr>
        <w:pStyle w:val="8"/>
        <w:rPr>
          <w:rFonts w:hint="eastAsia"/>
          <w:color w:val="auto"/>
          <w:highlight w:val="none"/>
        </w:rPr>
      </w:pPr>
    </w:p>
    <w:p w14:paraId="5A8218E8">
      <w:pPr>
        <w:keepNext w:val="0"/>
        <w:keepLines w:val="0"/>
        <w:pageBreakBefore w:val="0"/>
        <w:widowControl w:val="0"/>
        <w:shd w:val="clear"/>
        <w:kinsoku/>
        <w:wordWrap/>
        <w:overflowPunct/>
        <w:topLinePunct w:val="0"/>
        <w:autoSpaceDE/>
        <w:autoSpaceDN/>
        <w:bidi w:val="0"/>
        <w:adjustRightInd/>
        <w:snapToGrid/>
        <w:spacing w:before="98" w:line="360" w:lineRule="auto"/>
        <w:textAlignment w:val="auto"/>
        <w:outlineLvl w:val="3"/>
        <w:rPr>
          <w:rFonts w:hint="eastAsia" w:ascii="宋体" w:hAnsi="宋体" w:eastAsia="宋体" w:cs="宋体"/>
          <w:b/>
          <w:bCs/>
          <w:color w:val="auto"/>
          <w:spacing w:val="-8"/>
          <w:sz w:val="30"/>
          <w:szCs w:val="30"/>
          <w:highlight w:val="none"/>
          <w:lang w:val="en-US" w:eastAsia="zh-CN"/>
        </w:rPr>
      </w:pPr>
      <w:r>
        <w:rPr>
          <w:rFonts w:hint="eastAsia" w:ascii="宋体" w:hAnsi="宋体" w:eastAsia="宋体" w:cs="宋体"/>
          <w:b/>
          <w:bCs/>
          <w:color w:val="auto"/>
          <w:sz w:val="24"/>
          <w:szCs w:val="24"/>
          <w:highlight w:val="none"/>
        </w:rPr>
        <w:t>注：</w:t>
      </w:r>
      <w:r>
        <w:rPr>
          <w:rFonts w:hint="eastAsia" w:ascii="宋体" w:hAnsi="宋体" w:cs="宋体"/>
          <w:b/>
          <w:bCs/>
          <w:color w:val="auto"/>
          <w:sz w:val="24"/>
          <w:szCs w:val="24"/>
          <w:highlight w:val="none"/>
          <w:lang w:val="en-US" w:eastAsia="zh-CN"/>
        </w:rPr>
        <w:t>后附</w:t>
      </w:r>
      <w:r>
        <w:rPr>
          <w:rFonts w:hint="eastAsia" w:ascii="宋体" w:hAnsi="宋体" w:eastAsia="宋体" w:cs="宋体"/>
          <w:b/>
          <w:bCs/>
          <w:color w:val="auto"/>
          <w:sz w:val="24"/>
          <w:szCs w:val="24"/>
          <w:highlight w:val="none"/>
          <w:lang w:val="en-US" w:eastAsia="zh-CN"/>
        </w:rPr>
        <w:t>供应商近三年（202</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年</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zh-CN"/>
        </w:rPr>
        <w:t>月1日至今）具有类似项目业绩</w:t>
      </w:r>
      <w:r>
        <w:rPr>
          <w:rFonts w:hint="eastAsia" w:ascii="宋体" w:hAnsi="宋体" w:eastAsia="宋体" w:cs="宋体"/>
          <w:b/>
          <w:bCs/>
          <w:color w:val="auto"/>
          <w:sz w:val="24"/>
          <w:szCs w:val="24"/>
          <w:highlight w:val="none"/>
        </w:rPr>
        <w:t>。</w:t>
      </w:r>
    </w:p>
    <w:p w14:paraId="22F91E79">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b/>
          <w:bCs/>
          <w:color w:val="auto"/>
          <w:sz w:val="30"/>
          <w:szCs w:val="30"/>
          <w:highlight w:val="none"/>
          <w:u w:val="none" w:color="auto"/>
          <w:lang w:val="en-US" w:eastAsia="zh-CN"/>
        </w:rPr>
      </w:pPr>
    </w:p>
    <w:p w14:paraId="550172AF">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b/>
          <w:bCs/>
          <w:color w:val="auto"/>
          <w:sz w:val="30"/>
          <w:szCs w:val="30"/>
          <w:highlight w:val="none"/>
          <w:u w:val="none" w:color="auto"/>
          <w:lang w:val="en-US" w:eastAsia="zh-CN"/>
        </w:rPr>
      </w:pPr>
    </w:p>
    <w:p w14:paraId="008FB0D5">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b/>
          <w:bCs/>
          <w:color w:val="auto"/>
          <w:sz w:val="30"/>
          <w:szCs w:val="30"/>
          <w:highlight w:val="none"/>
          <w:u w:val="none" w:color="auto"/>
          <w:lang w:val="en-US" w:eastAsia="zh-CN"/>
        </w:rPr>
      </w:pPr>
    </w:p>
    <w:p w14:paraId="2DFFC5BF">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b/>
          <w:bCs/>
          <w:color w:val="auto"/>
          <w:sz w:val="30"/>
          <w:szCs w:val="30"/>
          <w:highlight w:val="none"/>
          <w:u w:val="none" w:color="auto"/>
          <w:lang w:val="en-US" w:eastAsia="zh-CN"/>
        </w:rPr>
      </w:pPr>
    </w:p>
    <w:p w14:paraId="49E32040">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b/>
          <w:bCs/>
          <w:color w:val="auto"/>
          <w:sz w:val="30"/>
          <w:szCs w:val="30"/>
          <w:highlight w:val="none"/>
          <w:u w:val="none" w:color="auto"/>
          <w:lang w:val="en-US" w:eastAsia="zh-CN"/>
        </w:rPr>
      </w:pPr>
    </w:p>
    <w:p w14:paraId="6E8989FF">
      <w:pPr>
        <w:shd w:val="clear"/>
        <w:spacing w:before="98" w:line="220" w:lineRule="auto"/>
        <w:jc w:val="center"/>
        <w:outlineLvl w:val="3"/>
        <w:rPr>
          <w:rFonts w:hint="eastAsia" w:ascii="宋体" w:hAnsi="宋体" w:cs="宋体"/>
          <w:b/>
          <w:bCs/>
          <w:color w:val="auto"/>
          <w:spacing w:val="-8"/>
          <w:sz w:val="28"/>
          <w:szCs w:val="28"/>
          <w:highlight w:val="none"/>
          <w:lang w:val="en-US" w:eastAsia="zh-CN"/>
        </w:rPr>
      </w:pPr>
      <w:r>
        <w:rPr>
          <w:rFonts w:hint="eastAsia" w:ascii="宋体" w:hAnsi="宋体" w:cs="宋体"/>
          <w:b/>
          <w:bCs/>
          <w:color w:val="auto"/>
          <w:spacing w:val="-8"/>
          <w:sz w:val="28"/>
          <w:szCs w:val="28"/>
          <w:highlight w:val="none"/>
          <w:lang w:val="en-US" w:eastAsia="zh-CN"/>
        </w:rPr>
        <w:t>服务团队情况表</w:t>
      </w:r>
    </w:p>
    <w:p w14:paraId="206485B2">
      <w:pPr>
        <w:pStyle w:val="2"/>
      </w:pPr>
    </w:p>
    <w:tbl>
      <w:tblPr>
        <w:tblStyle w:val="16"/>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6"/>
        <w:gridCol w:w="938"/>
        <w:gridCol w:w="1217"/>
        <w:gridCol w:w="23"/>
        <w:gridCol w:w="1315"/>
        <w:gridCol w:w="17"/>
        <w:gridCol w:w="6"/>
        <w:gridCol w:w="1524"/>
        <w:gridCol w:w="1677"/>
        <w:gridCol w:w="40"/>
        <w:gridCol w:w="1015"/>
      </w:tblGrid>
      <w:tr w14:paraId="5D7FF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12" w:space="0"/>
              <w:left w:val="single" w:color="auto" w:sz="12" w:space="0"/>
              <w:bottom w:val="single" w:color="auto" w:sz="6" w:space="0"/>
              <w:right w:val="single" w:color="auto" w:sz="12" w:space="0"/>
            </w:tcBorders>
            <w:shd w:val="clear" w:color="auto" w:fill="F1F1F1" w:themeFill="background1" w:themeFillShade="F2"/>
            <w:vAlign w:val="center"/>
          </w:tcPr>
          <w:p w14:paraId="3050B83D">
            <w:pPr>
              <w:jc w:val="both"/>
              <w:rPr>
                <w:rFonts w:hint="eastAsia" w:ascii="宋体" w:hAnsi="宋体" w:eastAsia="宋体" w:cs="宋体"/>
                <w:sz w:val="24"/>
                <w:szCs w:val="24"/>
              </w:rPr>
            </w:pPr>
            <w:r>
              <w:rPr>
                <w:rFonts w:hint="eastAsia" w:ascii="宋体" w:hAnsi="宋体" w:eastAsia="宋体" w:cs="宋体"/>
                <w:sz w:val="24"/>
                <w:szCs w:val="24"/>
              </w:rPr>
              <w:t>项目负责人</w:t>
            </w:r>
          </w:p>
        </w:tc>
      </w:tr>
      <w:tr w14:paraId="5A937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7F3A3A8D">
            <w:pPr>
              <w:jc w:val="both"/>
              <w:rPr>
                <w:rFonts w:hint="eastAsia" w:ascii="宋体" w:hAnsi="宋体" w:eastAsia="宋体" w:cs="宋体"/>
                <w:sz w:val="24"/>
                <w:szCs w:val="24"/>
              </w:rPr>
            </w:pPr>
            <w:r>
              <w:rPr>
                <w:rFonts w:hint="eastAsia" w:ascii="宋体" w:hAnsi="宋体" w:eastAsia="宋体" w:cs="宋体"/>
                <w:sz w:val="24"/>
                <w:szCs w:val="24"/>
              </w:rPr>
              <w:t>姓名</w:t>
            </w:r>
          </w:p>
        </w:tc>
        <w:tc>
          <w:tcPr>
            <w:tcW w:w="938" w:type="dxa"/>
            <w:tcBorders>
              <w:left w:val="single" w:color="auto" w:sz="6" w:space="0"/>
            </w:tcBorders>
            <w:vAlign w:val="center"/>
          </w:tcPr>
          <w:p w14:paraId="1FF506CF">
            <w:pPr>
              <w:jc w:val="both"/>
              <w:rPr>
                <w:rFonts w:hint="eastAsia" w:ascii="宋体" w:hAnsi="宋体" w:eastAsia="宋体" w:cs="宋体"/>
                <w:sz w:val="24"/>
                <w:szCs w:val="24"/>
              </w:rPr>
            </w:pPr>
            <w:r>
              <w:rPr>
                <w:rFonts w:hint="eastAsia" w:ascii="宋体" w:hAnsi="宋体" w:eastAsia="宋体" w:cs="宋体"/>
                <w:sz w:val="24"/>
                <w:szCs w:val="24"/>
              </w:rPr>
              <w:t>年龄</w:t>
            </w:r>
          </w:p>
        </w:tc>
        <w:tc>
          <w:tcPr>
            <w:tcW w:w="1217" w:type="dxa"/>
            <w:vAlign w:val="center"/>
          </w:tcPr>
          <w:p w14:paraId="2377D6FD">
            <w:pPr>
              <w:jc w:val="both"/>
              <w:rPr>
                <w:rFonts w:hint="eastAsia" w:ascii="宋体" w:hAnsi="宋体" w:eastAsia="宋体" w:cs="宋体"/>
                <w:sz w:val="24"/>
                <w:szCs w:val="24"/>
              </w:rPr>
            </w:pPr>
            <w:r>
              <w:rPr>
                <w:rFonts w:hint="eastAsia" w:ascii="宋体" w:hAnsi="宋体" w:eastAsia="宋体" w:cs="宋体"/>
                <w:sz w:val="24"/>
                <w:szCs w:val="24"/>
              </w:rPr>
              <w:t>资格</w:t>
            </w:r>
          </w:p>
        </w:tc>
        <w:tc>
          <w:tcPr>
            <w:tcW w:w="1338" w:type="dxa"/>
            <w:gridSpan w:val="2"/>
            <w:vAlign w:val="center"/>
          </w:tcPr>
          <w:p w14:paraId="03369BA0">
            <w:pPr>
              <w:jc w:val="both"/>
              <w:rPr>
                <w:rFonts w:hint="eastAsia" w:ascii="宋体" w:hAnsi="宋体" w:eastAsia="宋体" w:cs="宋体"/>
                <w:sz w:val="24"/>
                <w:szCs w:val="24"/>
              </w:rPr>
            </w:pPr>
            <w:r>
              <w:rPr>
                <w:rFonts w:hint="eastAsia" w:ascii="宋体" w:hAnsi="宋体" w:eastAsia="宋体" w:cs="宋体"/>
                <w:sz w:val="24"/>
                <w:szCs w:val="24"/>
              </w:rPr>
              <w:t>职称</w:t>
            </w:r>
          </w:p>
        </w:tc>
        <w:tc>
          <w:tcPr>
            <w:tcW w:w="1547" w:type="dxa"/>
            <w:gridSpan w:val="3"/>
            <w:vAlign w:val="center"/>
          </w:tcPr>
          <w:p w14:paraId="5DA4BDF0">
            <w:pPr>
              <w:jc w:val="both"/>
              <w:rPr>
                <w:rFonts w:hint="eastAsia" w:ascii="宋体" w:hAnsi="宋体" w:eastAsia="宋体" w:cs="宋体"/>
                <w:sz w:val="24"/>
                <w:szCs w:val="24"/>
              </w:rPr>
            </w:pPr>
            <w:r>
              <w:rPr>
                <w:rFonts w:hint="eastAsia" w:ascii="宋体" w:hAnsi="宋体" w:eastAsia="宋体" w:cs="宋体"/>
                <w:sz w:val="24"/>
                <w:szCs w:val="24"/>
              </w:rPr>
              <w:t>在本行业从业工作年限</w:t>
            </w:r>
          </w:p>
        </w:tc>
        <w:tc>
          <w:tcPr>
            <w:tcW w:w="1677" w:type="dxa"/>
            <w:tcBorders>
              <w:right w:val="single" w:color="auto" w:sz="2" w:space="0"/>
            </w:tcBorders>
            <w:vAlign w:val="center"/>
          </w:tcPr>
          <w:p w14:paraId="6D7F300F">
            <w:pPr>
              <w:jc w:val="both"/>
              <w:rPr>
                <w:rFonts w:hint="eastAsia" w:ascii="宋体" w:hAnsi="宋体" w:eastAsia="宋体" w:cs="宋体"/>
                <w:sz w:val="24"/>
                <w:szCs w:val="24"/>
              </w:rPr>
            </w:pPr>
            <w:r>
              <w:rPr>
                <w:rFonts w:hint="eastAsia" w:ascii="宋体" w:hAnsi="宋体" w:eastAsia="宋体" w:cs="宋体"/>
                <w:sz w:val="24"/>
                <w:szCs w:val="24"/>
              </w:rPr>
              <w:t>主要工作</w:t>
            </w:r>
          </w:p>
          <w:p w14:paraId="622C7731">
            <w:pPr>
              <w:jc w:val="both"/>
              <w:rPr>
                <w:rFonts w:hint="eastAsia" w:ascii="宋体" w:hAnsi="宋体" w:eastAsia="宋体" w:cs="宋体"/>
                <w:sz w:val="24"/>
                <w:szCs w:val="24"/>
              </w:rPr>
            </w:pPr>
            <w:r>
              <w:rPr>
                <w:rFonts w:hint="eastAsia" w:ascii="宋体" w:hAnsi="宋体" w:eastAsia="宋体" w:cs="宋体"/>
                <w:sz w:val="24"/>
                <w:szCs w:val="24"/>
              </w:rPr>
              <w:t>业绩和经历</w:t>
            </w:r>
          </w:p>
        </w:tc>
        <w:tc>
          <w:tcPr>
            <w:tcW w:w="1055" w:type="dxa"/>
            <w:gridSpan w:val="2"/>
            <w:tcBorders>
              <w:left w:val="single" w:color="auto" w:sz="2" w:space="0"/>
              <w:right w:val="single" w:color="auto" w:sz="12" w:space="0"/>
            </w:tcBorders>
            <w:vAlign w:val="center"/>
          </w:tcPr>
          <w:p w14:paraId="5804EEF4">
            <w:pPr>
              <w:jc w:val="both"/>
              <w:rPr>
                <w:rFonts w:hint="eastAsia" w:ascii="宋体" w:hAnsi="宋体" w:eastAsia="宋体" w:cs="宋体"/>
                <w:sz w:val="24"/>
                <w:szCs w:val="24"/>
              </w:rPr>
            </w:pPr>
            <w:r>
              <w:rPr>
                <w:rFonts w:hint="eastAsia" w:ascii="宋体" w:hAnsi="宋体" w:eastAsia="宋体" w:cs="宋体"/>
                <w:sz w:val="24"/>
                <w:szCs w:val="24"/>
              </w:rPr>
              <w:t>拟派</w:t>
            </w:r>
          </w:p>
          <w:p w14:paraId="540E9010">
            <w:pPr>
              <w:jc w:val="both"/>
              <w:rPr>
                <w:rFonts w:hint="eastAsia" w:ascii="宋体" w:hAnsi="宋体" w:eastAsia="宋体" w:cs="宋体"/>
                <w:sz w:val="24"/>
                <w:szCs w:val="24"/>
              </w:rPr>
            </w:pPr>
            <w:r>
              <w:rPr>
                <w:rFonts w:hint="eastAsia" w:ascii="宋体" w:hAnsi="宋体" w:eastAsia="宋体" w:cs="宋体"/>
                <w:sz w:val="24"/>
                <w:szCs w:val="24"/>
              </w:rPr>
              <w:t>分工</w:t>
            </w:r>
          </w:p>
        </w:tc>
      </w:tr>
      <w:tr w14:paraId="37D92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30D7BB8B">
            <w:pPr>
              <w:jc w:val="both"/>
              <w:rPr>
                <w:rFonts w:hint="eastAsia" w:ascii="宋体" w:hAnsi="宋体" w:eastAsia="宋体" w:cs="宋体"/>
                <w:sz w:val="24"/>
                <w:szCs w:val="24"/>
              </w:rPr>
            </w:pPr>
          </w:p>
        </w:tc>
        <w:tc>
          <w:tcPr>
            <w:tcW w:w="938" w:type="dxa"/>
            <w:tcBorders>
              <w:left w:val="single" w:color="auto" w:sz="6" w:space="0"/>
            </w:tcBorders>
            <w:vAlign w:val="center"/>
          </w:tcPr>
          <w:p w14:paraId="2C79B470">
            <w:pPr>
              <w:jc w:val="both"/>
              <w:rPr>
                <w:rFonts w:hint="eastAsia" w:ascii="宋体" w:hAnsi="宋体" w:eastAsia="宋体" w:cs="宋体"/>
                <w:sz w:val="24"/>
                <w:szCs w:val="24"/>
              </w:rPr>
            </w:pPr>
          </w:p>
        </w:tc>
        <w:tc>
          <w:tcPr>
            <w:tcW w:w="1217" w:type="dxa"/>
            <w:vAlign w:val="center"/>
          </w:tcPr>
          <w:p w14:paraId="689C3911">
            <w:pPr>
              <w:jc w:val="both"/>
              <w:rPr>
                <w:rFonts w:hint="eastAsia" w:ascii="宋体" w:hAnsi="宋体" w:eastAsia="宋体" w:cs="宋体"/>
                <w:sz w:val="24"/>
                <w:szCs w:val="24"/>
              </w:rPr>
            </w:pPr>
          </w:p>
        </w:tc>
        <w:tc>
          <w:tcPr>
            <w:tcW w:w="1338" w:type="dxa"/>
            <w:gridSpan w:val="2"/>
            <w:vAlign w:val="center"/>
          </w:tcPr>
          <w:p w14:paraId="2F84EBD2">
            <w:pPr>
              <w:jc w:val="both"/>
              <w:rPr>
                <w:rFonts w:hint="eastAsia" w:ascii="宋体" w:hAnsi="宋体" w:eastAsia="宋体" w:cs="宋体"/>
                <w:sz w:val="24"/>
                <w:szCs w:val="24"/>
              </w:rPr>
            </w:pPr>
          </w:p>
        </w:tc>
        <w:tc>
          <w:tcPr>
            <w:tcW w:w="1547" w:type="dxa"/>
            <w:gridSpan w:val="3"/>
            <w:vAlign w:val="center"/>
          </w:tcPr>
          <w:p w14:paraId="1DC3325A">
            <w:pPr>
              <w:jc w:val="both"/>
              <w:rPr>
                <w:rFonts w:hint="eastAsia" w:ascii="宋体" w:hAnsi="宋体" w:eastAsia="宋体" w:cs="宋体"/>
                <w:sz w:val="24"/>
                <w:szCs w:val="24"/>
              </w:rPr>
            </w:pPr>
          </w:p>
        </w:tc>
        <w:tc>
          <w:tcPr>
            <w:tcW w:w="1677" w:type="dxa"/>
            <w:tcBorders>
              <w:right w:val="single" w:color="auto" w:sz="2" w:space="0"/>
            </w:tcBorders>
            <w:vAlign w:val="center"/>
          </w:tcPr>
          <w:p w14:paraId="3CEF5E38">
            <w:pPr>
              <w:jc w:val="both"/>
              <w:rPr>
                <w:rFonts w:hint="eastAsia" w:ascii="宋体" w:hAnsi="宋体" w:eastAsia="宋体" w:cs="宋体"/>
                <w:sz w:val="24"/>
                <w:szCs w:val="24"/>
              </w:rPr>
            </w:pPr>
          </w:p>
        </w:tc>
        <w:tc>
          <w:tcPr>
            <w:tcW w:w="1055" w:type="dxa"/>
            <w:gridSpan w:val="2"/>
            <w:tcBorders>
              <w:left w:val="single" w:color="auto" w:sz="2" w:space="0"/>
              <w:right w:val="single" w:color="auto" w:sz="12" w:space="0"/>
            </w:tcBorders>
            <w:vAlign w:val="center"/>
          </w:tcPr>
          <w:p w14:paraId="0EF943CA">
            <w:pPr>
              <w:jc w:val="both"/>
              <w:rPr>
                <w:rFonts w:hint="eastAsia" w:ascii="宋体" w:hAnsi="宋体" w:eastAsia="宋体" w:cs="宋体"/>
                <w:sz w:val="24"/>
                <w:szCs w:val="24"/>
              </w:rPr>
            </w:pPr>
          </w:p>
        </w:tc>
      </w:tr>
      <w:tr w14:paraId="2D5E4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380CB030">
            <w:pPr>
              <w:jc w:val="both"/>
              <w:rPr>
                <w:rFonts w:hint="eastAsia" w:ascii="宋体" w:hAnsi="宋体" w:eastAsia="宋体" w:cs="宋体"/>
                <w:sz w:val="24"/>
                <w:szCs w:val="24"/>
              </w:rPr>
            </w:pPr>
          </w:p>
        </w:tc>
        <w:tc>
          <w:tcPr>
            <w:tcW w:w="938" w:type="dxa"/>
            <w:tcBorders>
              <w:left w:val="single" w:color="auto" w:sz="6" w:space="0"/>
            </w:tcBorders>
            <w:vAlign w:val="center"/>
          </w:tcPr>
          <w:p w14:paraId="6F559D24">
            <w:pPr>
              <w:jc w:val="both"/>
              <w:rPr>
                <w:rFonts w:hint="eastAsia" w:ascii="宋体" w:hAnsi="宋体" w:eastAsia="宋体" w:cs="宋体"/>
                <w:sz w:val="24"/>
                <w:szCs w:val="24"/>
              </w:rPr>
            </w:pPr>
          </w:p>
        </w:tc>
        <w:tc>
          <w:tcPr>
            <w:tcW w:w="1217" w:type="dxa"/>
            <w:vAlign w:val="center"/>
          </w:tcPr>
          <w:p w14:paraId="4A3A5213">
            <w:pPr>
              <w:jc w:val="both"/>
              <w:rPr>
                <w:rFonts w:hint="eastAsia" w:ascii="宋体" w:hAnsi="宋体" w:eastAsia="宋体" w:cs="宋体"/>
                <w:sz w:val="24"/>
                <w:szCs w:val="24"/>
              </w:rPr>
            </w:pPr>
          </w:p>
        </w:tc>
        <w:tc>
          <w:tcPr>
            <w:tcW w:w="1338" w:type="dxa"/>
            <w:gridSpan w:val="2"/>
            <w:vAlign w:val="center"/>
          </w:tcPr>
          <w:p w14:paraId="0223364D">
            <w:pPr>
              <w:jc w:val="both"/>
              <w:rPr>
                <w:rFonts w:hint="eastAsia" w:ascii="宋体" w:hAnsi="宋体" w:eastAsia="宋体" w:cs="宋体"/>
                <w:sz w:val="24"/>
                <w:szCs w:val="24"/>
              </w:rPr>
            </w:pPr>
          </w:p>
        </w:tc>
        <w:tc>
          <w:tcPr>
            <w:tcW w:w="1547" w:type="dxa"/>
            <w:gridSpan w:val="3"/>
            <w:vAlign w:val="center"/>
          </w:tcPr>
          <w:p w14:paraId="7A691E0A">
            <w:pPr>
              <w:jc w:val="both"/>
              <w:rPr>
                <w:rFonts w:hint="eastAsia" w:ascii="宋体" w:hAnsi="宋体" w:eastAsia="宋体" w:cs="宋体"/>
                <w:sz w:val="24"/>
                <w:szCs w:val="24"/>
              </w:rPr>
            </w:pPr>
          </w:p>
        </w:tc>
        <w:tc>
          <w:tcPr>
            <w:tcW w:w="1677" w:type="dxa"/>
            <w:tcBorders>
              <w:right w:val="single" w:color="auto" w:sz="2" w:space="0"/>
            </w:tcBorders>
            <w:vAlign w:val="center"/>
          </w:tcPr>
          <w:p w14:paraId="463B8555">
            <w:pPr>
              <w:jc w:val="both"/>
              <w:rPr>
                <w:rFonts w:hint="eastAsia" w:ascii="宋体" w:hAnsi="宋体" w:eastAsia="宋体" w:cs="宋体"/>
                <w:sz w:val="24"/>
                <w:szCs w:val="24"/>
              </w:rPr>
            </w:pPr>
          </w:p>
        </w:tc>
        <w:tc>
          <w:tcPr>
            <w:tcW w:w="1055" w:type="dxa"/>
            <w:gridSpan w:val="2"/>
            <w:tcBorders>
              <w:left w:val="single" w:color="auto" w:sz="2" w:space="0"/>
              <w:right w:val="single" w:color="auto" w:sz="12" w:space="0"/>
            </w:tcBorders>
            <w:vAlign w:val="center"/>
          </w:tcPr>
          <w:p w14:paraId="778AEBF1">
            <w:pPr>
              <w:jc w:val="both"/>
              <w:rPr>
                <w:rFonts w:hint="eastAsia" w:ascii="宋体" w:hAnsi="宋体" w:eastAsia="宋体" w:cs="宋体"/>
                <w:sz w:val="24"/>
                <w:szCs w:val="24"/>
              </w:rPr>
            </w:pPr>
          </w:p>
        </w:tc>
      </w:tr>
      <w:tr w14:paraId="6D88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020504C5">
            <w:pPr>
              <w:jc w:val="both"/>
              <w:rPr>
                <w:rFonts w:hint="eastAsia" w:ascii="宋体" w:hAnsi="宋体" w:eastAsia="宋体" w:cs="宋体"/>
                <w:sz w:val="24"/>
                <w:szCs w:val="24"/>
              </w:rPr>
            </w:pPr>
            <w:r>
              <w:rPr>
                <w:rFonts w:hint="eastAsia" w:ascii="宋体" w:hAnsi="宋体" w:eastAsia="宋体" w:cs="宋体"/>
                <w:sz w:val="24"/>
                <w:szCs w:val="24"/>
              </w:rPr>
              <w:t>管理人员</w:t>
            </w:r>
          </w:p>
        </w:tc>
      </w:tr>
      <w:tr w14:paraId="3E2DD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038134F7">
            <w:pPr>
              <w:jc w:val="both"/>
              <w:rPr>
                <w:rFonts w:hint="eastAsia" w:ascii="宋体" w:hAnsi="宋体" w:eastAsia="宋体" w:cs="宋体"/>
                <w:sz w:val="24"/>
                <w:szCs w:val="24"/>
              </w:rPr>
            </w:pPr>
            <w:r>
              <w:rPr>
                <w:rFonts w:hint="eastAsia" w:ascii="宋体" w:hAnsi="宋体" w:eastAsia="宋体" w:cs="宋体"/>
                <w:sz w:val="24"/>
                <w:szCs w:val="24"/>
              </w:rPr>
              <w:t>姓名</w:t>
            </w:r>
          </w:p>
        </w:tc>
        <w:tc>
          <w:tcPr>
            <w:tcW w:w="938" w:type="dxa"/>
            <w:tcBorders>
              <w:left w:val="single" w:color="auto" w:sz="6" w:space="0"/>
            </w:tcBorders>
            <w:vAlign w:val="center"/>
          </w:tcPr>
          <w:p w14:paraId="4D63A074">
            <w:pPr>
              <w:jc w:val="both"/>
              <w:rPr>
                <w:rFonts w:hint="eastAsia" w:ascii="宋体" w:hAnsi="宋体" w:eastAsia="宋体" w:cs="宋体"/>
                <w:sz w:val="24"/>
                <w:szCs w:val="24"/>
              </w:rPr>
            </w:pPr>
            <w:r>
              <w:rPr>
                <w:rFonts w:hint="eastAsia" w:ascii="宋体" w:hAnsi="宋体" w:eastAsia="宋体" w:cs="宋体"/>
                <w:sz w:val="24"/>
                <w:szCs w:val="24"/>
              </w:rPr>
              <w:t>年龄</w:t>
            </w:r>
          </w:p>
        </w:tc>
        <w:tc>
          <w:tcPr>
            <w:tcW w:w="1217" w:type="dxa"/>
            <w:vAlign w:val="center"/>
          </w:tcPr>
          <w:p w14:paraId="3E8CC38F">
            <w:pPr>
              <w:jc w:val="both"/>
              <w:rPr>
                <w:rFonts w:hint="eastAsia" w:ascii="宋体" w:hAnsi="宋体" w:eastAsia="宋体" w:cs="宋体"/>
                <w:sz w:val="24"/>
                <w:szCs w:val="24"/>
              </w:rPr>
            </w:pPr>
            <w:r>
              <w:rPr>
                <w:rFonts w:hint="eastAsia" w:ascii="宋体" w:hAnsi="宋体" w:eastAsia="宋体" w:cs="宋体"/>
                <w:sz w:val="24"/>
                <w:szCs w:val="24"/>
              </w:rPr>
              <w:t>资格</w:t>
            </w:r>
          </w:p>
        </w:tc>
        <w:tc>
          <w:tcPr>
            <w:tcW w:w="1355" w:type="dxa"/>
            <w:gridSpan w:val="3"/>
            <w:vAlign w:val="center"/>
          </w:tcPr>
          <w:p w14:paraId="049E68A5">
            <w:pPr>
              <w:jc w:val="both"/>
              <w:rPr>
                <w:rFonts w:hint="eastAsia" w:ascii="宋体" w:hAnsi="宋体" w:eastAsia="宋体" w:cs="宋体"/>
                <w:sz w:val="24"/>
                <w:szCs w:val="24"/>
              </w:rPr>
            </w:pPr>
            <w:r>
              <w:rPr>
                <w:rFonts w:hint="eastAsia" w:ascii="宋体" w:hAnsi="宋体" w:eastAsia="宋体" w:cs="宋体"/>
                <w:sz w:val="24"/>
                <w:szCs w:val="24"/>
              </w:rPr>
              <w:t>职称</w:t>
            </w:r>
          </w:p>
        </w:tc>
        <w:tc>
          <w:tcPr>
            <w:tcW w:w="1530" w:type="dxa"/>
            <w:gridSpan w:val="2"/>
            <w:vAlign w:val="center"/>
          </w:tcPr>
          <w:p w14:paraId="01133BD1">
            <w:pPr>
              <w:jc w:val="both"/>
              <w:rPr>
                <w:rFonts w:hint="eastAsia" w:ascii="宋体" w:hAnsi="宋体" w:eastAsia="宋体" w:cs="宋体"/>
                <w:sz w:val="24"/>
                <w:szCs w:val="24"/>
              </w:rPr>
            </w:pPr>
            <w:r>
              <w:rPr>
                <w:rFonts w:hint="eastAsia" w:ascii="宋体" w:hAnsi="宋体" w:eastAsia="宋体" w:cs="宋体"/>
                <w:sz w:val="24"/>
                <w:szCs w:val="24"/>
              </w:rPr>
              <w:t>在本行业从业工作年限</w:t>
            </w:r>
          </w:p>
        </w:tc>
        <w:tc>
          <w:tcPr>
            <w:tcW w:w="1717" w:type="dxa"/>
            <w:gridSpan w:val="2"/>
            <w:vAlign w:val="center"/>
          </w:tcPr>
          <w:p w14:paraId="6966BCD2">
            <w:pPr>
              <w:jc w:val="both"/>
              <w:rPr>
                <w:rFonts w:hint="eastAsia" w:ascii="宋体" w:hAnsi="宋体" w:eastAsia="宋体" w:cs="宋体"/>
                <w:sz w:val="24"/>
                <w:szCs w:val="24"/>
              </w:rPr>
            </w:pPr>
            <w:r>
              <w:rPr>
                <w:rFonts w:hint="eastAsia" w:ascii="宋体" w:hAnsi="宋体" w:eastAsia="宋体" w:cs="宋体"/>
                <w:sz w:val="24"/>
                <w:szCs w:val="24"/>
              </w:rPr>
              <w:t>主要工作</w:t>
            </w:r>
          </w:p>
          <w:p w14:paraId="4F23843C">
            <w:pPr>
              <w:jc w:val="both"/>
              <w:rPr>
                <w:rFonts w:hint="eastAsia" w:ascii="宋体" w:hAnsi="宋体" w:eastAsia="宋体" w:cs="宋体"/>
                <w:sz w:val="24"/>
                <w:szCs w:val="24"/>
              </w:rPr>
            </w:pPr>
            <w:r>
              <w:rPr>
                <w:rFonts w:hint="eastAsia" w:ascii="宋体" w:hAnsi="宋体" w:eastAsia="宋体" w:cs="宋体"/>
                <w:sz w:val="24"/>
                <w:szCs w:val="24"/>
              </w:rPr>
              <w:t>业绩和经历</w:t>
            </w:r>
          </w:p>
        </w:tc>
        <w:tc>
          <w:tcPr>
            <w:tcW w:w="1015" w:type="dxa"/>
            <w:tcBorders>
              <w:right w:val="single" w:color="auto" w:sz="12" w:space="0"/>
            </w:tcBorders>
            <w:vAlign w:val="center"/>
          </w:tcPr>
          <w:p w14:paraId="5B36DA6F">
            <w:pPr>
              <w:jc w:val="both"/>
              <w:rPr>
                <w:rFonts w:hint="eastAsia" w:ascii="宋体" w:hAnsi="宋体" w:eastAsia="宋体" w:cs="宋体"/>
                <w:sz w:val="24"/>
                <w:szCs w:val="24"/>
              </w:rPr>
            </w:pPr>
            <w:r>
              <w:rPr>
                <w:rFonts w:hint="eastAsia" w:ascii="宋体" w:hAnsi="宋体" w:eastAsia="宋体" w:cs="宋体"/>
                <w:sz w:val="24"/>
                <w:szCs w:val="24"/>
              </w:rPr>
              <w:t>拟派</w:t>
            </w:r>
          </w:p>
          <w:p w14:paraId="16E1C577">
            <w:pPr>
              <w:jc w:val="both"/>
              <w:rPr>
                <w:rFonts w:hint="eastAsia" w:ascii="宋体" w:hAnsi="宋体" w:eastAsia="宋体" w:cs="宋体"/>
                <w:sz w:val="24"/>
                <w:szCs w:val="24"/>
              </w:rPr>
            </w:pPr>
            <w:r>
              <w:rPr>
                <w:rFonts w:hint="eastAsia" w:ascii="宋体" w:hAnsi="宋体" w:eastAsia="宋体" w:cs="宋体"/>
                <w:sz w:val="24"/>
                <w:szCs w:val="24"/>
              </w:rPr>
              <w:t>分工</w:t>
            </w:r>
          </w:p>
        </w:tc>
      </w:tr>
      <w:tr w14:paraId="3EDE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2ECD1DEA">
            <w:pPr>
              <w:jc w:val="both"/>
              <w:rPr>
                <w:rFonts w:hint="eastAsia" w:ascii="宋体" w:hAnsi="宋体" w:eastAsia="宋体" w:cs="宋体"/>
                <w:sz w:val="24"/>
                <w:szCs w:val="24"/>
              </w:rPr>
            </w:pPr>
          </w:p>
        </w:tc>
        <w:tc>
          <w:tcPr>
            <w:tcW w:w="938" w:type="dxa"/>
            <w:tcBorders>
              <w:left w:val="single" w:color="auto" w:sz="6" w:space="0"/>
            </w:tcBorders>
            <w:vAlign w:val="center"/>
          </w:tcPr>
          <w:p w14:paraId="21B30A06">
            <w:pPr>
              <w:jc w:val="both"/>
              <w:rPr>
                <w:rFonts w:hint="eastAsia" w:ascii="宋体" w:hAnsi="宋体" w:eastAsia="宋体" w:cs="宋体"/>
                <w:sz w:val="24"/>
                <w:szCs w:val="24"/>
              </w:rPr>
            </w:pPr>
          </w:p>
        </w:tc>
        <w:tc>
          <w:tcPr>
            <w:tcW w:w="1217" w:type="dxa"/>
            <w:vAlign w:val="center"/>
          </w:tcPr>
          <w:p w14:paraId="01455C1D">
            <w:pPr>
              <w:jc w:val="both"/>
              <w:rPr>
                <w:rFonts w:hint="eastAsia" w:ascii="宋体" w:hAnsi="宋体" w:eastAsia="宋体" w:cs="宋体"/>
                <w:sz w:val="24"/>
                <w:szCs w:val="24"/>
              </w:rPr>
            </w:pPr>
          </w:p>
        </w:tc>
        <w:tc>
          <w:tcPr>
            <w:tcW w:w="1355" w:type="dxa"/>
            <w:gridSpan w:val="3"/>
            <w:vAlign w:val="center"/>
          </w:tcPr>
          <w:p w14:paraId="653ED722">
            <w:pPr>
              <w:jc w:val="both"/>
              <w:rPr>
                <w:rFonts w:hint="eastAsia" w:ascii="宋体" w:hAnsi="宋体" w:eastAsia="宋体" w:cs="宋体"/>
                <w:sz w:val="24"/>
                <w:szCs w:val="24"/>
              </w:rPr>
            </w:pPr>
          </w:p>
        </w:tc>
        <w:tc>
          <w:tcPr>
            <w:tcW w:w="1530" w:type="dxa"/>
            <w:gridSpan w:val="2"/>
            <w:vAlign w:val="center"/>
          </w:tcPr>
          <w:p w14:paraId="7B362CA1">
            <w:pPr>
              <w:jc w:val="both"/>
              <w:rPr>
                <w:rFonts w:hint="eastAsia" w:ascii="宋体" w:hAnsi="宋体" w:eastAsia="宋体" w:cs="宋体"/>
                <w:sz w:val="24"/>
                <w:szCs w:val="24"/>
              </w:rPr>
            </w:pPr>
          </w:p>
        </w:tc>
        <w:tc>
          <w:tcPr>
            <w:tcW w:w="1717" w:type="dxa"/>
            <w:gridSpan w:val="2"/>
            <w:vAlign w:val="center"/>
          </w:tcPr>
          <w:p w14:paraId="7DAB7397">
            <w:pPr>
              <w:jc w:val="both"/>
              <w:rPr>
                <w:rFonts w:hint="eastAsia" w:ascii="宋体" w:hAnsi="宋体" w:eastAsia="宋体" w:cs="宋体"/>
                <w:sz w:val="24"/>
                <w:szCs w:val="24"/>
              </w:rPr>
            </w:pPr>
          </w:p>
        </w:tc>
        <w:tc>
          <w:tcPr>
            <w:tcW w:w="1015" w:type="dxa"/>
            <w:tcBorders>
              <w:right w:val="single" w:color="auto" w:sz="12" w:space="0"/>
            </w:tcBorders>
            <w:vAlign w:val="center"/>
          </w:tcPr>
          <w:p w14:paraId="39DC983E">
            <w:pPr>
              <w:jc w:val="both"/>
              <w:rPr>
                <w:rFonts w:hint="eastAsia" w:ascii="宋体" w:hAnsi="宋体" w:eastAsia="宋体" w:cs="宋体"/>
                <w:sz w:val="24"/>
                <w:szCs w:val="24"/>
              </w:rPr>
            </w:pPr>
          </w:p>
        </w:tc>
      </w:tr>
      <w:tr w14:paraId="7CFC5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533F98A8">
            <w:pPr>
              <w:jc w:val="both"/>
              <w:rPr>
                <w:rFonts w:hint="eastAsia" w:ascii="宋体" w:hAnsi="宋体" w:eastAsia="宋体" w:cs="宋体"/>
                <w:sz w:val="24"/>
                <w:szCs w:val="24"/>
              </w:rPr>
            </w:pPr>
          </w:p>
        </w:tc>
        <w:tc>
          <w:tcPr>
            <w:tcW w:w="938" w:type="dxa"/>
            <w:tcBorders>
              <w:left w:val="single" w:color="auto" w:sz="6" w:space="0"/>
            </w:tcBorders>
            <w:vAlign w:val="center"/>
          </w:tcPr>
          <w:p w14:paraId="4963E0A8">
            <w:pPr>
              <w:jc w:val="both"/>
              <w:rPr>
                <w:rFonts w:hint="eastAsia" w:ascii="宋体" w:hAnsi="宋体" w:eastAsia="宋体" w:cs="宋体"/>
                <w:sz w:val="24"/>
                <w:szCs w:val="24"/>
              </w:rPr>
            </w:pPr>
          </w:p>
        </w:tc>
        <w:tc>
          <w:tcPr>
            <w:tcW w:w="1217" w:type="dxa"/>
            <w:vAlign w:val="center"/>
          </w:tcPr>
          <w:p w14:paraId="55BF7CC6">
            <w:pPr>
              <w:jc w:val="both"/>
              <w:rPr>
                <w:rFonts w:hint="eastAsia" w:ascii="宋体" w:hAnsi="宋体" w:eastAsia="宋体" w:cs="宋体"/>
                <w:sz w:val="24"/>
                <w:szCs w:val="24"/>
              </w:rPr>
            </w:pPr>
          </w:p>
        </w:tc>
        <w:tc>
          <w:tcPr>
            <w:tcW w:w="1355" w:type="dxa"/>
            <w:gridSpan w:val="3"/>
            <w:vAlign w:val="center"/>
          </w:tcPr>
          <w:p w14:paraId="4D1E9B86">
            <w:pPr>
              <w:jc w:val="both"/>
              <w:rPr>
                <w:rFonts w:hint="eastAsia" w:ascii="宋体" w:hAnsi="宋体" w:eastAsia="宋体" w:cs="宋体"/>
                <w:sz w:val="24"/>
                <w:szCs w:val="24"/>
              </w:rPr>
            </w:pPr>
          </w:p>
        </w:tc>
        <w:tc>
          <w:tcPr>
            <w:tcW w:w="1530" w:type="dxa"/>
            <w:gridSpan w:val="2"/>
            <w:vAlign w:val="center"/>
          </w:tcPr>
          <w:p w14:paraId="3F99E8F3">
            <w:pPr>
              <w:jc w:val="both"/>
              <w:rPr>
                <w:rFonts w:hint="eastAsia" w:ascii="宋体" w:hAnsi="宋体" w:eastAsia="宋体" w:cs="宋体"/>
                <w:sz w:val="24"/>
                <w:szCs w:val="24"/>
              </w:rPr>
            </w:pPr>
          </w:p>
        </w:tc>
        <w:tc>
          <w:tcPr>
            <w:tcW w:w="1717" w:type="dxa"/>
            <w:gridSpan w:val="2"/>
            <w:vAlign w:val="center"/>
          </w:tcPr>
          <w:p w14:paraId="13166142">
            <w:pPr>
              <w:jc w:val="both"/>
              <w:rPr>
                <w:rFonts w:hint="eastAsia" w:ascii="宋体" w:hAnsi="宋体" w:eastAsia="宋体" w:cs="宋体"/>
                <w:sz w:val="24"/>
                <w:szCs w:val="24"/>
              </w:rPr>
            </w:pPr>
          </w:p>
        </w:tc>
        <w:tc>
          <w:tcPr>
            <w:tcW w:w="1015" w:type="dxa"/>
            <w:tcBorders>
              <w:right w:val="single" w:color="auto" w:sz="12" w:space="0"/>
            </w:tcBorders>
            <w:vAlign w:val="center"/>
          </w:tcPr>
          <w:p w14:paraId="11D7CE1A">
            <w:pPr>
              <w:jc w:val="both"/>
              <w:rPr>
                <w:rFonts w:hint="eastAsia" w:ascii="宋体" w:hAnsi="宋体" w:eastAsia="宋体" w:cs="宋体"/>
                <w:sz w:val="24"/>
                <w:szCs w:val="24"/>
              </w:rPr>
            </w:pPr>
          </w:p>
        </w:tc>
      </w:tr>
      <w:tr w14:paraId="47083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68" w:type="dxa"/>
            <w:gridSpan w:val="11"/>
            <w:tcBorders>
              <w:top w:val="single" w:color="auto" w:sz="6" w:space="0"/>
              <w:left w:val="single" w:color="auto" w:sz="12" w:space="0"/>
              <w:bottom w:val="single" w:color="auto" w:sz="6" w:space="0"/>
              <w:right w:val="single" w:color="auto" w:sz="12" w:space="0"/>
            </w:tcBorders>
            <w:shd w:val="clear" w:color="auto" w:fill="F1F1F1" w:themeFill="background1" w:themeFillShade="F2"/>
            <w:vAlign w:val="center"/>
          </w:tcPr>
          <w:p w14:paraId="26D30D60">
            <w:pPr>
              <w:jc w:val="both"/>
              <w:rPr>
                <w:rFonts w:hint="eastAsia" w:ascii="宋体" w:hAnsi="宋体" w:eastAsia="宋体" w:cs="宋体"/>
                <w:sz w:val="24"/>
                <w:szCs w:val="24"/>
              </w:rPr>
            </w:pPr>
            <w:r>
              <w:rPr>
                <w:rFonts w:hint="eastAsia" w:ascii="宋体" w:hAnsi="宋体" w:eastAsia="宋体" w:cs="宋体"/>
                <w:sz w:val="24"/>
                <w:szCs w:val="24"/>
              </w:rPr>
              <w:t>技术人员/服务人员</w:t>
            </w:r>
          </w:p>
        </w:tc>
      </w:tr>
      <w:tr w14:paraId="61C8E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0C52A031">
            <w:pPr>
              <w:jc w:val="both"/>
              <w:rPr>
                <w:rFonts w:hint="eastAsia" w:ascii="宋体" w:hAnsi="宋体" w:eastAsia="宋体" w:cs="宋体"/>
                <w:sz w:val="24"/>
                <w:szCs w:val="24"/>
              </w:rPr>
            </w:pPr>
            <w:r>
              <w:rPr>
                <w:rFonts w:hint="eastAsia" w:ascii="宋体" w:hAnsi="宋体" w:eastAsia="宋体" w:cs="宋体"/>
                <w:sz w:val="24"/>
                <w:szCs w:val="24"/>
              </w:rPr>
              <w:t>姓名</w:t>
            </w:r>
          </w:p>
        </w:tc>
        <w:tc>
          <w:tcPr>
            <w:tcW w:w="938" w:type="dxa"/>
            <w:tcBorders>
              <w:left w:val="single" w:color="auto" w:sz="6" w:space="0"/>
            </w:tcBorders>
            <w:vAlign w:val="center"/>
          </w:tcPr>
          <w:p w14:paraId="4C246C19">
            <w:pPr>
              <w:jc w:val="both"/>
              <w:rPr>
                <w:rFonts w:hint="eastAsia" w:ascii="宋体" w:hAnsi="宋体" w:eastAsia="宋体" w:cs="宋体"/>
                <w:sz w:val="24"/>
                <w:szCs w:val="24"/>
              </w:rPr>
            </w:pPr>
            <w:r>
              <w:rPr>
                <w:rFonts w:hint="eastAsia" w:ascii="宋体" w:hAnsi="宋体" w:eastAsia="宋体" w:cs="宋体"/>
                <w:sz w:val="24"/>
                <w:szCs w:val="24"/>
              </w:rPr>
              <w:t>年龄</w:t>
            </w:r>
          </w:p>
        </w:tc>
        <w:tc>
          <w:tcPr>
            <w:tcW w:w="1240" w:type="dxa"/>
            <w:gridSpan w:val="2"/>
            <w:tcBorders>
              <w:right w:val="single" w:color="auto" w:sz="2" w:space="0"/>
            </w:tcBorders>
            <w:vAlign w:val="center"/>
          </w:tcPr>
          <w:p w14:paraId="41FE3E29">
            <w:pPr>
              <w:jc w:val="both"/>
              <w:rPr>
                <w:rFonts w:hint="eastAsia" w:ascii="宋体" w:hAnsi="宋体" w:eastAsia="宋体" w:cs="宋体"/>
                <w:sz w:val="24"/>
                <w:szCs w:val="24"/>
              </w:rPr>
            </w:pPr>
            <w:r>
              <w:rPr>
                <w:rFonts w:hint="eastAsia" w:ascii="宋体" w:hAnsi="宋体" w:eastAsia="宋体" w:cs="宋体"/>
                <w:sz w:val="24"/>
                <w:szCs w:val="24"/>
              </w:rPr>
              <w:t>学历</w:t>
            </w:r>
          </w:p>
        </w:tc>
        <w:tc>
          <w:tcPr>
            <w:tcW w:w="1338" w:type="dxa"/>
            <w:gridSpan w:val="3"/>
            <w:tcBorders>
              <w:left w:val="single" w:color="auto" w:sz="2" w:space="0"/>
            </w:tcBorders>
            <w:vAlign w:val="center"/>
          </w:tcPr>
          <w:p w14:paraId="085F324B">
            <w:pPr>
              <w:jc w:val="both"/>
              <w:rPr>
                <w:rFonts w:hint="eastAsia" w:ascii="宋体" w:hAnsi="宋体" w:eastAsia="宋体" w:cs="宋体"/>
                <w:sz w:val="24"/>
                <w:szCs w:val="24"/>
              </w:rPr>
            </w:pPr>
            <w:r>
              <w:rPr>
                <w:rFonts w:hint="eastAsia" w:ascii="宋体" w:hAnsi="宋体" w:eastAsia="宋体" w:cs="宋体"/>
                <w:sz w:val="24"/>
                <w:szCs w:val="24"/>
              </w:rPr>
              <w:t>职称</w:t>
            </w:r>
          </w:p>
        </w:tc>
        <w:tc>
          <w:tcPr>
            <w:tcW w:w="1524" w:type="dxa"/>
            <w:vAlign w:val="center"/>
          </w:tcPr>
          <w:p w14:paraId="530E20F8">
            <w:pPr>
              <w:jc w:val="both"/>
              <w:rPr>
                <w:rFonts w:hint="eastAsia" w:ascii="宋体" w:hAnsi="宋体" w:eastAsia="宋体" w:cs="宋体"/>
                <w:sz w:val="24"/>
                <w:szCs w:val="24"/>
              </w:rPr>
            </w:pPr>
            <w:r>
              <w:rPr>
                <w:rFonts w:hint="eastAsia" w:ascii="宋体" w:hAnsi="宋体" w:eastAsia="宋体" w:cs="宋体"/>
                <w:sz w:val="24"/>
                <w:szCs w:val="24"/>
              </w:rPr>
              <w:t>从事类似项目工作年限</w:t>
            </w:r>
          </w:p>
        </w:tc>
        <w:tc>
          <w:tcPr>
            <w:tcW w:w="1717" w:type="dxa"/>
            <w:gridSpan w:val="2"/>
            <w:vAlign w:val="center"/>
          </w:tcPr>
          <w:p w14:paraId="68888587">
            <w:pPr>
              <w:jc w:val="both"/>
              <w:rPr>
                <w:rFonts w:hint="eastAsia" w:ascii="宋体" w:hAnsi="宋体" w:eastAsia="宋体" w:cs="宋体"/>
                <w:sz w:val="24"/>
                <w:szCs w:val="24"/>
              </w:rPr>
            </w:pPr>
            <w:r>
              <w:rPr>
                <w:rFonts w:hint="eastAsia" w:ascii="宋体" w:hAnsi="宋体" w:eastAsia="宋体" w:cs="宋体"/>
                <w:sz w:val="24"/>
                <w:szCs w:val="24"/>
              </w:rPr>
              <w:t>主要工作</w:t>
            </w:r>
          </w:p>
          <w:p w14:paraId="2F765A61">
            <w:pPr>
              <w:jc w:val="both"/>
              <w:rPr>
                <w:rFonts w:hint="eastAsia" w:ascii="宋体" w:hAnsi="宋体" w:eastAsia="宋体" w:cs="宋体"/>
                <w:sz w:val="24"/>
                <w:szCs w:val="24"/>
              </w:rPr>
            </w:pPr>
            <w:r>
              <w:rPr>
                <w:rFonts w:hint="eastAsia" w:ascii="宋体" w:hAnsi="宋体" w:eastAsia="宋体" w:cs="宋体"/>
                <w:sz w:val="24"/>
                <w:szCs w:val="24"/>
              </w:rPr>
              <w:t>业绩和经历</w:t>
            </w:r>
          </w:p>
        </w:tc>
        <w:tc>
          <w:tcPr>
            <w:tcW w:w="1015" w:type="dxa"/>
            <w:tcBorders>
              <w:right w:val="single" w:color="auto" w:sz="12" w:space="0"/>
            </w:tcBorders>
            <w:vAlign w:val="center"/>
          </w:tcPr>
          <w:p w14:paraId="20321B05">
            <w:pPr>
              <w:jc w:val="both"/>
              <w:rPr>
                <w:rFonts w:hint="eastAsia" w:ascii="宋体" w:hAnsi="宋体" w:eastAsia="宋体" w:cs="宋体"/>
                <w:sz w:val="24"/>
                <w:szCs w:val="24"/>
              </w:rPr>
            </w:pPr>
            <w:r>
              <w:rPr>
                <w:rFonts w:hint="eastAsia" w:ascii="宋体" w:hAnsi="宋体" w:eastAsia="宋体" w:cs="宋体"/>
                <w:sz w:val="24"/>
                <w:szCs w:val="24"/>
              </w:rPr>
              <w:t>拟派</w:t>
            </w:r>
          </w:p>
          <w:p w14:paraId="516F26FD">
            <w:pPr>
              <w:jc w:val="both"/>
              <w:rPr>
                <w:rFonts w:hint="eastAsia" w:ascii="宋体" w:hAnsi="宋体" w:eastAsia="宋体" w:cs="宋体"/>
                <w:sz w:val="24"/>
                <w:szCs w:val="24"/>
              </w:rPr>
            </w:pPr>
            <w:r>
              <w:rPr>
                <w:rFonts w:hint="eastAsia" w:ascii="宋体" w:hAnsi="宋体" w:eastAsia="宋体" w:cs="宋体"/>
                <w:sz w:val="24"/>
                <w:szCs w:val="24"/>
              </w:rPr>
              <w:t>分工</w:t>
            </w:r>
          </w:p>
        </w:tc>
      </w:tr>
      <w:tr w14:paraId="6826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5EA3CAC7">
            <w:pPr>
              <w:jc w:val="both"/>
              <w:rPr>
                <w:rFonts w:hint="eastAsia" w:ascii="宋体" w:hAnsi="宋体" w:eastAsia="宋体" w:cs="宋体"/>
                <w:sz w:val="24"/>
                <w:szCs w:val="24"/>
              </w:rPr>
            </w:pPr>
          </w:p>
        </w:tc>
        <w:tc>
          <w:tcPr>
            <w:tcW w:w="938" w:type="dxa"/>
            <w:tcBorders>
              <w:left w:val="single" w:color="auto" w:sz="6" w:space="0"/>
            </w:tcBorders>
            <w:vAlign w:val="center"/>
          </w:tcPr>
          <w:p w14:paraId="18536DED">
            <w:pPr>
              <w:jc w:val="both"/>
              <w:rPr>
                <w:rFonts w:hint="eastAsia" w:ascii="宋体" w:hAnsi="宋体" w:eastAsia="宋体" w:cs="宋体"/>
                <w:sz w:val="24"/>
                <w:szCs w:val="24"/>
              </w:rPr>
            </w:pPr>
          </w:p>
        </w:tc>
        <w:tc>
          <w:tcPr>
            <w:tcW w:w="1240" w:type="dxa"/>
            <w:gridSpan w:val="2"/>
            <w:tcBorders>
              <w:right w:val="single" w:color="auto" w:sz="2" w:space="0"/>
            </w:tcBorders>
            <w:vAlign w:val="center"/>
          </w:tcPr>
          <w:p w14:paraId="5745A350">
            <w:pPr>
              <w:jc w:val="both"/>
              <w:rPr>
                <w:rFonts w:hint="eastAsia" w:ascii="宋体" w:hAnsi="宋体" w:eastAsia="宋体" w:cs="宋体"/>
                <w:sz w:val="24"/>
                <w:szCs w:val="24"/>
              </w:rPr>
            </w:pPr>
          </w:p>
        </w:tc>
        <w:tc>
          <w:tcPr>
            <w:tcW w:w="1338" w:type="dxa"/>
            <w:gridSpan w:val="3"/>
            <w:tcBorders>
              <w:left w:val="single" w:color="auto" w:sz="2" w:space="0"/>
            </w:tcBorders>
            <w:vAlign w:val="center"/>
          </w:tcPr>
          <w:p w14:paraId="4494F452">
            <w:pPr>
              <w:jc w:val="both"/>
              <w:rPr>
                <w:rFonts w:hint="eastAsia" w:ascii="宋体" w:hAnsi="宋体" w:eastAsia="宋体" w:cs="宋体"/>
                <w:sz w:val="24"/>
                <w:szCs w:val="24"/>
              </w:rPr>
            </w:pPr>
          </w:p>
        </w:tc>
        <w:tc>
          <w:tcPr>
            <w:tcW w:w="1524" w:type="dxa"/>
            <w:vAlign w:val="center"/>
          </w:tcPr>
          <w:p w14:paraId="18CCD66D">
            <w:pPr>
              <w:jc w:val="both"/>
              <w:rPr>
                <w:rFonts w:hint="eastAsia" w:ascii="宋体" w:hAnsi="宋体" w:eastAsia="宋体" w:cs="宋体"/>
                <w:sz w:val="24"/>
                <w:szCs w:val="24"/>
              </w:rPr>
            </w:pPr>
          </w:p>
        </w:tc>
        <w:tc>
          <w:tcPr>
            <w:tcW w:w="1717" w:type="dxa"/>
            <w:gridSpan w:val="2"/>
            <w:vAlign w:val="center"/>
          </w:tcPr>
          <w:p w14:paraId="50E8B8A8">
            <w:pPr>
              <w:jc w:val="both"/>
              <w:rPr>
                <w:rFonts w:hint="eastAsia" w:ascii="宋体" w:hAnsi="宋体" w:eastAsia="宋体" w:cs="宋体"/>
                <w:sz w:val="24"/>
                <w:szCs w:val="24"/>
              </w:rPr>
            </w:pPr>
          </w:p>
        </w:tc>
        <w:tc>
          <w:tcPr>
            <w:tcW w:w="1015" w:type="dxa"/>
            <w:tcBorders>
              <w:right w:val="single" w:color="auto" w:sz="12" w:space="0"/>
            </w:tcBorders>
            <w:vAlign w:val="center"/>
          </w:tcPr>
          <w:p w14:paraId="0698CD26">
            <w:pPr>
              <w:jc w:val="both"/>
              <w:rPr>
                <w:rFonts w:hint="eastAsia" w:ascii="宋体" w:hAnsi="宋体" w:eastAsia="宋体" w:cs="宋体"/>
                <w:sz w:val="24"/>
                <w:szCs w:val="24"/>
              </w:rPr>
            </w:pPr>
          </w:p>
        </w:tc>
      </w:tr>
      <w:tr w14:paraId="71EE8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50580B60">
            <w:pPr>
              <w:jc w:val="both"/>
              <w:rPr>
                <w:rFonts w:hint="eastAsia" w:ascii="宋体" w:hAnsi="宋体" w:eastAsia="宋体" w:cs="宋体"/>
                <w:sz w:val="24"/>
                <w:szCs w:val="24"/>
              </w:rPr>
            </w:pPr>
          </w:p>
        </w:tc>
        <w:tc>
          <w:tcPr>
            <w:tcW w:w="938" w:type="dxa"/>
            <w:tcBorders>
              <w:left w:val="single" w:color="auto" w:sz="6" w:space="0"/>
            </w:tcBorders>
            <w:vAlign w:val="center"/>
          </w:tcPr>
          <w:p w14:paraId="5F0926EE">
            <w:pPr>
              <w:jc w:val="both"/>
              <w:rPr>
                <w:rFonts w:hint="eastAsia" w:ascii="宋体" w:hAnsi="宋体" w:eastAsia="宋体" w:cs="宋体"/>
                <w:sz w:val="24"/>
                <w:szCs w:val="24"/>
              </w:rPr>
            </w:pPr>
          </w:p>
        </w:tc>
        <w:tc>
          <w:tcPr>
            <w:tcW w:w="1240" w:type="dxa"/>
            <w:gridSpan w:val="2"/>
            <w:tcBorders>
              <w:right w:val="single" w:color="auto" w:sz="2" w:space="0"/>
            </w:tcBorders>
            <w:vAlign w:val="center"/>
          </w:tcPr>
          <w:p w14:paraId="6F0ED89E">
            <w:pPr>
              <w:jc w:val="both"/>
              <w:rPr>
                <w:rFonts w:hint="eastAsia" w:ascii="宋体" w:hAnsi="宋体" w:eastAsia="宋体" w:cs="宋体"/>
                <w:sz w:val="24"/>
                <w:szCs w:val="24"/>
              </w:rPr>
            </w:pPr>
          </w:p>
        </w:tc>
        <w:tc>
          <w:tcPr>
            <w:tcW w:w="1338" w:type="dxa"/>
            <w:gridSpan w:val="3"/>
            <w:tcBorders>
              <w:left w:val="single" w:color="auto" w:sz="2" w:space="0"/>
            </w:tcBorders>
            <w:vAlign w:val="center"/>
          </w:tcPr>
          <w:p w14:paraId="42354CEF">
            <w:pPr>
              <w:jc w:val="both"/>
              <w:rPr>
                <w:rFonts w:hint="eastAsia" w:ascii="宋体" w:hAnsi="宋体" w:eastAsia="宋体" w:cs="宋体"/>
                <w:sz w:val="24"/>
                <w:szCs w:val="24"/>
              </w:rPr>
            </w:pPr>
          </w:p>
        </w:tc>
        <w:tc>
          <w:tcPr>
            <w:tcW w:w="1524" w:type="dxa"/>
            <w:vAlign w:val="center"/>
          </w:tcPr>
          <w:p w14:paraId="0D15E576">
            <w:pPr>
              <w:jc w:val="both"/>
              <w:rPr>
                <w:rFonts w:hint="eastAsia" w:ascii="宋体" w:hAnsi="宋体" w:eastAsia="宋体" w:cs="宋体"/>
                <w:sz w:val="24"/>
                <w:szCs w:val="24"/>
              </w:rPr>
            </w:pPr>
          </w:p>
        </w:tc>
        <w:tc>
          <w:tcPr>
            <w:tcW w:w="1717" w:type="dxa"/>
            <w:gridSpan w:val="2"/>
            <w:vAlign w:val="center"/>
          </w:tcPr>
          <w:p w14:paraId="6D716107">
            <w:pPr>
              <w:jc w:val="both"/>
              <w:rPr>
                <w:rFonts w:hint="eastAsia" w:ascii="宋体" w:hAnsi="宋体" w:eastAsia="宋体" w:cs="宋体"/>
                <w:sz w:val="24"/>
                <w:szCs w:val="24"/>
              </w:rPr>
            </w:pPr>
          </w:p>
        </w:tc>
        <w:tc>
          <w:tcPr>
            <w:tcW w:w="1015" w:type="dxa"/>
            <w:tcBorders>
              <w:right w:val="single" w:color="auto" w:sz="12" w:space="0"/>
            </w:tcBorders>
            <w:vAlign w:val="center"/>
          </w:tcPr>
          <w:p w14:paraId="0D39E844">
            <w:pPr>
              <w:jc w:val="both"/>
              <w:rPr>
                <w:rFonts w:hint="eastAsia" w:ascii="宋体" w:hAnsi="宋体" w:eastAsia="宋体" w:cs="宋体"/>
                <w:sz w:val="24"/>
                <w:szCs w:val="24"/>
              </w:rPr>
            </w:pPr>
          </w:p>
        </w:tc>
      </w:tr>
      <w:tr w14:paraId="2107A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96" w:type="dxa"/>
            <w:tcBorders>
              <w:top w:val="single" w:color="auto" w:sz="6" w:space="0"/>
              <w:left w:val="single" w:color="auto" w:sz="12" w:space="0"/>
              <w:bottom w:val="single" w:color="auto" w:sz="6" w:space="0"/>
              <w:right w:val="single" w:color="auto" w:sz="6" w:space="0"/>
            </w:tcBorders>
            <w:vAlign w:val="center"/>
          </w:tcPr>
          <w:p w14:paraId="6C1C89C9">
            <w:pPr>
              <w:jc w:val="both"/>
              <w:rPr>
                <w:rFonts w:hint="eastAsia" w:ascii="宋体" w:hAnsi="宋体" w:eastAsia="宋体" w:cs="宋体"/>
                <w:sz w:val="24"/>
                <w:szCs w:val="24"/>
              </w:rPr>
            </w:pPr>
          </w:p>
        </w:tc>
        <w:tc>
          <w:tcPr>
            <w:tcW w:w="938" w:type="dxa"/>
            <w:tcBorders>
              <w:left w:val="single" w:color="auto" w:sz="6" w:space="0"/>
            </w:tcBorders>
            <w:vAlign w:val="center"/>
          </w:tcPr>
          <w:p w14:paraId="65372DE2">
            <w:pPr>
              <w:jc w:val="both"/>
              <w:rPr>
                <w:rFonts w:hint="eastAsia" w:ascii="宋体" w:hAnsi="宋体" w:eastAsia="宋体" w:cs="宋体"/>
                <w:sz w:val="24"/>
                <w:szCs w:val="24"/>
              </w:rPr>
            </w:pPr>
          </w:p>
        </w:tc>
        <w:tc>
          <w:tcPr>
            <w:tcW w:w="1240" w:type="dxa"/>
            <w:gridSpan w:val="2"/>
            <w:tcBorders>
              <w:right w:val="single" w:color="auto" w:sz="2" w:space="0"/>
            </w:tcBorders>
            <w:vAlign w:val="center"/>
          </w:tcPr>
          <w:p w14:paraId="22E473B4">
            <w:pPr>
              <w:jc w:val="both"/>
              <w:rPr>
                <w:rFonts w:hint="eastAsia" w:ascii="宋体" w:hAnsi="宋体" w:eastAsia="宋体" w:cs="宋体"/>
                <w:sz w:val="24"/>
                <w:szCs w:val="24"/>
              </w:rPr>
            </w:pPr>
          </w:p>
        </w:tc>
        <w:tc>
          <w:tcPr>
            <w:tcW w:w="1338" w:type="dxa"/>
            <w:gridSpan w:val="3"/>
            <w:tcBorders>
              <w:left w:val="single" w:color="auto" w:sz="2" w:space="0"/>
            </w:tcBorders>
            <w:vAlign w:val="center"/>
          </w:tcPr>
          <w:p w14:paraId="0FC4B945">
            <w:pPr>
              <w:jc w:val="both"/>
              <w:rPr>
                <w:rFonts w:hint="eastAsia" w:ascii="宋体" w:hAnsi="宋体" w:eastAsia="宋体" w:cs="宋体"/>
                <w:sz w:val="24"/>
                <w:szCs w:val="24"/>
              </w:rPr>
            </w:pPr>
          </w:p>
        </w:tc>
        <w:tc>
          <w:tcPr>
            <w:tcW w:w="1524" w:type="dxa"/>
            <w:vAlign w:val="center"/>
          </w:tcPr>
          <w:p w14:paraId="3C6B51F3">
            <w:pPr>
              <w:jc w:val="both"/>
              <w:rPr>
                <w:rFonts w:hint="eastAsia" w:ascii="宋体" w:hAnsi="宋体" w:eastAsia="宋体" w:cs="宋体"/>
                <w:sz w:val="24"/>
                <w:szCs w:val="24"/>
              </w:rPr>
            </w:pPr>
          </w:p>
        </w:tc>
        <w:tc>
          <w:tcPr>
            <w:tcW w:w="1717" w:type="dxa"/>
            <w:gridSpan w:val="2"/>
            <w:vAlign w:val="center"/>
          </w:tcPr>
          <w:p w14:paraId="205ECF04">
            <w:pPr>
              <w:jc w:val="both"/>
              <w:rPr>
                <w:rFonts w:hint="eastAsia" w:ascii="宋体" w:hAnsi="宋体" w:eastAsia="宋体" w:cs="宋体"/>
                <w:sz w:val="24"/>
                <w:szCs w:val="24"/>
              </w:rPr>
            </w:pPr>
          </w:p>
        </w:tc>
        <w:tc>
          <w:tcPr>
            <w:tcW w:w="1015" w:type="dxa"/>
            <w:tcBorders>
              <w:right w:val="single" w:color="auto" w:sz="12" w:space="0"/>
            </w:tcBorders>
            <w:vAlign w:val="center"/>
          </w:tcPr>
          <w:p w14:paraId="6D736B72">
            <w:pPr>
              <w:jc w:val="both"/>
              <w:rPr>
                <w:rFonts w:hint="eastAsia" w:ascii="宋体" w:hAnsi="宋体" w:eastAsia="宋体" w:cs="宋体"/>
                <w:sz w:val="24"/>
                <w:szCs w:val="24"/>
              </w:rPr>
            </w:pPr>
          </w:p>
        </w:tc>
      </w:tr>
    </w:tbl>
    <w:p w14:paraId="2934487D">
      <w:pPr>
        <w:pStyle w:val="12"/>
        <w:pageBreakBefore w:val="0"/>
        <w:numPr>
          <w:ilvl w:val="0"/>
          <w:numId w:val="0"/>
        </w:numPr>
        <w:kinsoku/>
        <w:wordWrap/>
        <w:overflowPunct/>
        <w:topLinePunct w:val="0"/>
        <w:autoSpaceDE/>
        <w:autoSpaceDN/>
        <w:bidi w:val="0"/>
        <w:spacing w:line="360" w:lineRule="auto"/>
        <w:jc w:val="both"/>
        <w:rPr>
          <w:rFonts w:hint="eastAsia" w:ascii="宋体" w:hAnsi="宋体" w:eastAsia="宋体" w:cs="宋体"/>
          <w:kern w:val="2"/>
          <w:sz w:val="24"/>
          <w:szCs w:val="24"/>
          <w:lang w:val="en-US" w:eastAsia="zh-CN" w:bidi="ar-SA"/>
        </w:rPr>
      </w:pPr>
    </w:p>
    <w:p w14:paraId="1F007CA9">
      <w:pPr>
        <w:pStyle w:val="12"/>
        <w:pageBreakBefore w:val="0"/>
        <w:numPr>
          <w:ilvl w:val="0"/>
          <w:numId w:val="0"/>
        </w:numPr>
        <w:kinsoku/>
        <w:wordWrap/>
        <w:overflowPunct/>
        <w:topLinePunct w:val="0"/>
        <w:autoSpaceDE/>
        <w:autoSpaceDN/>
        <w:bidi w:val="0"/>
        <w:spacing w:line="360" w:lineRule="auto"/>
        <w:jc w:val="both"/>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注：后附佐证材料：人员近3个月社保缴纳证明、职称/项目合同证明等。</w:t>
      </w:r>
    </w:p>
    <w:p w14:paraId="725E7BE2">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0AE0D9CD">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02073737">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6CAD4D21">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704080F0">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2F303560">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62682A14">
      <w:pPr>
        <w:pStyle w:val="12"/>
        <w:pageBreakBefore w:val="0"/>
        <w:numPr>
          <w:ilvl w:val="0"/>
          <w:numId w:val="0"/>
        </w:numPr>
        <w:kinsoku/>
        <w:wordWrap/>
        <w:overflowPunct/>
        <w:topLinePunct w:val="0"/>
        <w:autoSpaceDE/>
        <w:autoSpaceDN/>
        <w:bidi w:val="0"/>
        <w:spacing w:line="360" w:lineRule="auto"/>
        <w:jc w:val="center"/>
        <w:rPr>
          <w:rFonts w:hint="eastAsia" w:ascii="宋体" w:hAnsi="宋体" w:eastAsia="宋体" w:cs="宋体"/>
          <w:b/>
          <w:bCs/>
          <w:color w:val="auto"/>
          <w:sz w:val="30"/>
          <w:szCs w:val="30"/>
          <w:highlight w:val="none"/>
          <w:u w:val="none" w:color="auto"/>
          <w:lang w:val="en-US" w:eastAsia="zh-CN"/>
        </w:rPr>
      </w:pPr>
    </w:p>
    <w:p w14:paraId="02614B32">
      <w:pPr>
        <w:pStyle w:val="12"/>
        <w:pageBreakBefore w:val="0"/>
        <w:numPr>
          <w:ilvl w:val="0"/>
          <w:numId w:val="0"/>
        </w:numPr>
        <w:kinsoku/>
        <w:wordWrap/>
        <w:overflowPunct/>
        <w:topLinePunct w:val="0"/>
        <w:autoSpaceDE/>
        <w:autoSpaceDN/>
        <w:bidi w:val="0"/>
        <w:spacing w:line="360" w:lineRule="auto"/>
        <w:jc w:val="center"/>
        <w:rPr>
          <w:rFonts w:hint="default"/>
          <w:color w:val="auto"/>
          <w:spacing w:val="0"/>
          <w:sz w:val="30"/>
          <w:szCs w:val="30"/>
          <w:highlight w:val="none"/>
          <w:lang w:val="en-US" w:eastAsia="zh-CN"/>
        </w:rPr>
      </w:pPr>
      <w:r>
        <w:rPr>
          <w:rFonts w:hint="eastAsia" w:ascii="宋体" w:hAnsi="宋体" w:eastAsia="宋体" w:cs="宋体"/>
          <w:b/>
          <w:bCs/>
          <w:color w:val="auto"/>
          <w:sz w:val="30"/>
          <w:szCs w:val="30"/>
          <w:highlight w:val="none"/>
          <w:u w:val="none" w:color="auto"/>
          <w:lang w:val="en-US" w:eastAsia="zh-CN"/>
        </w:rPr>
        <w:t>十、</w:t>
      </w:r>
      <w:r>
        <w:rPr>
          <w:rFonts w:hint="eastAsia" w:ascii="宋体" w:hAnsi="宋体" w:eastAsia="宋体" w:cs="宋体"/>
          <w:b/>
          <w:bCs/>
          <w:color w:val="auto"/>
          <w:kern w:val="0"/>
          <w:sz w:val="30"/>
          <w:szCs w:val="30"/>
          <w:highlight w:val="none"/>
          <w:lang w:val="en-US" w:eastAsia="zh-CN" w:bidi="ar"/>
        </w:rPr>
        <w:t>供应商认为有必要补充说明的事项</w:t>
      </w:r>
    </w:p>
    <w:p w14:paraId="59568569">
      <w:pPr>
        <w:shd w:val="clear"/>
        <w:spacing w:line="245" w:lineRule="auto"/>
        <w:jc w:val="center"/>
        <w:outlineLvl w:val="0"/>
        <w:rPr>
          <w:rFonts w:hint="default" w:ascii="宋体" w:hAnsi="宋体" w:eastAsia="宋体" w:cs="宋体"/>
          <w:b/>
          <w:bCs/>
          <w:color w:val="auto"/>
          <w:sz w:val="30"/>
          <w:szCs w:val="30"/>
          <w:highlight w:val="none"/>
          <w:u w:val="none" w:color="auto"/>
          <w:lang w:val="en-US" w:eastAsia="zh-CN"/>
        </w:rPr>
      </w:pPr>
    </w:p>
    <w:p w14:paraId="367A82D5">
      <w:pPr>
        <w:pStyle w:val="2"/>
        <w:rPr>
          <w:rFonts w:hint="default" w:ascii="宋体" w:hAnsi="宋体" w:eastAsia="宋体" w:cs="宋体"/>
          <w:b/>
          <w:bCs/>
          <w:color w:val="auto"/>
          <w:sz w:val="30"/>
          <w:szCs w:val="30"/>
          <w:highlight w:val="none"/>
          <w:u w:val="none" w:color="auto"/>
          <w:lang w:val="en-US" w:eastAsia="zh-CN"/>
        </w:rPr>
      </w:pPr>
    </w:p>
    <w:p w14:paraId="0C4E3749">
      <w:pPr>
        <w:rPr>
          <w:rFonts w:hint="default" w:ascii="宋体" w:hAnsi="宋体" w:eastAsia="宋体" w:cs="宋体"/>
          <w:b/>
          <w:bCs/>
          <w:color w:val="auto"/>
          <w:sz w:val="30"/>
          <w:szCs w:val="30"/>
          <w:highlight w:val="none"/>
          <w:u w:val="none" w:color="auto"/>
          <w:lang w:val="en-US" w:eastAsia="zh-CN"/>
        </w:rPr>
      </w:pPr>
    </w:p>
    <w:p w14:paraId="428339AC">
      <w:pPr>
        <w:pStyle w:val="2"/>
        <w:rPr>
          <w:rFonts w:hint="default" w:ascii="宋体" w:hAnsi="宋体" w:eastAsia="宋体" w:cs="宋体"/>
          <w:b/>
          <w:bCs/>
          <w:color w:val="auto"/>
          <w:sz w:val="30"/>
          <w:szCs w:val="30"/>
          <w:highlight w:val="none"/>
          <w:u w:val="none" w:color="auto"/>
          <w:lang w:val="en-US" w:eastAsia="zh-CN"/>
        </w:rPr>
      </w:pPr>
    </w:p>
    <w:p w14:paraId="0F1016C1">
      <w:pPr>
        <w:rPr>
          <w:rFonts w:hint="default" w:ascii="宋体" w:hAnsi="宋体" w:eastAsia="宋体" w:cs="宋体"/>
          <w:b/>
          <w:bCs/>
          <w:color w:val="auto"/>
          <w:sz w:val="30"/>
          <w:szCs w:val="30"/>
          <w:highlight w:val="none"/>
          <w:u w:val="none" w:color="auto"/>
          <w:lang w:val="en-US" w:eastAsia="zh-CN"/>
        </w:rPr>
      </w:pPr>
    </w:p>
    <w:p w14:paraId="07EF7644">
      <w:pPr>
        <w:pStyle w:val="2"/>
        <w:rPr>
          <w:rFonts w:hint="default" w:ascii="宋体" w:hAnsi="宋体" w:eastAsia="宋体" w:cs="宋体"/>
          <w:b/>
          <w:bCs/>
          <w:color w:val="auto"/>
          <w:sz w:val="30"/>
          <w:szCs w:val="30"/>
          <w:highlight w:val="none"/>
          <w:u w:val="none" w:color="auto"/>
          <w:lang w:val="en-US" w:eastAsia="zh-CN"/>
        </w:rPr>
      </w:pPr>
    </w:p>
    <w:p w14:paraId="73FC0722">
      <w:pPr>
        <w:rPr>
          <w:rFonts w:hint="default" w:ascii="宋体" w:hAnsi="宋体" w:eastAsia="宋体" w:cs="宋体"/>
          <w:b/>
          <w:bCs/>
          <w:color w:val="auto"/>
          <w:sz w:val="30"/>
          <w:szCs w:val="30"/>
          <w:highlight w:val="none"/>
          <w:u w:val="none" w:color="auto"/>
          <w:lang w:val="en-US" w:eastAsia="zh-CN"/>
        </w:rPr>
      </w:pPr>
    </w:p>
    <w:p w14:paraId="6F5A7740">
      <w:pPr>
        <w:pStyle w:val="2"/>
        <w:rPr>
          <w:rFonts w:hint="default" w:ascii="宋体" w:hAnsi="宋体" w:eastAsia="宋体" w:cs="宋体"/>
          <w:b/>
          <w:bCs/>
          <w:color w:val="auto"/>
          <w:sz w:val="30"/>
          <w:szCs w:val="30"/>
          <w:highlight w:val="none"/>
          <w:u w:val="none" w:color="auto"/>
          <w:lang w:val="en-US" w:eastAsia="zh-CN"/>
        </w:rPr>
      </w:pPr>
    </w:p>
    <w:p w14:paraId="4F27021F">
      <w:pPr>
        <w:rPr>
          <w:rFonts w:hint="default" w:ascii="宋体" w:hAnsi="宋体" w:eastAsia="宋体" w:cs="宋体"/>
          <w:b/>
          <w:bCs/>
          <w:color w:val="auto"/>
          <w:sz w:val="30"/>
          <w:szCs w:val="30"/>
          <w:highlight w:val="none"/>
          <w:u w:val="none" w:color="auto"/>
          <w:lang w:val="en-US" w:eastAsia="zh-CN"/>
        </w:rPr>
      </w:pPr>
    </w:p>
    <w:p w14:paraId="6DEDE7EE">
      <w:pPr>
        <w:pStyle w:val="2"/>
        <w:rPr>
          <w:rFonts w:hint="default" w:ascii="宋体" w:hAnsi="宋体" w:eastAsia="宋体" w:cs="宋体"/>
          <w:b/>
          <w:bCs/>
          <w:color w:val="auto"/>
          <w:sz w:val="30"/>
          <w:szCs w:val="30"/>
          <w:highlight w:val="none"/>
          <w:u w:val="none" w:color="auto"/>
          <w:lang w:val="en-US" w:eastAsia="zh-CN"/>
        </w:rPr>
      </w:pPr>
    </w:p>
    <w:p w14:paraId="36D1BD28">
      <w:pPr>
        <w:rPr>
          <w:rFonts w:hint="default" w:ascii="宋体" w:hAnsi="宋体" w:eastAsia="宋体" w:cs="宋体"/>
          <w:b/>
          <w:bCs/>
          <w:color w:val="auto"/>
          <w:sz w:val="30"/>
          <w:szCs w:val="30"/>
          <w:highlight w:val="none"/>
          <w:u w:val="none" w:color="auto"/>
          <w:lang w:val="en-US" w:eastAsia="zh-CN"/>
        </w:rPr>
      </w:pPr>
    </w:p>
    <w:p w14:paraId="7388902A">
      <w:pPr>
        <w:pStyle w:val="2"/>
        <w:rPr>
          <w:rFonts w:hint="default" w:ascii="宋体" w:hAnsi="宋体" w:eastAsia="宋体" w:cs="宋体"/>
          <w:b/>
          <w:bCs/>
          <w:color w:val="auto"/>
          <w:sz w:val="30"/>
          <w:szCs w:val="30"/>
          <w:highlight w:val="none"/>
          <w:u w:val="none" w:color="auto"/>
          <w:lang w:val="en-US" w:eastAsia="zh-CN"/>
        </w:rPr>
      </w:pPr>
    </w:p>
    <w:p w14:paraId="64AC389F">
      <w:pPr>
        <w:rPr>
          <w:rFonts w:hint="default" w:ascii="宋体" w:hAnsi="宋体" w:eastAsia="宋体" w:cs="宋体"/>
          <w:b/>
          <w:bCs/>
          <w:color w:val="auto"/>
          <w:sz w:val="30"/>
          <w:szCs w:val="30"/>
          <w:highlight w:val="none"/>
          <w:u w:val="none" w:color="auto"/>
          <w:lang w:val="en-US" w:eastAsia="zh-CN"/>
        </w:rPr>
      </w:pPr>
    </w:p>
    <w:p w14:paraId="4FCFBE96">
      <w:pPr>
        <w:pStyle w:val="2"/>
        <w:rPr>
          <w:rFonts w:hint="default" w:ascii="宋体" w:hAnsi="宋体" w:eastAsia="宋体" w:cs="宋体"/>
          <w:b/>
          <w:bCs/>
          <w:color w:val="auto"/>
          <w:sz w:val="30"/>
          <w:szCs w:val="30"/>
          <w:highlight w:val="none"/>
          <w:u w:val="none" w:color="auto"/>
          <w:lang w:val="en-US" w:eastAsia="zh-CN"/>
        </w:rPr>
      </w:pPr>
    </w:p>
    <w:p w14:paraId="209688FD">
      <w:pPr>
        <w:rPr>
          <w:rFonts w:hint="default" w:ascii="宋体" w:hAnsi="宋体" w:eastAsia="宋体" w:cs="宋体"/>
          <w:b/>
          <w:bCs/>
          <w:color w:val="auto"/>
          <w:sz w:val="30"/>
          <w:szCs w:val="30"/>
          <w:highlight w:val="none"/>
          <w:u w:val="none" w:color="auto"/>
          <w:lang w:val="en-US" w:eastAsia="zh-CN"/>
        </w:rPr>
      </w:pPr>
    </w:p>
    <w:p w14:paraId="3F624990">
      <w:pPr>
        <w:pStyle w:val="2"/>
        <w:rPr>
          <w:rFonts w:hint="default" w:ascii="宋体" w:hAnsi="宋体" w:eastAsia="宋体" w:cs="宋体"/>
          <w:b/>
          <w:bCs/>
          <w:color w:val="auto"/>
          <w:sz w:val="30"/>
          <w:szCs w:val="30"/>
          <w:highlight w:val="none"/>
          <w:u w:val="none" w:color="auto"/>
          <w:lang w:val="en-US" w:eastAsia="zh-CN"/>
        </w:rPr>
      </w:pPr>
    </w:p>
    <w:p w14:paraId="2EF645BE">
      <w:pPr>
        <w:rPr>
          <w:rFonts w:hint="default" w:ascii="宋体" w:hAnsi="宋体" w:eastAsia="宋体" w:cs="宋体"/>
          <w:b/>
          <w:bCs/>
          <w:color w:val="auto"/>
          <w:sz w:val="30"/>
          <w:szCs w:val="30"/>
          <w:highlight w:val="none"/>
          <w:u w:val="none" w:color="auto"/>
          <w:lang w:val="en-US" w:eastAsia="zh-CN"/>
        </w:rPr>
      </w:pPr>
    </w:p>
    <w:p w14:paraId="1DF5145E">
      <w:pPr>
        <w:pStyle w:val="2"/>
        <w:rPr>
          <w:rFonts w:hint="default" w:ascii="宋体" w:hAnsi="宋体" w:eastAsia="宋体" w:cs="宋体"/>
          <w:b/>
          <w:bCs/>
          <w:color w:val="auto"/>
          <w:sz w:val="30"/>
          <w:szCs w:val="30"/>
          <w:highlight w:val="none"/>
          <w:u w:val="none" w:color="auto"/>
          <w:lang w:val="en-US" w:eastAsia="zh-CN"/>
        </w:rPr>
      </w:pPr>
    </w:p>
    <w:p w14:paraId="27ECC5E0">
      <w:pPr>
        <w:rPr>
          <w:rFonts w:hint="default" w:ascii="宋体" w:hAnsi="宋体" w:eastAsia="宋体" w:cs="宋体"/>
          <w:b/>
          <w:bCs/>
          <w:color w:val="auto"/>
          <w:sz w:val="30"/>
          <w:szCs w:val="30"/>
          <w:highlight w:val="none"/>
          <w:u w:val="none" w:color="auto"/>
          <w:lang w:val="en-US" w:eastAsia="zh-CN"/>
        </w:rPr>
      </w:pPr>
    </w:p>
    <w:p w14:paraId="6BF4949A">
      <w:pPr>
        <w:rPr>
          <w:rFonts w:hint="eastAsia" w:ascii="宋体" w:hAnsi="宋体" w:cs="宋体"/>
          <w:b/>
          <w:bCs/>
          <w:color w:val="auto"/>
          <w:sz w:val="30"/>
          <w:szCs w:val="30"/>
          <w:highlight w:val="none"/>
          <w:u w:val="none" w:color="auto"/>
          <w:lang w:val="en-US" w:eastAsia="zh-CN"/>
        </w:rPr>
      </w:pPr>
    </w:p>
    <w:p w14:paraId="6E10825C">
      <w:pPr>
        <w:rPr>
          <w:rFonts w:hint="default"/>
          <w:lang w:val="en-US" w:eastAsia="zh-CN"/>
        </w:rPr>
      </w:pPr>
      <w:r>
        <w:rPr>
          <w:rFonts w:hint="eastAsia" w:ascii="宋体" w:hAnsi="宋体" w:cs="宋体"/>
          <w:b/>
          <w:bCs/>
          <w:color w:val="auto"/>
          <w:sz w:val="30"/>
          <w:szCs w:val="30"/>
          <w:highlight w:val="none"/>
          <w:u w:val="none" w:color="auto"/>
          <w:lang w:val="en-US" w:eastAsia="zh-CN"/>
        </w:rPr>
        <w:t>附件：</w:t>
      </w:r>
    </w:p>
    <w:p w14:paraId="05685D44">
      <w:pPr>
        <w:pStyle w:val="5"/>
        <w:jc w:val="center"/>
        <w:rPr>
          <w:sz w:val="28"/>
          <w:szCs w:val="36"/>
        </w:rPr>
      </w:pPr>
      <w:r>
        <w:rPr>
          <w:rFonts w:hint="eastAsia"/>
          <w:sz w:val="28"/>
          <w:szCs w:val="36"/>
        </w:rPr>
        <w:t>中小企业声明函</w:t>
      </w:r>
    </w:p>
    <w:p w14:paraId="637F73F6">
      <w:pPr>
        <w:rPr>
          <w:sz w:val="20"/>
          <w:szCs w:val="22"/>
        </w:rPr>
      </w:pPr>
    </w:p>
    <w:p w14:paraId="0FCEAB3C">
      <w:pPr>
        <w:spacing w:line="560" w:lineRule="exact"/>
        <w:ind w:firstLine="480" w:firstLineChars="200"/>
        <w:jc w:val="both"/>
        <w:rPr>
          <w:rFonts w:ascii="仿宋" w:hAnsi="仿宋" w:eastAsia="仿宋"/>
          <w:sz w:val="24"/>
          <w:szCs w:val="24"/>
        </w:rPr>
      </w:pPr>
      <w:r>
        <w:rPr>
          <w:rFonts w:ascii="仿宋" w:hAnsi="仿宋" w:eastAsia="仿宋"/>
          <w:sz w:val="24"/>
          <w:szCs w:val="24"/>
        </w:rPr>
        <w:t>本公司（联合体）郑重声明，根据《政府采购促进中小企业发展管理办法》（财库〔2020〕46号）的规定，本公司参加〈项目名称〉（项目编号：〈项目编号〉）采购活动，服务全部由符合政策要求的中小企业承接。相关企业（含联合体中的中小企业、签订分包意向协议的中小企业）的具体情况如下：</w:t>
      </w:r>
    </w:p>
    <w:p w14:paraId="068BD2C0">
      <w:pPr>
        <w:spacing w:line="560" w:lineRule="exact"/>
        <w:ind w:firstLine="480" w:firstLineChars="200"/>
        <w:jc w:val="both"/>
        <w:rPr>
          <w:rFonts w:ascii="仿宋" w:hAnsi="仿宋" w:eastAsia="仿宋"/>
          <w:sz w:val="24"/>
          <w:szCs w:val="24"/>
        </w:rPr>
      </w:pPr>
      <w:r>
        <w:rPr>
          <w:rFonts w:ascii="仿宋" w:hAnsi="仿宋" w:eastAsia="仿宋"/>
          <w:sz w:val="24"/>
          <w:szCs w:val="24"/>
        </w:rPr>
        <w:t>1</w:t>
      </w:r>
      <w:r>
        <w:rPr>
          <w:rFonts w:hint="eastAsia" w:ascii="仿宋" w:hAnsi="仿宋" w:eastAsia="仿宋"/>
          <w:sz w:val="24"/>
          <w:szCs w:val="24"/>
        </w:rPr>
        <w:t>．</w:t>
      </w:r>
      <w:r>
        <w:rPr>
          <w:rFonts w:ascii="仿宋" w:hAnsi="仿宋" w:eastAsia="仿宋"/>
          <w:sz w:val="24"/>
          <w:szCs w:val="24"/>
        </w:rPr>
        <w:t>〈标的名称〉，属于〈</w:t>
      </w:r>
      <w:r>
        <w:rPr>
          <w:rFonts w:hint="eastAsia" w:ascii="仿宋" w:hAnsi="仿宋" w:eastAsia="仿宋"/>
          <w:b/>
          <w:bCs/>
          <w:sz w:val="24"/>
          <w:szCs w:val="24"/>
        </w:rPr>
        <w:t>本项目所属行业：</w:t>
      </w:r>
      <w:r>
        <w:rPr>
          <w:rFonts w:hint="eastAsia" w:ascii="仿宋" w:hAnsi="仿宋" w:eastAsia="仿宋"/>
          <w:b/>
          <w:bCs/>
          <w:color w:val="4472C4" w:themeColor="accent5"/>
          <w:sz w:val="24"/>
          <w:szCs w:val="24"/>
          <w14:textFill>
            <w14:solidFill>
              <w14:schemeClr w14:val="accent5"/>
            </w14:solidFill>
          </w14:textFill>
        </w:rPr>
        <w:t>软件和信息技术服务业（或科学研究和技术服务业）</w:t>
      </w:r>
      <w:r>
        <w:rPr>
          <w:rFonts w:hint="eastAsia" w:ascii="宋体" w:hAnsi="宋体" w:cs="宋体"/>
          <w:color w:val="0000FF"/>
          <w:kern w:val="2"/>
          <w:sz w:val="24"/>
          <w:szCs w:val="24"/>
          <w:highlight w:val="none"/>
          <w:lang w:val="en-US" w:eastAsia="zh-CN" w:bidi="ar"/>
        </w:rPr>
        <w:t>—</w:t>
      </w:r>
      <w:r>
        <w:rPr>
          <w:rFonts w:hint="eastAsia" w:ascii="仿宋" w:hAnsi="仿宋" w:eastAsia="仿宋"/>
          <w:b/>
          <w:bCs/>
          <w:sz w:val="24"/>
          <w:szCs w:val="24"/>
        </w:rPr>
        <w:t>请根据实际认定填写</w:t>
      </w:r>
      <w:r>
        <w:rPr>
          <w:rFonts w:ascii="仿宋" w:hAnsi="仿宋" w:eastAsia="仿宋"/>
          <w:b/>
          <w:bCs/>
          <w:sz w:val="24"/>
          <w:szCs w:val="24"/>
        </w:rPr>
        <w:t>采购文件中明确的所属行业</w:t>
      </w:r>
      <w:r>
        <w:rPr>
          <w:rFonts w:ascii="仿宋" w:hAnsi="仿宋" w:eastAsia="仿宋"/>
          <w:sz w:val="24"/>
          <w:szCs w:val="24"/>
        </w:rPr>
        <w:t>〉；承接企业为〈企业名称〉，从业人员</w:t>
      </w:r>
      <w:r>
        <w:rPr>
          <w:rFonts w:ascii="Calibri" w:hAnsi="Calibri" w:eastAsia="仿宋" w:cs="Calibri"/>
          <w:sz w:val="24"/>
          <w:szCs w:val="24"/>
        </w:rPr>
        <w:t>      </w:t>
      </w:r>
      <w:r>
        <w:rPr>
          <w:rFonts w:ascii="仿宋" w:hAnsi="仿宋" w:eastAsia="仿宋"/>
          <w:sz w:val="24"/>
          <w:szCs w:val="24"/>
        </w:rPr>
        <w:t>人，营业收入为</w:t>
      </w:r>
      <w:r>
        <w:rPr>
          <w:rFonts w:ascii="Calibri" w:hAnsi="Calibri" w:eastAsia="仿宋" w:cs="Calibri"/>
          <w:sz w:val="24"/>
          <w:szCs w:val="24"/>
        </w:rPr>
        <w:t>      </w:t>
      </w:r>
      <w:r>
        <w:rPr>
          <w:rFonts w:ascii="仿宋" w:hAnsi="仿宋" w:eastAsia="仿宋"/>
          <w:sz w:val="24"/>
          <w:szCs w:val="24"/>
        </w:rPr>
        <w:t>万元，资产总额为</w:t>
      </w:r>
      <w:r>
        <w:rPr>
          <w:rFonts w:ascii="Calibri" w:hAnsi="Calibri" w:eastAsia="仿宋" w:cs="Calibri"/>
          <w:sz w:val="24"/>
          <w:szCs w:val="24"/>
        </w:rPr>
        <w:t>      </w:t>
      </w:r>
      <w:r>
        <w:rPr>
          <w:rFonts w:ascii="仿宋" w:hAnsi="仿宋" w:eastAsia="仿宋"/>
          <w:sz w:val="24"/>
          <w:szCs w:val="24"/>
        </w:rPr>
        <w:t>万元，属于</w:t>
      </w:r>
      <w:r>
        <w:rPr>
          <w:rFonts w:ascii="Calibri" w:hAnsi="Calibri" w:eastAsia="仿宋" w:cs="Calibri"/>
          <w:sz w:val="24"/>
          <w:szCs w:val="24"/>
        </w:rPr>
        <w:t>      </w:t>
      </w:r>
      <w:r>
        <w:rPr>
          <w:rFonts w:ascii="仿宋" w:hAnsi="仿宋" w:eastAsia="仿宋"/>
          <w:sz w:val="24"/>
          <w:szCs w:val="24"/>
        </w:rPr>
        <w:t>企业（选填中型企业、小型企业、微型企业）；</w:t>
      </w:r>
    </w:p>
    <w:p w14:paraId="3D20BAD6">
      <w:pPr>
        <w:spacing w:line="560" w:lineRule="exact"/>
        <w:ind w:firstLine="480" w:firstLineChars="200"/>
        <w:jc w:val="both"/>
        <w:rPr>
          <w:rFonts w:ascii="仿宋" w:hAnsi="仿宋" w:eastAsia="仿宋"/>
          <w:sz w:val="24"/>
          <w:szCs w:val="24"/>
        </w:rPr>
      </w:pPr>
      <w:r>
        <w:rPr>
          <w:rFonts w:ascii="仿宋" w:hAnsi="仿宋" w:eastAsia="仿宋"/>
          <w:sz w:val="24"/>
          <w:szCs w:val="24"/>
        </w:rPr>
        <w:t>2</w:t>
      </w:r>
      <w:r>
        <w:rPr>
          <w:rFonts w:hint="eastAsia" w:ascii="仿宋" w:hAnsi="仿宋" w:eastAsia="仿宋"/>
          <w:sz w:val="24"/>
          <w:szCs w:val="24"/>
        </w:rPr>
        <w:t>．</w:t>
      </w:r>
      <w:r>
        <w:rPr>
          <w:rFonts w:ascii="仿宋" w:hAnsi="仿宋" w:eastAsia="仿宋"/>
          <w:sz w:val="24"/>
          <w:szCs w:val="24"/>
        </w:rPr>
        <w:t>〈标的名称〉，属于〈采购文件中明确的所属行业〉；承接企业为〈企业名称〉，从业人员</w:t>
      </w:r>
      <w:r>
        <w:rPr>
          <w:rFonts w:ascii="Calibri" w:hAnsi="Calibri" w:eastAsia="仿宋" w:cs="Calibri"/>
          <w:sz w:val="24"/>
          <w:szCs w:val="24"/>
        </w:rPr>
        <w:t>      </w:t>
      </w:r>
      <w:r>
        <w:rPr>
          <w:rFonts w:ascii="仿宋" w:hAnsi="仿宋" w:eastAsia="仿宋"/>
          <w:sz w:val="24"/>
          <w:szCs w:val="24"/>
        </w:rPr>
        <w:t>人，营业收入为</w:t>
      </w:r>
      <w:r>
        <w:rPr>
          <w:rFonts w:ascii="Calibri" w:hAnsi="Calibri" w:eastAsia="仿宋" w:cs="Calibri"/>
          <w:sz w:val="24"/>
          <w:szCs w:val="24"/>
        </w:rPr>
        <w:t>      </w:t>
      </w:r>
      <w:r>
        <w:rPr>
          <w:rFonts w:ascii="仿宋" w:hAnsi="仿宋" w:eastAsia="仿宋"/>
          <w:sz w:val="24"/>
          <w:szCs w:val="24"/>
        </w:rPr>
        <w:t>万元，资产总额为</w:t>
      </w:r>
      <w:r>
        <w:rPr>
          <w:rFonts w:ascii="Calibri" w:hAnsi="Calibri" w:eastAsia="仿宋" w:cs="Calibri"/>
          <w:sz w:val="24"/>
          <w:szCs w:val="24"/>
        </w:rPr>
        <w:t>      </w:t>
      </w:r>
      <w:r>
        <w:rPr>
          <w:rFonts w:ascii="仿宋" w:hAnsi="仿宋" w:eastAsia="仿宋"/>
          <w:sz w:val="24"/>
          <w:szCs w:val="24"/>
        </w:rPr>
        <w:t>万元，属于</w:t>
      </w:r>
      <w:r>
        <w:rPr>
          <w:rFonts w:ascii="Calibri" w:hAnsi="Calibri" w:eastAsia="仿宋" w:cs="Calibri"/>
          <w:sz w:val="24"/>
          <w:szCs w:val="24"/>
        </w:rPr>
        <w:t>      </w:t>
      </w:r>
      <w:r>
        <w:rPr>
          <w:rFonts w:ascii="仿宋" w:hAnsi="仿宋" w:eastAsia="仿宋"/>
          <w:sz w:val="24"/>
          <w:szCs w:val="24"/>
        </w:rPr>
        <w:t>企业（选填中型企业、小型企业、微型企业）；</w:t>
      </w:r>
    </w:p>
    <w:p w14:paraId="2BAC683A">
      <w:pPr>
        <w:spacing w:line="560" w:lineRule="exact"/>
        <w:ind w:firstLine="480" w:firstLineChars="200"/>
        <w:jc w:val="both"/>
        <w:rPr>
          <w:rFonts w:ascii="仿宋" w:hAnsi="仿宋" w:eastAsia="仿宋"/>
          <w:sz w:val="24"/>
          <w:szCs w:val="24"/>
        </w:rPr>
      </w:pPr>
      <w:r>
        <w:rPr>
          <w:rFonts w:ascii="仿宋" w:hAnsi="仿宋" w:eastAsia="仿宋"/>
          <w:sz w:val="24"/>
          <w:szCs w:val="24"/>
        </w:rPr>
        <w:t>……</w:t>
      </w:r>
    </w:p>
    <w:p w14:paraId="102753A9">
      <w:pPr>
        <w:spacing w:line="560" w:lineRule="exact"/>
        <w:ind w:firstLine="480" w:firstLineChars="200"/>
        <w:jc w:val="both"/>
        <w:rPr>
          <w:rFonts w:ascii="仿宋" w:hAnsi="仿宋" w:eastAsia="仿宋"/>
          <w:sz w:val="24"/>
          <w:szCs w:val="24"/>
        </w:rPr>
      </w:pPr>
      <w:r>
        <w:rPr>
          <w:rFonts w:ascii="仿宋" w:hAnsi="仿宋" w:eastAsia="仿宋"/>
          <w:sz w:val="24"/>
          <w:szCs w:val="24"/>
        </w:rPr>
        <w:t>以上企业，不属于大企业的分支机构，不存在控股股东为大企业的情形，也不存在与大企业的负责人为同一人的情形。</w:t>
      </w:r>
    </w:p>
    <w:p w14:paraId="4FC14506">
      <w:pPr>
        <w:spacing w:line="560" w:lineRule="exact"/>
        <w:ind w:firstLine="480" w:firstLineChars="200"/>
        <w:jc w:val="both"/>
        <w:rPr>
          <w:rFonts w:ascii="仿宋" w:hAnsi="仿宋" w:eastAsia="仿宋"/>
          <w:sz w:val="24"/>
          <w:szCs w:val="24"/>
        </w:rPr>
      </w:pPr>
      <w:r>
        <w:rPr>
          <w:rFonts w:ascii="仿宋" w:hAnsi="仿宋" w:eastAsia="仿宋"/>
          <w:sz w:val="24"/>
          <w:szCs w:val="24"/>
        </w:rPr>
        <w:t>本企业对上述声明内容的真实性负责。如有虚假，将依法承担相应责任。</w:t>
      </w:r>
    </w:p>
    <w:p w14:paraId="4481CDB9">
      <w:pPr>
        <w:spacing w:line="560" w:lineRule="exact"/>
        <w:ind w:firstLine="480" w:firstLineChars="200"/>
        <w:jc w:val="both"/>
        <w:rPr>
          <w:rFonts w:ascii="仿宋" w:hAnsi="仿宋" w:eastAsia="仿宋"/>
          <w:sz w:val="24"/>
          <w:szCs w:val="24"/>
        </w:rPr>
      </w:pPr>
    </w:p>
    <w:p w14:paraId="42BE042E">
      <w:pPr>
        <w:spacing w:line="560" w:lineRule="exact"/>
        <w:ind w:firstLine="2445" w:firstLineChars="1019"/>
        <w:jc w:val="both"/>
        <w:rPr>
          <w:rFonts w:ascii="仿宋" w:hAnsi="仿宋" w:eastAsia="仿宋"/>
          <w:sz w:val="24"/>
          <w:szCs w:val="24"/>
        </w:rPr>
      </w:pPr>
      <w:r>
        <w:rPr>
          <w:rFonts w:ascii="仿宋" w:hAnsi="仿宋" w:eastAsia="仿宋"/>
          <w:sz w:val="24"/>
          <w:szCs w:val="24"/>
        </w:rPr>
        <w:t>供应商：（供应商全称并加盖公章）</w:t>
      </w:r>
    </w:p>
    <w:p w14:paraId="0EB3279D">
      <w:pPr>
        <w:spacing w:line="560" w:lineRule="exact"/>
        <w:ind w:firstLine="2445" w:firstLineChars="1019"/>
        <w:jc w:val="both"/>
        <w:rPr>
          <w:rFonts w:ascii="仿宋" w:hAnsi="仿宋" w:eastAsia="仿宋"/>
          <w:sz w:val="24"/>
          <w:szCs w:val="24"/>
        </w:rPr>
      </w:pPr>
      <w:r>
        <w:rPr>
          <w:rFonts w:ascii="仿宋" w:hAnsi="仿宋" w:eastAsia="仿宋"/>
          <w:sz w:val="24"/>
          <w:szCs w:val="24"/>
        </w:rPr>
        <w:t>日  期：    年  月  日</w:t>
      </w:r>
    </w:p>
    <w:p w14:paraId="47F0BEE3">
      <w:pPr>
        <w:pStyle w:val="12"/>
        <w:pageBreakBefore w:val="0"/>
        <w:numPr>
          <w:ilvl w:val="0"/>
          <w:numId w:val="0"/>
        </w:numPr>
        <w:kinsoku/>
        <w:wordWrap/>
        <w:overflowPunct/>
        <w:topLinePunct w:val="0"/>
        <w:autoSpaceDE/>
        <w:autoSpaceDN/>
        <w:bidi w:val="0"/>
        <w:spacing w:line="360" w:lineRule="auto"/>
        <w:jc w:val="both"/>
        <w:rPr>
          <w:rFonts w:hint="default"/>
          <w:color w:val="auto"/>
          <w:spacing w:val="0"/>
          <w:sz w:val="24"/>
          <w:szCs w:val="24"/>
          <w:highlight w:val="none"/>
          <w:lang w:val="en-US" w:eastAsia="zh-CN"/>
        </w:rPr>
      </w:pPr>
    </w:p>
    <w:p w14:paraId="31C0C6FD">
      <w:pPr>
        <w:pStyle w:val="12"/>
        <w:pageBreakBefore w:val="0"/>
        <w:numPr>
          <w:ilvl w:val="0"/>
          <w:numId w:val="0"/>
        </w:numPr>
        <w:kinsoku/>
        <w:wordWrap/>
        <w:overflowPunct/>
        <w:topLinePunct w:val="0"/>
        <w:autoSpaceDE/>
        <w:autoSpaceDN/>
        <w:bidi w:val="0"/>
        <w:spacing w:line="360" w:lineRule="auto"/>
        <w:jc w:val="both"/>
        <w:rPr>
          <w:rFonts w:hint="default"/>
          <w:color w:val="auto"/>
          <w:spacing w:val="0"/>
          <w:sz w:val="24"/>
          <w:szCs w:val="24"/>
          <w:highlight w:val="none"/>
          <w:lang w:val="en-US" w:eastAsia="zh-CN"/>
        </w:rPr>
      </w:pPr>
    </w:p>
    <w:p w14:paraId="259AC5BA">
      <w:pPr>
        <w:pStyle w:val="12"/>
        <w:pageBreakBefore w:val="0"/>
        <w:numPr>
          <w:ilvl w:val="0"/>
          <w:numId w:val="0"/>
        </w:numPr>
        <w:kinsoku/>
        <w:wordWrap/>
        <w:overflowPunct/>
        <w:topLinePunct w:val="0"/>
        <w:autoSpaceDE/>
        <w:autoSpaceDN/>
        <w:bidi w:val="0"/>
        <w:spacing w:line="360" w:lineRule="auto"/>
        <w:jc w:val="both"/>
        <w:rPr>
          <w:rFonts w:hint="default"/>
          <w:color w:val="auto"/>
          <w:spacing w:val="0"/>
          <w:sz w:val="24"/>
          <w:szCs w:val="24"/>
          <w:highlight w:val="none"/>
          <w:lang w:val="en-US" w:eastAsia="zh-CN"/>
        </w:rPr>
      </w:pPr>
    </w:p>
    <w:p w14:paraId="565902DC">
      <w:pPr>
        <w:pStyle w:val="12"/>
        <w:pageBreakBefore w:val="0"/>
        <w:numPr>
          <w:ilvl w:val="0"/>
          <w:numId w:val="0"/>
        </w:numPr>
        <w:kinsoku/>
        <w:wordWrap/>
        <w:overflowPunct/>
        <w:topLinePunct w:val="0"/>
        <w:autoSpaceDE/>
        <w:autoSpaceDN/>
        <w:bidi w:val="0"/>
        <w:spacing w:line="360" w:lineRule="auto"/>
        <w:jc w:val="both"/>
        <w:rPr>
          <w:rFonts w:hint="default"/>
          <w:color w:val="auto"/>
          <w:spacing w:val="0"/>
          <w:sz w:val="24"/>
          <w:szCs w:val="24"/>
          <w:highlight w:val="none"/>
          <w:lang w:val="en-US" w:eastAsia="zh-CN"/>
        </w:rPr>
      </w:pPr>
    </w:p>
    <w:p w14:paraId="4D8078FD">
      <w:pPr>
        <w:pStyle w:val="5"/>
        <w:jc w:val="center"/>
        <w:rPr>
          <w:rFonts w:hint="eastAsia"/>
          <w:sz w:val="28"/>
          <w:szCs w:val="36"/>
        </w:rPr>
      </w:pPr>
      <w:r>
        <w:rPr>
          <w:rFonts w:hint="eastAsia"/>
          <w:sz w:val="28"/>
          <w:szCs w:val="36"/>
        </w:rPr>
        <w:t>残疾人福利性单位声明函（格式）</w:t>
      </w:r>
    </w:p>
    <w:p w14:paraId="1836D3C2"/>
    <w:p w14:paraId="54761268">
      <w:pPr>
        <w:spacing w:line="560" w:lineRule="exact"/>
        <w:ind w:firstLine="480" w:firstLineChars="200"/>
        <w:jc w:val="both"/>
        <w:rPr>
          <w:rFonts w:ascii="仿宋" w:hAnsi="仿宋" w:eastAsia="仿宋"/>
          <w:sz w:val="24"/>
          <w:szCs w:val="24"/>
        </w:rPr>
      </w:pPr>
      <w:r>
        <w:rPr>
          <w:rFonts w:ascii="仿宋" w:hAnsi="仿宋" w:eastAsia="仿宋"/>
          <w:sz w:val="24"/>
          <w:szCs w:val="24"/>
        </w:rPr>
        <w:t>本单位郑重声明，根据《财政部 民政部 中国残疾人联合会关于促进残疾人就业政府采购政策的通知》（财库〔2017〕141号）的规定，本单位为符合条件的残疾人福利性单位，且本单位参加〈项目名称〉（项目编号：〈项目编号〉）第___标段采购活动提供本单位制造的货物（由本单位承担工程/提供服务），或者提供其他残疾人福利性单位制造的货物（不包括使用非残疾人福利性单位注册商标的货物）。</w:t>
      </w:r>
    </w:p>
    <w:p w14:paraId="50AD06BB">
      <w:pPr>
        <w:spacing w:line="560" w:lineRule="exact"/>
        <w:ind w:firstLine="480" w:firstLineChars="200"/>
        <w:jc w:val="both"/>
        <w:rPr>
          <w:rFonts w:ascii="仿宋" w:hAnsi="仿宋" w:eastAsia="仿宋"/>
          <w:sz w:val="24"/>
          <w:szCs w:val="24"/>
        </w:rPr>
      </w:pPr>
      <w:r>
        <w:rPr>
          <w:rFonts w:ascii="仿宋" w:hAnsi="仿宋" w:eastAsia="仿宋"/>
          <w:sz w:val="24"/>
          <w:szCs w:val="24"/>
        </w:rPr>
        <w:t>本单位对上述声明的真实性负责。如有虚假，将依法承担相应责任。</w:t>
      </w:r>
    </w:p>
    <w:p w14:paraId="18E823CE">
      <w:pPr>
        <w:spacing w:line="560" w:lineRule="exact"/>
        <w:ind w:firstLine="480" w:firstLineChars="200"/>
        <w:jc w:val="both"/>
        <w:rPr>
          <w:rFonts w:ascii="仿宋" w:hAnsi="仿宋" w:eastAsia="仿宋"/>
          <w:sz w:val="24"/>
          <w:szCs w:val="24"/>
        </w:rPr>
      </w:pPr>
    </w:p>
    <w:p w14:paraId="1CB25095">
      <w:pPr>
        <w:spacing w:line="560" w:lineRule="exact"/>
        <w:ind w:firstLine="3120" w:firstLineChars="1300"/>
        <w:jc w:val="both"/>
        <w:rPr>
          <w:rFonts w:ascii="仿宋" w:hAnsi="仿宋" w:eastAsia="仿宋"/>
          <w:sz w:val="24"/>
          <w:szCs w:val="24"/>
        </w:rPr>
      </w:pPr>
      <w:r>
        <w:rPr>
          <w:rFonts w:ascii="仿宋" w:hAnsi="仿宋" w:eastAsia="仿宋"/>
          <w:sz w:val="24"/>
          <w:szCs w:val="24"/>
        </w:rPr>
        <w:t>供应商：（供应商全称并加盖公章）</w:t>
      </w:r>
    </w:p>
    <w:p w14:paraId="7FCA2730">
      <w:pPr>
        <w:spacing w:line="560" w:lineRule="exact"/>
        <w:ind w:firstLine="3120" w:firstLineChars="1300"/>
        <w:jc w:val="both"/>
        <w:rPr>
          <w:rFonts w:ascii="仿宋" w:hAnsi="仿宋" w:eastAsia="仿宋"/>
          <w:sz w:val="24"/>
          <w:szCs w:val="24"/>
        </w:rPr>
      </w:pPr>
      <w:r>
        <w:rPr>
          <w:rFonts w:ascii="仿宋" w:hAnsi="仿宋" w:eastAsia="仿宋"/>
          <w:sz w:val="24"/>
          <w:szCs w:val="24"/>
        </w:rPr>
        <w:t>日  期：    年  月  日</w:t>
      </w:r>
    </w:p>
    <w:p w14:paraId="094E4C16">
      <w:pPr>
        <w:spacing w:line="560" w:lineRule="exact"/>
        <w:ind w:firstLine="480" w:firstLineChars="200"/>
        <w:jc w:val="both"/>
        <w:rPr>
          <w:rFonts w:ascii="仿宋" w:hAnsi="仿宋" w:eastAsia="仿宋"/>
          <w:sz w:val="24"/>
          <w:szCs w:val="24"/>
        </w:rPr>
      </w:pPr>
      <w:r>
        <w:rPr>
          <w:rFonts w:ascii="仿宋" w:hAnsi="仿宋" w:eastAsia="仿宋"/>
          <w:sz w:val="24"/>
          <w:szCs w:val="24"/>
        </w:rPr>
        <w:br w:type="page"/>
      </w:r>
    </w:p>
    <w:p w14:paraId="4BECC1C6">
      <w:pPr>
        <w:spacing w:line="560" w:lineRule="exact"/>
        <w:ind w:firstLine="562" w:firstLineChars="200"/>
        <w:jc w:val="center"/>
        <w:rPr>
          <w:rFonts w:ascii="仿宋" w:hAnsi="仿宋" w:eastAsia="仿宋"/>
          <w:b/>
          <w:bCs/>
          <w:sz w:val="28"/>
          <w:szCs w:val="28"/>
        </w:rPr>
      </w:pPr>
      <w:r>
        <w:rPr>
          <w:rFonts w:ascii="仿宋" w:hAnsi="仿宋" w:eastAsia="仿宋"/>
          <w:b/>
          <w:bCs/>
          <w:sz w:val="28"/>
          <w:szCs w:val="28"/>
        </w:rPr>
        <w:t>监狱企业证明函</w:t>
      </w:r>
    </w:p>
    <w:p w14:paraId="54D2A072">
      <w:pPr>
        <w:spacing w:line="560" w:lineRule="exact"/>
        <w:ind w:firstLine="480" w:firstLineChars="200"/>
        <w:jc w:val="both"/>
        <w:rPr>
          <w:rFonts w:ascii="仿宋" w:hAnsi="仿宋" w:eastAsia="仿宋"/>
          <w:sz w:val="24"/>
          <w:szCs w:val="24"/>
        </w:rPr>
      </w:pPr>
      <w:r>
        <w:rPr>
          <w:rFonts w:ascii="仿宋" w:hAnsi="仿宋" w:eastAsia="仿宋"/>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621540">
      <w:pPr>
        <w:spacing w:line="560" w:lineRule="exact"/>
        <w:ind w:firstLine="480" w:firstLineChars="200"/>
        <w:jc w:val="both"/>
        <w:rPr>
          <w:rFonts w:ascii="仿宋" w:hAnsi="仿宋" w:eastAsia="仿宋"/>
          <w:sz w:val="24"/>
          <w:szCs w:val="24"/>
        </w:rPr>
      </w:pPr>
      <w:r>
        <w:rPr>
          <w:rFonts w:ascii="仿宋" w:hAnsi="仿宋" w:eastAsia="仿宋"/>
          <w:sz w:val="24"/>
          <w:szCs w:val="24"/>
        </w:rPr>
        <w:t>监狱企业参加政府采购活动时，应当提供由省级以上监狱管理局、戒毒管理局（含新疆生产建设兵团）出具的属于监狱企业的证明文件。</w:t>
      </w:r>
    </w:p>
    <w:p w14:paraId="6115F29B">
      <w:pPr>
        <w:spacing w:line="560" w:lineRule="exact"/>
        <w:jc w:val="both"/>
        <w:rPr>
          <w:rFonts w:hint="default"/>
          <w:color w:val="auto"/>
          <w:spacing w:val="0"/>
          <w:sz w:val="24"/>
          <w:szCs w:val="24"/>
          <w:highlight w:val="none"/>
          <w:lang w:val="en-US" w:eastAsia="zh-CN"/>
        </w:rPr>
      </w:pPr>
    </w:p>
    <w:sectPr>
      <w:headerReference r:id="rId6"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B967E">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7BD656">
                          <w:pPr>
                            <w:pStyle w:val="9"/>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7BD656">
                    <w:pPr>
                      <w:pStyle w:val="9"/>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2720B">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0F41DD">
                          <w:pPr>
                            <w:pStyle w:val="9"/>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40F41DD">
                    <w:pPr>
                      <w:pStyle w:val="9"/>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D14D6">
    <w:pPr>
      <w:tabs>
        <w:tab w:val="center" w:pos="4153"/>
        <w:tab w:val="right" w:pos="8306"/>
      </w:tabs>
      <w:rPr>
        <w:rFonts w:hint="eastAsia" w:ascii="宋体" w:cs="宋体"/>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143945">
                          <w:pPr>
                            <w:pStyle w:val="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4143945">
                    <w:pPr>
                      <w:pStyle w:val="9"/>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9E68A">
    <w:pPr>
      <w:pStyle w:val="10"/>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28527">
    <w:pPr>
      <w:adjustRightInd w:val="0"/>
      <w:snapToGrid w:val="0"/>
      <w:spacing w:line="360" w:lineRule="auto"/>
      <w:ind w:left="630" w:hanging="540" w:hangingChars="300"/>
      <w:jc w:val="left"/>
      <w:rPr>
        <w:rFonts w:hint="eastAsia" w:eastAsia="仿宋"/>
        <w:sz w:val="18"/>
        <w:szCs w:val="18"/>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0A4BA0"/>
    <w:multiLevelType w:val="singleLevel"/>
    <w:tmpl w:val="E60A4BA0"/>
    <w:lvl w:ilvl="0" w:tentative="0">
      <w:start w:val="1"/>
      <w:numFmt w:val="decimal"/>
      <w:lvlText w:val="%1."/>
      <w:lvlJc w:val="left"/>
      <w:pPr>
        <w:tabs>
          <w:tab w:val="left" w:pos="312"/>
        </w:tabs>
      </w:pPr>
    </w:lvl>
  </w:abstractNum>
  <w:abstractNum w:abstractNumId="1">
    <w:nsid w:val="0A14628B"/>
    <w:multiLevelType w:val="multilevel"/>
    <w:tmpl w:val="0A14628B"/>
    <w:lvl w:ilvl="0" w:tentative="0">
      <w:start w:val="1"/>
      <w:numFmt w:val="chineseCountingThousand"/>
      <w:pStyle w:val="3"/>
      <w:suff w:val="nothing"/>
      <w:lvlText w:val="第%1章"/>
      <w:lvlJc w:val="left"/>
      <w:pPr>
        <w:ind w:left="3570" w:firstLine="0"/>
      </w:pPr>
    </w:lvl>
    <w:lvl w:ilvl="1" w:tentative="0">
      <w:start w:val="1"/>
      <w:numFmt w:val="none"/>
      <w:suff w:val="nothing"/>
      <w:lvlText w:val=""/>
      <w:lvlJc w:val="left"/>
      <w:pPr>
        <w:ind w:left="1050" w:firstLine="0"/>
      </w:pPr>
    </w:lvl>
    <w:lvl w:ilvl="2" w:tentative="0">
      <w:start w:val="1"/>
      <w:numFmt w:val="none"/>
      <w:suff w:val="nothing"/>
      <w:lvlText w:val=""/>
      <w:lvlJc w:val="left"/>
      <w:pPr>
        <w:ind w:left="1050" w:firstLine="0"/>
      </w:pPr>
    </w:lvl>
    <w:lvl w:ilvl="3" w:tentative="0">
      <w:start w:val="1"/>
      <w:numFmt w:val="none"/>
      <w:suff w:val="nothing"/>
      <w:lvlText w:val=""/>
      <w:lvlJc w:val="left"/>
      <w:pPr>
        <w:ind w:left="1050" w:firstLine="0"/>
      </w:pPr>
    </w:lvl>
    <w:lvl w:ilvl="4" w:tentative="0">
      <w:start w:val="1"/>
      <w:numFmt w:val="none"/>
      <w:suff w:val="nothing"/>
      <w:lvlText w:val=""/>
      <w:lvlJc w:val="left"/>
      <w:pPr>
        <w:ind w:left="1050" w:firstLine="0"/>
      </w:pPr>
    </w:lvl>
    <w:lvl w:ilvl="5" w:tentative="0">
      <w:start w:val="1"/>
      <w:numFmt w:val="none"/>
      <w:suff w:val="nothing"/>
      <w:lvlText w:val=""/>
      <w:lvlJc w:val="left"/>
      <w:pPr>
        <w:ind w:left="1050" w:firstLine="0"/>
      </w:pPr>
    </w:lvl>
    <w:lvl w:ilvl="6" w:tentative="0">
      <w:start w:val="1"/>
      <w:numFmt w:val="none"/>
      <w:suff w:val="nothing"/>
      <w:lvlText w:val=""/>
      <w:lvlJc w:val="left"/>
      <w:pPr>
        <w:ind w:left="1050" w:firstLine="0"/>
      </w:pPr>
    </w:lvl>
    <w:lvl w:ilvl="7" w:tentative="0">
      <w:start w:val="1"/>
      <w:numFmt w:val="none"/>
      <w:suff w:val="nothing"/>
      <w:lvlText w:val=""/>
      <w:lvlJc w:val="left"/>
      <w:pPr>
        <w:ind w:left="1050" w:firstLine="0"/>
      </w:pPr>
    </w:lvl>
    <w:lvl w:ilvl="8" w:tentative="0">
      <w:start w:val="1"/>
      <w:numFmt w:val="none"/>
      <w:suff w:val="nothing"/>
      <w:lvlText w:val=""/>
      <w:lvlJc w:val="left"/>
      <w:pPr>
        <w:ind w:left="105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3YzBmYzIxN2UwNDAyMTEzOWRlNTM2MDFlMDU1ZDUifQ=="/>
  </w:docVars>
  <w:rsids>
    <w:rsidRoot w:val="00000000"/>
    <w:rsid w:val="003752C8"/>
    <w:rsid w:val="008D313A"/>
    <w:rsid w:val="00BD2612"/>
    <w:rsid w:val="013B1380"/>
    <w:rsid w:val="01596170"/>
    <w:rsid w:val="01727CDB"/>
    <w:rsid w:val="018F6A3E"/>
    <w:rsid w:val="0194234B"/>
    <w:rsid w:val="01A569BB"/>
    <w:rsid w:val="01F76F0D"/>
    <w:rsid w:val="01FA184C"/>
    <w:rsid w:val="021E2E49"/>
    <w:rsid w:val="02D7127F"/>
    <w:rsid w:val="030C16AD"/>
    <w:rsid w:val="03870314"/>
    <w:rsid w:val="045E3F28"/>
    <w:rsid w:val="04610B65"/>
    <w:rsid w:val="04D35DBB"/>
    <w:rsid w:val="04F82F47"/>
    <w:rsid w:val="050414F1"/>
    <w:rsid w:val="054162A1"/>
    <w:rsid w:val="055C4265"/>
    <w:rsid w:val="058F525E"/>
    <w:rsid w:val="05AD3E1F"/>
    <w:rsid w:val="062068C7"/>
    <w:rsid w:val="068A2620"/>
    <w:rsid w:val="073956FB"/>
    <w:rsid w:val="07442078"/>
    <w:rsid w:val="076444C8"/>
    <w:rsid w:val="077056AA"/>
    <w:rsid w:val="07852108"/>
    <w:rsid w:val="07AE2FE1"/>
    <w:rsid w:val="07BA7EBC"/>
    <w:rsid w:val="07ED44BE"/>
    <w:rsid w:val="089C0B27"/>
    <w:rsid w:val="08C13D12"/>
    <w:rsid w:val="09FC6BDF"/>
    <w:rsid w:val="0A0338DA"/>
    <w:rsid w:val="0A237AC1"/>
    <w:rsid w:val="0A6202DD"/>
    <w:rsid w:val="0AAF511C"/>
    <w:rsid w:val="0C3E178C"/>
    <w:rsid w:val="0C476893"/>
    <w:rsid w:val="0C670973"/>
    <w:rsid w:val="0CEC13A6"/>
    <w:rsid w:val="0D5F5E5E"/>
    <w:rsid w:val="0D946F68"/>
    <w:rsid w:val="0DEB03E3"/>
    <w:rsid w:val="0E2F75DE"/>
    <w:rsid w:val="0E320E7D"/>
    <w:rsid w:val="0E695C3E"/>
    <w:rsid w:val="0E9F7C6D"/>
    <w:rsid w:val="0EAD043E"/>
    <w:rsid w:val="0F452EBE"/>
    <w:rsid w:val="0F5F6B50"/>
    <w:rsid w:val="0FC24FD2"/>
    <w:rsid w:val="0FFA72E8"/>
    <w:rsid w:val="1026710D"/>
    <w:rsid w:val="10521CAA"/>
    <w:rsid w:val="10D32416"/>
    <w:rsid w:val="10FB5449"/>
    <w:rsid w:val="11160F9C"/>
    <w:rsid w:val="111E51EC"/>
    <w:rsid w:val="11595733"/>
    <w:rsid w:val="11DB7836"/>
    <w:rsid w:val="11F03528"/>
    <w:rsid w:val="1221647B"/>
    <w:rsid w:val="124C0B60"/>
    <w:rsid w:val="12544D3B"/>
    <w:rsid w:val="128C0F08"/>
    <w:rsid w:val="13713CFE"/>
    <w:rsid w:val="139D4DD9"/>
    <w:rsid w:val="13C83C09"/>
    <w:rsid w:val="14495735"/>
    <w:rsid w:val="14572CC8"/>
    <w:rsid w:val="14681A9C"/>
    <w:rsid w:val="147F2942"/>
    <w:rsid w:val="14A45597"/>
    <w:rsid w:val="14C8078D"/>
    <w:rsid w:val="14D0319D"/>
    <w:rsid w:val="16332B67"/>
    <w:rsid w:val="16353C00"/>
    <w:rsid w:val="165777C8"/>
    <w:rsid w:val="1683656F"/>
    <w:rsid w:val="17702FAF"/>
    <w:rsid w:val="17767996"/>
    <w:rsid w:val="1813407D"/>
    <w:rsid w:val="182643EE"/>
    <w:rsid w:val="18595CA5"/>
    <w:rsid w:val="18BF0CE2"/>
    <w:rsid w:val="18D53478"/>
    <w:rsid w:val="18ED2570"/>
    <w:rsid w:val="1919474E"/>
    <w:rsid w:val="192E3C16"/>
    <w:rsid w:val="1A3B37AF"/>
    <w:rsid w:val="1A5B5BFF"/>
    <w:rsid w:val="1A6E2630"/>
    <w:rsid w:val="1A7B3BAB"/>
    <w:rsid w:val="1AB1581F"/>
    <w:rsid w:val="1AFC0BA0"/>
    <w:rsid w:val="1B4F48FB"/>
    <w:rsid w:val="1C7E6481"/>
    <w:rsid w:val="1CCB5596"/>
    <w:rsid w:val="1CE67A02"/>
    <w:rsid w:val="1D384B9B"/>
    <w:rsid w:val="1D41732E"/>
    <w:rsid w:val="1D976D8E"/>
    <w:rsid w:val="1E831280"/>
    <w:rsid w:val="1E883B95"/>
    <w:rsid w:val="1EA7635C"/>
    <w:rsid w:val="1EB34F18"/>
    <w:rsid w:val="1EE95587"/>
    <w:rsid w:val="1F204759"/>
    <w:rsid w:val="1F244811"/>
    <w:rsid w:val="1F2B3EFC"/>
    <w:rsid w:val="1FF42436"/>
    <w:rsid w:val="20036B1D"/>
    <w:rsid w:val="20562098"/>
    <w:rsid w:val="21C916A0"/>
    <w:rsid w:val="21EC7076"/>
    <w:rsid w:val="21FA0651"/>
    <w:rsid w:val="224F429B"/>
    <w:rsid w:val="22BD78BA"/>
    <w:rsid w:val="2317627C"/>
    <w:rsid w:val="237D5C51"/>
    <w:rsid w:val="23F330BC"/>
    <w:rsid w:val="244514B2"/>
    <w:rsid w:val="24696511"/>
    <w:rsid w:val="25056E93"/>
    <w:rsid w:val="251B25CC"/>
    <w:rsid w:val="25202314"/>
    <w:rsid w:val="25333A00"/>
    <w:rsid w:val="257052FE"/>
    <w:rsid w:val="258C1362"/>
    <w:rsid w:val="25E42334"/>
    <w:rsid w:val="2601765A"/>
    <w:rsid w:val="26480558"/>
    <w:rsid w:val="27C546B8"/>
    <w:rsid w:val="27D41060"/>
    <w:rsid w:val="282F0238"/>
    <w:rsid w:val="286A25B3"/>
    <w:rsid w:val="28A1336A"/>
    <w:rsid w:val="28C70E21"/>
    <w:rsid w:val="290C02F9"/>
    <w:rsid w:val="29886604"/>
    <w:rsid w:val="29E277A3"/>
    <w:rsid w:val="29F83728"/>
    <w:rsid w:val="2A182500"/>
    <w:rsid w:val="2A71753F"/>
    <w:rsid w:val="2A7F4FF2"/>
    <w:rsid w:val="2A8B24AA"/>
    <w:rsid w:val="2B08148B"/>
    <w:rsid w:val="2B95250D"/>
    <w:rsid w:val="2BEB6DE3"/>
    <w:rsid w:val="2C9254B0"/>
    <w:rsid w:val="2D072E83"/>
    <w:rsid w:val="2D341966"/>
    <w:rsid w:val="2DAE631A"/>
    <w:rsid w:val="2DE328CA"/>
    <w:rsid w:val="2E4C78E1"/>
    <w:rsid w:val="2EA66FF1"/>
    <w:rsid w:val="2EBD74F1"/>
    <w:rsid w:val="2EC5179C"/>
    <w:rsid w:val="2ECE02F6"/>
    <w:rsid w:val="2EF0730E"/>
    <w:rsid w:val="2EF40959"/>
    <w:rsid w:val="2F89665E"/>
    <w:rsid w:val="2F8B5017"/>
    <w:rsid w:val="2F914908"/>
    <w:rsid w:val="2FAF7047"/>
    <w:rsid w:val="2FDB19F5"/>
    <w:rsid w:val="2FF95846"/>
    <w:rsid w:val="30002F2C"/>
    <w:rsid w:val="303E0A30"/>
    <w:rsid w:val="3043704D"/>
    <w:rsid w:val="305C0B80"/>
    <w:rsid w:val="30C47C02"/>
    <w:rsid w:val="31413001"/>
    <w:rsid w:val="314309AE"/>
    <w:rsid w:val="31532B73"/>
    <w:rsid w:val="31E83DC4"/>
    <w:rsid w:val="32210EA9"/>
    <w:rsid w:val="323C0CD4"/>
    <w:rsid w:val="32807B59"/>
    <w:rsid w:val="32D63A96"/>
    <w:rsid w:val="340F1CAD"/>
    <w:rsid w:val="347250E2"/>
    <w:rsid w:val="348F6779"/>
    <w:rsid w:val="34C00E2E"/>
    <w:rsid w:val="34C53F49"/>
    <w:rsid w:val="34FB70FA"/>
    <w:rsid w:val="35485413"/>
    <w:rsid w:val="35784299"/>
    <w:rsid w:val="35843E04"/>
    <w:rsid w:val="35DA4829"/>
    <w:rsid w:val="3659618D"/>
    <w:rsid w:val="36932E53"/>
    <w:rsid w:val="36BE0D26"/>
    <w:rsid w:val="36E25E62"/>
    <w:rsid w:val="37797999"/>
    <w:rsid w:val="37981632"/>
    <w:rsid w:val="37DA7D33"/>
    <w:rsid w:val="37DC5CF3"/>
    <w:rsid w:val="37DE3C9F"/>
    <w:rsid w:val="37E1553E"/>
    <w:rsid w:val="37F25055"/>
    <w:rsid w:val="38563836"/>
    <w:rsid w:val="38657F1D"/>
    <w:rsid w:val="3906275B"/>
    <w:rsid w:val="394F3D99"/>
    <w:rsid w:val="39605837"/>
    <w:rsid w:val="39774F2D"/>
    <w:rsid w:val="39BC591B"/>
    <w:rsid w:val="3A3A2525"/>
    <w:rsid w:val="3A461688"/>
    <w:rsid w:val="3B3836C7"/>
    <w:rsid w:val="3B9C002B"/>
    <w:rsid w:val="3C414BE2"/>
    <w:rsid w:val="3C47330E"/>
    <w:rsid w:val="3C5C5193"/>
    <w:rsid w:val="3D357489"/>
    <w:rsid w:val="3D766728"/>
    <w:rsid w:val="3DEB2C72"/>
    <w:rsid w:val="3E353C3E"/>
    <w:rsid w:val="3E3D2DA2"/>
    <w:rsid w:val="3E861065"/>
    <w:rsid w:val="3EF67D02"/>
    <w:rsid w:val="3F460CDA"/>
    <w:rsid w:val="3F6F1681"/>
    <w:rsid w:val="3FA3677E"/>
    <w:rsid w:val="41251FF4"/>
    <w:rsid w:val="41412BA9"/>
    <w:rsid w:val="41442ACE"/>
    <w:rsid w:val="419D6C2A"/>
    <w:rsid w:val="41BB6E00"/>
    <w:rsid w:val="421F113C"/>
    <w:rsid w:val="42921769"/>
    <w:rsid w:val="42922EC4"/>
    <w:rsid w:val="42B775C7"/>
    <w:rsid w:val="437102E7"/>
    <w:rsid w:val="437367CF"/>
    <w:rsid w:val="439416B6"/>
    <w:rsid w:val="43DB5537"/>
    <w:rsid w:val="44093E52"/>
    <w:rsid w:val="4413082D"/>
    <w:rsid w:val="441B3663"/>
    <w:rsid w:val="4439564D"/>
    <w:rsid w:val="44915BF6"/>
    <w:rsid w:val="44E93C84"/>
    <w:rsid w:val="45370E34"/>
    <w:rsid w:val="45390767"/>
    <w:rsid w:val="45ED7E83"/>
    <w:rsid w:val="460C7E50"/>
    <w:rsid w:val="46362EF9"/>
    <w:rsid w:val="46A17493"/>
    <w:rsid w:val="471F398D"/>
    <w:rsid w:val="47411A25"/>
    <w:rsid w:val="476E0A79"/>
    <w:rsid w:val="476F792F"/>
    <w:rsid w:val="47764802"/>
    <w:rsid w:val="47FD3CCE"/>
    <w:rsid w:val="48355234"/>
    <w:rsid w:val="49635DB3"/>
    <w:rsid w:val="49836455"/>
    <w:rsid w:val="49D444F2"/>
    <w:rsid w:val="4A033835"/>
    <w:rsid w:val="4A2C089A"/>
    <w:rsid w:val="4A370CF0"/>
    <w:rsid w:val="4A723167"/>
    <w:rsid w:val="4A726784"/>
    <w:rsid w:val="4A82495E"/>
    <w:rsid w:val="4A8E633D"/>
    <w:rsid w:val="4AAB1213"/>
    <w:rsid w:val="4B515B2C"/>
    <w:rsid w:val="4BAB3A41"/>
    <w:rsid w:val="4BB06E38"/>
    <w:rsid w:val="4C0046C5"/>
    <w:rsid w:val="4CBB7CB4"/>
    <w:rsid w:val="4D0E24D9"/>
    <w:rsid w:val="4D7F0CE1"/>
    <w:rsid w:val="4D8A26F9"/>
    <w:rsid w:val="4E4D5283"/>
    <w:rsid w:val="4E6A7BE3"/>
    <w:rsid w:val="4E865440"/>
    <w:rsid w:val="4EBD70EC"/>
    <w:rsid w:val="4F6C1846"/>
    <w:rsid w:val="4F8E6075"/>
    <w:rsid w:val="4FE65048"/>
    <w:rsid w:val="502C7CDA"/>
    <w:rsid w:val="50842082"/>
    <w:rsid w:val="50F6750C"/>
    <w:rsid w:val="51387E45"/>
    <w:rsid w:val="513B0462"/>
    <w:rsid w:val="51402E7D"/>
    <w:rsid w:val="51764AF1"/>
    <w:rsid w:val="519C5F16"/>
    <w:rsid w:val="521265C8"/>
    <w:rsid w:val="52EA0D9B"/>
    <w:rsid w:val="53390DB8"/>
    <w:rsid w:val="53404312"/>
    <w:rsid w:val="54002960"/>
    <w:rsid w:val="541859EC"/>
    <w:rsid w:val="54B22423"/>
    <w:rsid w:val="553F5481"/>
    <w:rsid w:val="557F4458"/>
    <w:rsid w:val="561B5291"/>
    <w:rsid w:val="58896EB8"/>
    <w:rsid w:val="58B0715E"/>
    <w:rsid w:val="592C2E3F"/>
    <w:rsid w:val="59946F61"/>
    <w:rsid w:val="5A7871E4"/>
    <w:rsid w:val="5ADF3707"/>
    <w:rsid w:val="5AE6402F"/>
    <w:rsid w:val="5AF87D3E"/>
    <w:rsid w:val="5BEE2B88"/>
    <w:rsid w:val="5C4C67D3"/>
    <w:rsid w:val="5C9255F5"/>
    <w:rsid w:val="5D3B2930"/>
    <w:rsid w:val="5E2C0A11"/>
    <w:rsid w:val="5E5B4E53"/>
    <w:rsid w:val="5E7345AC"/>
    <w:rsid w:val="5EDA582F"/>
    <w:rsid w:val="5F11758E"/>
    <w:rsid w:val="5FD665C0"/>
    <w:rsid w:val="5FE92C15"/>
    <w:rsid w:val="61336960"/>
    <w:rsid w:val="614A57AA"/>
    <w:rsid w:val="615D0EE2"/>
    <w:rsid w:val="620A47A1"/>
    <w:rsid w:val="62AD6F2D"/>
    <w:rsid w:val="63512CC8"/>
    <w:rsid w:val="63B15515"/>
    <w:rsid w:val="63B3622D"/>
    <w:rsid w:val="65B55790"/>
    <w:rsid w:val="66342560"/>
    <w:rsid w:val="6663343E"/>
    <w:rsid w:val="66AF21DF"/>
    <w:rsid w:val="67144738"/>
    <w:rsid w:val="672E57FA"/>
    <w:rsid w:val="6764121C"/>
    <w:rsid w:val="67AE157E"/>
    <w:rsid w:val="682167A1"/>
    <w:rsid w:val="68394B99"/>
    <w:rsid w:val="684C6047"/>
    <w:rsid w:val="68F95994"/>
    <w:rsid w:val="69230B72"/>
    <w:rsid w:val="69EE2143"/>
    <w:rsid w:val="69FF5970"/>
    <w:rsid w:val="6A162576"/>
    <w:rsid w:val="6A954071"/>
    <w:rsid w:val="6AED145B"/>
    <w:rsid w:val="6AEF29E1"/>
    <w:rsid w:val="6B120F8F"/>
    <w:rsid w:val="6B8735B1"/>
    <w:rsid w:val="6BA64D96"/>
    <w:rsid w:val="6BEF0197"/>
    <w:rsid w:val="6BF90833"/>
    <w:rsid w:val="6CF03552"/>
    <w:rsid w:val="6D172DCB"/>
    <w:rsid w:val="6DD74D2B"/>
    <w:rsid w:val="6DDD7632"/>
    <w:rsid w:val="6EC93ABC"/>
    <w:rsid w:val="6ED053E9"/>
    <w:rsid w:val="6ED536A9"/>
    <w:rsid w:val="6EE64C0C"/>
    <w:rsid w:val="6F1B2B08"/>
    <w:rsid w:val="6F2B1DBD"/>
    <w:rsid w:val="6F863CF9"/>
    <w:rsid w:val="6FC77DBD"/>
    <w:rsid w:val="7030586A"/>
    <w:rsid w:val="70512559"/>
    <w:rsid w:val="70A26543"/>
    <w:rsid w:val="7155506F"/>
    <w:rsid w:val="715712B7"/>
    <w:rsid w:val="7188187E"/>
    <w:rsid w:val="71B87DCA"/>
    <w:rsid w:val="71BC6597"/>
    <w:rsid w:val="71CF1988"/>
    <w:rsid w:val="720B0EDC"/>
    <w:rsid w:val="72270001"/>
    <w:rsid w:val="724F2A91"/>
    <w:rsid w:val="72717151"/>
    <w:rsid w:val="72827967"/>
    <w:rsid w:val="72A20E4A"/>
    <w:rsid w:val="72D354A8"/>
    <w:rsid w:val="73700F48"/>
    <w:rsid w:val="73934F38"/>
    <w:rsid w:val="73B057E9"/>
    <w:rsid w:val="74235817"/>
    <w:rsid w:val="744D4DE6"/>
    <w:rsid w:val="747D427D"/>
    <w:rsid w:val="74AD42BF"/>
    <w:rsid w:val="74BF3F35"/>
    <w:rsid w:val="74D177C5"/>
    <w:rsid w:val="74D53B78"/>
    <w:rsid w:val="74E2348C"/>
    <w:rsid w:val="74E53270"/>
    <w:rsid w:val="74E7348C"/>
    <w:rsid w:val="752A52D1"/>
    <w:rsid w:val="755D3745"/>
    <w:rsid w:val="75E12860"/>
    <w:rsid w:val="76CE14D3"/>
    <w:rsid w:val="76DB6A6D"/>
    <w:rsid w:val="776E2C8C"/>
    <w:rsid w:val="778B6351"/>
    <w:rsid w:val="77F57178"/>
    <w:rsid w:val="77F90F84"/>
    <w:rsid w:val="79050385"/>
    <w:rsid w:val="79C30024"/>
    <w:rsid w:val="79FE105C"/>
    <w:rsid w:val="7A256787"/>
    <w:rsid w:val="7A81121D"/>
    <w:rsid w:val="7AAB2866"/>
    <w:rsid w:val="7B552319"/>
    <w:rsid w:val="7B79235D"/>
    <w:rsid w:val="7B8B1377"/>
    <w:rsid w:val="7BCC57B1"/>
    <w:rsid w:val="7BE557F5"/>
    <w:rsid w:val="7BF02C26"/>
    <w:rsid w:val="7BFF10BB"/>
    <w:rsid w:val="7C4E5B9F"/>
    <w:rsid w:val="7CF22D22"/>
    <w:rsid w:val="7DD73E33"/>
    <w:rsid w:val="7DDC1FD2"/>
    <w:rsid w:val="7E132BFC"/>
    <w:rsid w:val="7E865AC4"/>
    <w:rsid w:val="7E9D1BEF"/>
    <w:rsid w:val="7EB33376"/>
    <w:rsid w:val="7F490BE8"/>
    <w:rsid w:val="7F7F5C7C"/>
    <w:rsid w:val="7F995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numPr>
        <w:ilvl w:val="0"/>
        <w:numId w:val="1"/>
      </w:numPr>
      <w:spacing w:line="360" w:lineRule="auto"/>
      <w:outlineLvl w:val="0"/>
    </w:pPr>
    <w:rPr>
      <w:b/>
      <w:bCs/>
      <w:kern w:val="44"/>
      <w:sz w:val="32"/>
      <w:szCs w:val="44"/>
    </w:rPr>
  </w:style>
  <w:style w:type="paragraph" w:styleId="4">
    <w:name w:val="heading 2"/>
    <w:basedOn w:val="1"/>
    <w:next w:val="1"/>
    <w:qFormat/>
    <w:uiPriority w:val="9"/>
    <w:pPr>
      <w:keepNext/>
      <w:keepLines/>
      <w:adjustRightInd w:val="0"/>
      <w:snapToGrid w:val="0"/>
      <w:spacing w:line="360" w:lineRule="auto"/>
      <w:outlineLvl w:val="1"/>
    </w:pPr>
    <w:rPr>
      <w:rFonts w:ascii="宋体" w:hAnsi="宋体"/>
    </w:rPr>
  </w:style>
  <w:style w:type="paragraph" w:styleId="5">
    <w:name w:val="heading 3"/>
    <w:basedOn w:val="1"/>
    <w:next w:val="1"/>
    <w:qFormat/>
    <w:uiPriority w:val="0"/>
    <w:pPr>
      <w:keepNext/>
      <w:keepLines/>
      <w:spacing w:line="360" w:lineRule="auto"/>
      <w:outlineLvl w:val="2"/>
    </w:pPr>
    <w:rPr>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widowControl/>
      <w:ind w:firstLine="420" w:firstLineChars="200"/>
      <w:jc w:val="left"/>
    </w:pPr>
  </w:style>
  <w:style w:type="paragraph" w:styleId="7">
    <w:name w:val="Body Text 3"/>
    <w:basedOn w:val="1"/>
    <w:qFormat/>
    <w:uiPriority w:val="0"/>
    <w:rPr>
      <w:rFonts w:ascii="宋体"/>
      <w:sz w:val="24"/>
      <w:szCs w:val="20"/>
    </w:rPr>
  </w:style>
  <w:style w:type="paragraph" w:styleId="8">
    <w:name w:val="Body Text"/>
    <w:basedOn w:val="1"/>
    <w:next w:val="1"/>
    <w:qFormat/>
    <w:uiPriority w:val="0"/>
    <w:pPr>
      <w:spacing w:after="12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Body Text 2"/>
    <w:basedOn w:val="1"/>
    <w:qFormat/>
    <w:uiPriority w:val="0"/>
    <w:pPr>
      <w:spacing w:after="120" w:afterLines="0" w:line="480" w:lineRule="auto"/>
    </w:pPr>
    <w:rPr>
      <w:rFonts w:ascii="Times New Roman" w:hAnsi="Times New Roman" w:cs="Times New Roman"/>
    </w:rPr>
  </w:style>
  <w:style w:type="paragraph" w:styleId="13">
    <w:name w:val="List Continue 2"/>
    <w:basedOn w:val="1"/>
    <w:qFormat/>
    <w:uiPriority w:val="0"/>
    <w:pPr>
      <w:spacing w:after="120"/>
      <w:ind w:left="840" w:leftChars="400"/>
    </w:pPr>
  </w:style>
  <w:style w:type="paragraph" w:styleId="14">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14"/>
      <w:szCs w:val="14"/>
      <w:lang w:val="en-US" w:eastAsia="zh-CN" w:bidi="ar"/>
    </w:rPr>
  </w:style>
  <w:style w:type="paragraph" w:styleId="15">
    <w:name w:val="Body Text First Indent"/>
    <w:basedOn w:val="1"/>
    <w:next w:val="1"/>
    <w:qFormat/>
    <w:uiPriority w:val="0"/>
    <w:pPr>
      <w:spacing w:line="360" w:lineRule="auto"/>
      <w:ind w:firstLine="420"/>
    </w:pPr>
    <w:rPr>
      <w:rFonts w:ascii="宋体" w:hAnsi="宋体"/>
      <w:sz w:val="2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page number"/>
    <w:qFormat/>
    <w:uiPriority w:val="99"/>
    <w:rPr>
      <w:rFonts w:cs="Times New Roman"/>
    </w:rPr>
  </w:style>
  <w:style w:type="paragraph" w:customStyle="1" w:styleId="21">
    <w:name w:val="WPSOffice手动目录 1"/>
    <w:qFormat/>
    <w:uiPriority w:val="0"/>
    <w:pPr>
      <w:ind w:leftChars="0"/>
    </w:pPr>
    <w:rPr>
      <w:rFonts w:ascii="Times New Roman" w:hAnsi="Times New Roman" w:eastAsia="宋体" w:cs="Times New Roman"/>
      <w:sz w:val="20"/>
      <w:szCs w:val="20"/>
    </w:rPr>
  </w:style>
  <w:style w:type="paragraph" w:styleId="22">
    <w:name w:val="List Paragraph"/>
    <w:basedOn w:val="1"/>
    <w:qFormat/>
    <w:uiPriority w:val="34"/>
    <w:pPr>
      <w:ind w:firstLine="420" w:firstLineChars="200"/>
    </w:pPr>
  </w:style>
  <w:style w:type="paragraph" w:customStyle="1" w:styleId="23">
    <w:name w:val="样式 10 磅"/>
    <w:qFormat/>
    <w:uiPriority w:val="0"/>
    <w:pPr>
      <w:widowControl w:val="0"/>
      <w:jc w:val="both"/>
    </w:pPr>
    <w:rPr>
      <w:rFonts w:ascii="Calibri" w:hAnsi="Calibri" w:eastAsia="宋体" w:cs="Times New Roman"/>
      <w:kern w:val="2"/>
      <w:sz w:val="21"/>
      <w:szCs w:val="24"/>
      <w:lang w:val="en-US" w:eastAsia="zh-CN" w:bidi="ar-SA"/>
    </w:rPr>
  </w:style>
  <w:style w:type="character" w:customStyle="1" w:styleId="24">
    <w:name w:val="font11"/>
    <w:basedOn w:val="18"/>
    <w:qFormat/>
    <w:uiPriority w:val="0"/>
    <w:rPr>
      <w:rFonts w:hint="eastAsia" w:ascii="宋体" w:hAnsi="宋体" w:eastAsia="宋体" w:cs="宋体"/>
      <w:color w:val="000000"/>
      <w:sz w:val="20"/>
      <w:szCs w:val="20"/>
      <w:u w:val="none"/>
    </w:rPr>
  </w:style>
  <w:style w:type="character" w:customStyle="1" w:styleId="25">
    <w:name w:val="font21"/>
    <w:basedOn w:val="18"/>
    <w:qFormat/>
    <w:uiPriority w:val="0"/>
    <w:rPr>
      <w:rFonts w:ascii="Calibri" w:hAnsi="Calibri" w:cs="Calibri"/>
      <w:color w:val="000000"/>
      <w:sz w:val="20"/>
      <w:szCs w:val="20"/>
      <w:u w:val="none"/>
    </w:rPr>
  </w:style>
  <w:style w:type="paragraph" w:customStyle="1" w:styleId="26">
    <w:name w:val="正文缩进1"/>
    <w:basedOn w:val="1"/>
    <w:qFormat/>
    <w:uiPriority w:val="0"/>
    <w:pPr>
      <w:ind w:firstLine="420" w:firstLineChars="200"/>
    </w:pPr>
  </w:style>
  <w:style w:type="paragraph" w:customStyle="1" w:styleId="27">
    <w:name w:val="p0"/>
    <w:basedOn w:val="1"/>
    <w:qFormat/>
    <w:uiPriority w:val="0"/>
    <w:pPr>
      <w:widowControl/>
      <w:jc w:val="left"/>
    </w:pPr>
    <w:rPr>
      <w:kern w:val="0"/>
      <w:szCs w:val="21"/>
    </w:rPr>
  </w:style>
  <w:style w:type="paragraph" w:customStyle="1" w:styleId="28">
    <w:name w:val="title1"/>
    <w:basedOn w:val="1"/>
    <w:qFormat/>
    <w:uiPriority w:val="0"/>
    <w:pPr>
      <w:spacing w:before="150" w:beforeAutospacing="0" w:after="0" w:afterAutospacing="0"/>
      <w:ind w:left="0" w:right="0" w:firstLine="0"/>
      <w:jc w:val="left"/>
    </w:pPr>
    <w:rPr>
      <w:rFonts w:ascii="Times New Roman" w:hAnsi="Times New Roman" w:eastAsia="宋体" w:cs="Times New Roman"/>
      <w:b/>
      <w:kern w:val="0"/>
      <w:sz w:val="22"/>
      <w:szCs w:val="22"/>
      <w:lang w:val="en-US" w:eastAsia="zh-CN" w:bidi="ar"/>
    </w:rPr>
  </w:style>
  <w:style w:type="paragraph" w:customStyle="1" w:styleId="29">
    <w:name w:val="09正文_wh"/>
    <w:basedOn w:val="1"/>
    <w:qFormat/>
    <w:uiPriority w:val="0"/>
    <w:pPr>
      <w:keepNext w:val="0"/>
      <w:keepLines w:val="0"/>
      <w:widowControl/>
      <w:suppressLineNumbers w:val="0"/>
      <w:spacing w:before="0" w:beforeAutospacing="0" w:after="0" w:afterAutospacing="0" w:line="300" w:lineRule="auto"/>
      <w:ind w:left="0" w:right="0" w:firstLine="200" w:firstLineChars="200"/>
      <w:jc w:val="both"/>
    </w:pPr>
    <w:rPr>
      <w:rFonts w:hint="default" w:ascii="Times New Roman" w:hAnsi="Times New Roman" w:eastAsia="宋体" w:cs="Times New Roman"/>
      <w:kern w:val="0"/>
      <w:sz w:val="28"/>
      <w:szCs w:val="22"/>
      <w:lang w:val="en-US" w:eastAsia="zh-CN" w:bidi="ar"/>
    </w:rPr>
  </w:style>
  <w:style w:type="paragraph" w:customStyle="1" w:styleId="30">
    <w:name w:val="msolistparagraph"/>
    <w:basedOn w:val="1"/>
    <w:qFormat/>
    <w:uiPriority w:val="0"/>
    <w:pPr>
      <w:ind w:firstLine="420" w:firstLineChars="200"/>
    </w:pPr>
  </w:style>
  <w:style w:type="paragraph" w:customStyle="1" w:styleId="31">
    <w:name w:val="Char"/>
    <w:basedOn w:val="1"/>
    <w:next w:val="1"/>
    <w:autoRedefine/>
    <w:qFormat/>
    <w:uiPriority w:val="0"/>
    <w:rPr>
      <w:rFonts w:ascii="Tahoma" w:hAnsi="Tahoma"/>
      <w:szCs w:val="20"/>
    </w:rPr>
  </w:style>
  <w:style w:type="paragraph" w:customStyle="1" w:styleId="3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2362</Words>
  <Characters>2641</Characters>
  <Lines>0</Lines>
  <Paragraphs>0</Paragraphs>
  <TotalTime>33</TotalTime>
  <ScaleCrop>false</ScaleCrop>
  <LinksUpToDate>false</LinksUpToDate>
  <CharactersWithSpaces>2738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载载</cp:lastModifiedBy>
  <cp:lastPrinted>2023-02-09T00:49:00Z</cp:lastPrinted>
  <dcterms:modified xsi:type="dcterms:W3CDTF">2026-06-26T02:40:43Z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7422F972E4C7448D8F63739FFF9B39F0_13</vt:lpwstr>
  </property>
  <property fmtid="{D5CDD505-2E9C-101B-9397-08002B2CF9AE}" pid="4" name="KSOTemplateDocerSaveRecord">
    <vt:lpwstr>eyJoZGlkIjoiNjI5ZGM4NmY1M2VlZTFmZGNhMTYzMDcxYjFmM2RmNTEiLCJ1c2VySWQiOiIyMDMwMTA3ODEifQ==</vt:lpwstr>
  </property>
  <property fmtid="{D5CDD505-2E9C-101B-9397-08002B2CF9AE}" pid="5" name="AIGC">
    <vt:lpwstr>{"Label":"1","ContentProducer":"001191110102MACQD9K64018705","ProduceID":"3805832812433913_0-data_volume/7649378048206209343-files/所有对话/主对话/用户上传/磋商文件2-30万-修改版.docx","ReservedCode1":"","ContentPropagator":"001191110102MACQD9K64028705","PropagateID":"3805832812433913#1781687173500","ReservedCode2":""}</vt:lpwstr>
  </property>
</Properties>
</file>