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版本号：SXMF-2026-042.1.2B120260611001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2026年大宗生活物资采购（大米、面粉）项目(二次)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SXMF-2026-042.1.2B1</w:t>
      </w:r>
      <w:r>
        <w:br/>
      </w:r>
      <w:r>
        <w:br/>
      </w:r>
      <w:r>
        <w:br/>
      </w:r>
    </w:p>
    <w:p>
      <w:pPr>
        <w:pStyle w:val="null3"/>
        <w:jc w:val="center"/>
        <w:outlineLvl w:val="2"/>
      </w:pPr>
      <w:r>
        <w:rPr>
          <w:rFonts w:ascii="仿宋_GB2312" w:hAnsi="仿宋_GB2312" w:cs="仿宋_GB2312" w:eastAsia="仿宋_GB2312"/>
          <w:sz w:val="28"/>
          <w:b/>
        </w:rPr>
        <w:t>陕西省西安监狱</w:t>
      </w:r>
    </w:p>
    <w:p>
      <w:pPr>
        <w:pStyle w:val="null3"/>
        <w:jc w:val="center"/>
        <w:outlineLvl w:val="2"/>
      </w:pPr>
      <w:r>
        <w:rPr>
          <w:rFonts w:ascii="仿宋_GB2312" w:hAnsi="仿宋_GB2312" w:cs="仿宋_GB2312" w:eastAsia="仿宋_GB2312"/>
          <w:sz w:val="28"/>
          <w:b/>
        </w:rPr>
        <w:t>陕西铭帆项目管理有限公司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2026年06月11日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陕西铭帆项目管理有限公司</w:t>
      </w:r>
      <w:r>
        <w:rPr>
          <w:rFonts w:ascii="仿宋_GB2312" w:hAnsi="仿宋_GB2312" w:cs="仿宋_GB2312" w:eastAsia="仿宋_GB2312"/>
        </w:rPr>
        <w:t>（以下简称“代理机构”）受</w:t>
      </w:r>
      <w:r>
        <w:rPr>
          <w:rFonts w:ascii="仿宋_GB2312" w:hAnsi="仿宋_GB2312" w:cs="仿宋_GB2312" w:eastAsia="仿宋_GB2312"/>
        </w:rPr>
        <w:t>陕西省西安监狱</w:t>
      </w:r>
      <w:r>
        <w:rPr>
          <w:rFonts w:ascii="仿宋_GB2312" w:hAnsi="仿宋_GB2312" w:cs="仿宋_GB2312" w:eastAsia="仿宋_GB2312"/>
        </w:rPr>
        <w:t>委托，拟对</w:t>
      </w:r>
      <w:r>
        <w:rPr>
          <w:rFonts w:ascii="仿宋_GB2312" w:hAnsi="仿宋_GB2312" w:cs="仿宋_GB2312" w:eastAsia="仿宋_GB2312"/>
        </w:rPr>
        <w:t>2026年大宗生活物资采购（大米、面粉）项目(二次)</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SXMF-2026-042.1.2B1</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2026年大宗生活物资采购（大米、面粉）项目(二次)</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陕西省西安监狱隶属省监狱管理局，是一所高度戒备监狱，主要收押15年以上有期徒刑，无期徒刑和死刑缓期二年执行罪犯，年平均押犯2400余人。监狱位于西安市长安区引镇街办南留村附近。 为进一步规范罪犯大宗生活物资采购管理，更好保障罪犯伙食供应，维护监狱安全稳定，根据司法部监狱管理局2019年下发的《关于进一步加强罪犯大宗生活物资采购管理的通知》(司狱字[2019]567号)文件要求，结合历年消耗及实际库存，2026年计划采购米面油182万元。其中大米98万元，面粉84万元.</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采购包1（大米）：属于专门面向中小企业采购。</w:t>
      </w:r>
    </w:p>
    <w:p>
      <w:pPr>
        <w:pStyle w:val="null3"/>
      </w:pPr>
      <w:r>
        <w:rPr>
          <w:rFonts w:ascii="仿宋_GB2312" w:hAnsi="仿宋_GB2312" w:cs="仿宋_GB2312" w:eastAsia="仿宋_GB2312"/>
        </w:rPr>
        <w:t>采购包2（面粉）：属于专门面向中小企业采购。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响应主体：具有独立承担民事责任能力的法人、其他组织或自然人，提供合法有效的统一社会信用代码营业执照（事业单位提供事业单位法人证书，自然人提供身份证明）；供应商需在项目电子化交易系统中按要求上传相应证明文件并进行电子签章</w:t>
      </w:r>
    </w:p>
    <w:p>
      <w:pPr>
        <w:pStyle w:val="null3"/>
      </w:pPr>
      <w:r>
        <w:rPr>
          <w:rFonts w:ascii="仿宋_GB2312" w:hAnsi="仿宋_GB2312" w:cs="仿宋_GB2312" w:eastAsia="仿宋_GB2312"/>
        </w:rPr>
        <w:t>2、财务状况报告：法人提供经审计的2024年或2025年度完整的财务报告，应满足以下要求：须提供会计师事务所出具的审计报告复印件,复印件至少须包括报告正文、资产负债表、现金流量表、利润表、附注和会计师事务所营业执照，报告正文应当有会计师事务所公章和2名注册会计师的签字及盖章。（成立时间至响应文件递交截止时间不足一年的可提供成立后任意时段的资产负债表）或响应文件递交截止时间前六个月内基本账户银行出具的资信证明或财政部门认可的政府采购专业担保机构出具的投标担保函。注：提供资信证明的，必须提供资信证明全部页以及基本户信息（提供开户许可证或提供基本银行账户信息），银行出具的存款证明不能代替资信证明，存款证明无效；供应商需在项目电子化交易系统中按要求上传相应证明文件并进行电子签章；</w:t>
      </w:r>
    </w:p>
    <w:p>
      <w:pPr>
        <w:pStyle w:val="null3"/>
      </w:pPr>
      <w:r>
        <w:rPr>
          <w:rFonts w:ascii="仿宋_GB2312" w:hAnsi="仿宋_GB2312" w:cs="仿宋_GB2312" w:eastAsia="仿宋_GB2312"/>
        </w:rPr>
        <w:t>3、社会保障资金缴纳证明：截止投标时间前六个月内任意一个月的社会保障资金缴存单据或社保机构开具的社会保险参保缴费情况证明；依法不需要缴纳社会保障资金的投标人应提供相关文件证明；供应商需在项目电子化交易系统中按要求上传相应证明文件并进行电子签章；</w:t>
      </w:r>
    </w:p>
    <w:p>
      <w:pPr>
        <w:pStyle w:val="null3"/>
      </w:pPr>
      <w:r>
        <w:rPr>
          <w:rFonts w:ascii="仿宋_GB2312" w:hAnsi="仿宋_GB2312" w:cs="仿宋_GB2312" w:eastAsia="仿宋_GB2312"/>
        </w:rPr>
        <w:t>4、税收缴纳证明：截止投标时间前六个月内任意一个月的纳税证明或完税证明（任意税种），纳税证明或完税证明上应有代收机构或税务机关的公章或业务专用章；依法免税的投标人应提供相关文件证明（复印件加盖投标人公章）；供应商需在项目电子化交易系统中按要求上传相应证明文件并进行电子签章；</w:t>
      </w:r>
    </w:p>
    <w:p>
      <w:pPr>
        <w:pStyle w:val="null3"/>
      </w:pPr>
      <w:r>
        <w:rPr>
          <w:rFonts w:ascii="仿宋_GB2312" w:hAnsi="仿宋_GB2312" w:cs="仿宋_GB2312" w:eastAsia="仿宋_GB2312"/>
        </w:rPr>
        <w:t>5、信用主体查询及声明：供应商未被列入“信用中国”网站（www.creditchina.gov.cn）记录失信被执行人；不处于中国政府采购网（www.ccgp.gov.cn）政府采购严重违法失信行为信息记录中的禁止参加政府采购活动期间；供应商应提供参加本次政府采购活动前3年内在经营活动中没有重大违纪、未被列入失信被执行人、重大税收违法案件当事人名单、政府采购严重违法失信行为记录名单的书面声明。开标评审将登陆“信用中国”网站（www.creditchina.gov.cn）和“中国政府采购网”（www.ccgp.gov.cn）进行审查。</w:t>
      </w:r>
    </w:p>
    <w:p>
      <w:pPr>
        <w:pStyle w:val="null3"/>
      </w:pPr>
      <w:r>
        <w:rPr>
          <w:rFonts w:ascii="仿宋_GB2312" w:hAnsi="仿宋_GB2312" w:cs="仿宋_GB2312" w:eastAsia="仿宋_GB2312"/>
        </w:rPr>
        <w:t>6、提供具有履行本项目合同所必需的设备和专业能力的承诺：提供具有履行本项目合同所必需的设备和专业能力的承诺；供应商需在项目电子化交易系统中按要求上传相应证明文件并进行电子签章。</w:t>
      </w:r>
    </w:p>
    <w:p>
      <w:pPr>
        <w:pStyle w:val="null3"/>
      </w:pPr>
      <w:r>
        <w:rPr>
          <w:rFonts w:ascii="仿宋_GB2312" w:hAnsi="仿宋_GB2312" w:cs="仿宋_GB2312" w:eastAsia="仿宋_GB2312"/>
        </w:rPr>
        <w:t>7、企业资质：投标人如为生产厂商的须具备《食品生产许可证》；投标人为代理商的须提供《食品经营许可证》或《预包装食品经营者备案表》及所投产品生产厂家《食品生产许可证》复印件；供应商需在项目电子化交易系统中按要求上传相应证明文件并进行电子签章。</w:t>
      </w:r>
    </w:p>
    <w:p>
      <w:pPr>
        <w:pStyle w:val="null3"/>
      </w:pPr>
      <w:r>
        <w:rPr>
          <w:rFonts w:ascii="仿宋_GB2312" w:hAnsi="仿宋_GB2312" w:cs="仿宋_GB2312" w:eastAsia="仿宋_GB2312"/>
        </w:rPr>
        <w:t>8、声明函：本项目不接受联合体投标；单位负责人为同一人或者存在控股、管理关系的不同单位，不得参加同一项目的投标；</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响应主体：具有独立承担民事责任能力的法人、其他组织或自然人，提供合法有效的统一社会信用代码营业执照（事业单位提供事业单位法人证书，自然人提供身份证明）；供应商需在项目电子化交易系统中按要求上传相应证明文件并进行电子签章；</w:t>
      </w:r>
    </w:p>
    <w:p>
      <w:pPr>
        <w:pStyle w:val="null3"/>
      </w:pPr>
      <w:r>
        <w:rPr>
          <w:rFonts w:ascii="仿宋_GB2312" w:hAnsi="仿宋_GB2312" w:cs="仿宋_GB2312" w:eastAsia="仿宋_GB2312"/>
        </w:rPr>
        <w:t>2、财务状况报告：法人提供经审计的2024年或2025年度完整的财务报告，应满足以下要求：须提供会计师事务所出具的审计报告复印件,复印件至少须包括报告正文、资产负债表、现金流量表、利润表、附注和会计师事务所营业执照，报告正文应当有会计师事务所公章和2名注册会计师的签字及盖章。（成立时间至响应文件递交截止时间不足一年的可提供成立后任意时段的资产负债表）或响应文件递交截止时间前六个月内基本账户银行出具的资信证明或财政部门认可的政府采购专业担保机构出具的投标担保函。注：提供资信证明的，必须提供资信证明全部页以及基本户信息（提供开户许可证或提供基本银行账户信息），银行出具的存款证明不能代替资信证明，存款证明无效；供应商需在项目电子化交易系统中按要求上传相应证明文件并进行电子签章；</w:t>
      </w:r>
    </w:p>
    <w:p>
      <w:pPr>
        <w:pStyle w:val="null3"/>
      </w:pPr>
      <w:r>
        <w:rPr>
          <w:rFonts w:ascii="仿宋_GB2312" w:hAnsi="仿宋_GB2312" w:cs="仿宋_GB2312" w:eastAsia="仿宋_GB2312"/>
        </w:rPr>
        <w:t>3、社会保障资金缴纳证明：截止投标时间前六个月内任意一个月的社会保障资金缴存单据或社保机构开具的社会保险参保缴费情况证明；依法不需要缴纳社会保障资金的投标人应提供相关文件证明；供应商需在项目电子化交易系统中按要求上传相应证明文件并进行电子签章；</w:t>
      </w:r>
    </w:p>
    <w:p>
      <w:pPr>
        <w:pStyle w:val="null3"/>
      </w:pPr>
      <w:r>
        <w:rPr>
          <w:rFonts w:ascii="仿宋_GB2312" w:hAnsi="仿宋_GB2312" w:cs="仿宋_GB2312" w:eastAsia="仿宋_GB2312"/>
        </w:rPr>
        <w:t>4、税收缴纳证明：截止投标时间前六个月内任意一个月的纳税证明或完税证明（任意税种），纳税证明或完税证明上应有代收机构或税务机关的公章或业务专用章；依法免税的投标人应提供相关文件证明（复印件加盖投标人公章）；供应商需在项目电子化交易系统中按要求上传相应证明文件并进行电子签章；</w:t>
      </w:r>
    </w:p>
    <w:p>
      <w:pPr>
        <w:pStyle w:val="null3"/>
      </w:pPr>
      <w:r>
        <w:rPr>
          <w:rFonts w:ascii="仿宋_GB2312" w:hAnsi="仿宋_GB2312" w:cs="仿宋_GB2312" w:eastAsia="仿宋_GB2312"/>
        </w:rPr>
        <w:t>5、信用主体查询及声明：供应商未被列入“信用中国”网站（www.creditchina.gov.cn）记录失信被执行人；不处于中国政府采购网（www.ccgp.gov.cn）政府采购严重违法失信行为信息记录中的禁止参加政府采购活动期间；供应商应提供参加本次政府采购活动前3年内在经营活动中没有重大违纪、未被列入失信被执行人、重大税收违法案件当事人名单、政府采购严重违法失信行为记录名单的书面声明。开标评审将登陆“信用中国”网站（www.creditchina.gov.cn）和“中国政府采购网”（www.ccgp.gov.cn）进行审查。</w:t>
      </w:r>
    </w:p>
    <w:p>
      <w:pPr>
        <w:pStyle w:val="null3"/>
      </w:pPr>
      <w:r>
        <w:rPr>
          <w:rFonts w:ascii="仿宋_GB2312" w:hAnsi="仿宋_GB2312" w:cs="仿宋_GB2312" w:eastAsia="仿宋_GB2312"/>
        </w:rPr>
        <w:t>6、提供具有履行本项目合同所必需的设备和专业能力的承诺；：提供具有履行本项目合同所必需的设备和专业能力的承诺；供应商需在项目电子化交易系统中按要求上传相应证明文件并进行电子签章。（格式自拟）</w:t>
      </w:r>
    </w:p>
    <w:p>
      <w:pPr>
        <w:pStyle w:val="null3"/>
      </w:pPr>
      <w:r>
        <w:rPr>
          <w:rFonts w:ascii="仿宋_GB2312" w:hAnsi="仿宋_GB2312" w:cs="仿宋_GB2312" w:eastAsia="仿宋_GB2312"/>
        </w:rPr>
        <w:t>7、企业资质：投标人如为生产厂商的须具备《食品生产许可证》；投标人为代理商的须提供《食品经营许可证》或《预包装食品经营者备案表》及所投产品生产厂家《食品生产许可证》复印件；供应商需在项目电子化交易系统中按要求上传相应证明文件并进行电子签章。</w:t>
      </w:r>
    </w:p>
    <w:p>
      <w:pPr>
        <w:pStyle w:val="null3"/>
      </w:pPr>
      <w:r>
        <w:rPr>
          <w:rFonts w:ascii="仿宋_GB2312" w:hAnsi="仿宋_GB2312" w:cs="仿宋_GB2312" w:eastAsia="仿宋_GB2312"/>
        </w:rPr>
        <w:t>8、声明函：本项目不接受联合体投标；单位负责人为同一人或者存在控股、管理关系的不同单位，不得参加同一项目的投标；</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陕西省西安监狱</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陕西省西安市长安区引镇街办</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陕西省西安监狱</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029-82224548</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陕西铭帆项目管理有限公司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陕西省西安市未央区明光路龙腾半导体产业园B座307室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张琼超、赵露茹</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029-88010883、15191876391</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采购包1：980,000.00元</w:t>
            </w:r>
          </w:p>
          <w:p>
            <w:pPr>
              <w:pStyle w:val="null3"/>
            </w:pPr>
            <w:r>
              <w:rPr>
                <w:rFonts w:ascii="仿宋_GB2312" w:hAnsi="仿宋_GB2312" w:cs="仿宋_GB2312" w:eastAsia="仿宋_GB2312"/>
              </w:rPr>
              <w:t>采购包2：840,000.00元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代理服务费收费标准：本项目收取代理服务费 代理服务费用收取对象：中标/成交供应商 代理服务费收费标准：招标代理服务费的收取以成交价为基数，参见国家计委颁布的《招标代理服务收费管理暂行办法》（计价格[2002]1980号）和（发改办价格[2003]857号）中货物类收费标准下浮5%收取。成交单位在领取成交通知书时向招标代理机构一次性交纳</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陕西省西安监狱</w:t>
      </w:r>
      <w:r>
        <w:rPr>
          <w:rFonts w:ascii="仿宋_GB2312" w:hAnsi="仿宋_GB2312" w:cs="仿宋_GB2312" w:eastAsia="仿宋_GB2312"/>
        </w:rPr>
        <w:t>和</w:t>
      </w:r>
      <w:r>
        <w:rPr>
          <w:rFonts w:ascii="仿宋_GB2312" w:hAnsi="仿宋_GB2312" w:cs="仿宋_GB2312" w:eastAsia="仿宋_GB2312"/>
        </w:rPr>
        <w:t>陕西铭帆项目管理有限公司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陕西省西安监狱</w:t>
      </w:r>
      <w:r>
        <w:rPr>
          <w:rFonts w:ascii="仿宋_GB2312" w:hAnsi="仿宋_GB2312" w:cs="仿宋_GB2312" w:eastAsia="仿宋_GB2312"/>
        </w:rPr>
        <w:t>负责解释。除上述招标文件内容，其他内容由</w:t>
      </w:r>
      <w:r>
        <w:rPr>
          <w:rFonts w:ascii="仿宋_GB2312" w:hAnsi="仿宋_GB2312" w:cs="仿宋_GB2312" w:eastAsia="仿宋_GB2312"/>
        </w:rPr>
        <w:t>陕西铭帆项目管理有限公司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陕西省西安监狱</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陕西铭帆项目管理有限公司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一、采购人应在中标通知书发出之日起二十五日内与中标人签订采购合同。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大米质量标准要求： （1）大米执行标准：质量符合国家标准GB/T 1354-2018标准，一级粳米标准要求（须提供由国家指定质量检测机构出具的检验报告）。 （2）质量要求：具有大米固有色泽与香味，无污染、虫害，色泽、气味、口味正常；无异味、霉味；无虫蛀、结块、挂丝或杂质等，符合国家粮食卫生标准。 （3）包装要求：粳米25kg/袋，应符合《粮食销售包装》（GB/T17109）及相关最新要求，包装袋清洁无污渍、无破损、无渗漏。 （4）标识要求：有生产许可证号，执行标准；标明产品名称、净含量、质量等级、生产企业名称、电话、地址、生产日期、保质期及营养成分表。 （5）供货时剩余保质期不少于标注保质期三分之二。 （6）若发现食材腐败变质、生虫、不洁、混有异物或异常现象，均不得入库。</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面粉质量标准要求： （1）面粉执行标准：质量符合国家标准 GB/T 1355-2021 精制粉标准要求（须提供由国家指定质量检测机构出具的检验报告）。 （2）质量要求：无污染、虫害，色泽、气味、口味正常；无异味、霉味；无虫蛀、结块、挂丝或杂质异物；色泽呈白色或微黄色；外观呈细粉末状，无杂质，手指捻捏时无粗粒感，放开后不成团；具有面粉正常气味，无异味。符合国家粮食卫生标准。 （3）包装要求：25kg/袋，应符合《粮食销售包装》（GB/T17109）及相关最新要求，包装袋清洁无污渍，无破损、无渗漏。 （4）标识要求：有生产许可证号，执行标准；标明产品名称、净含量、质量等级、生产企业名称、电话、地址、生产日期、保质期及营养成分表。 （5）供货时剩余保质期不少于标注保质期三分之二。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陕西铭帆项目管理有限公司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陕西铭帆项目管理有限公司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陕西铭帆项目管理有限公司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联系人：张工</w:t>
      </w:r>
    </w:p>
    <w:p>
      <w:pPr>
        <w:pStyle w:val="null3"/>
      </w:pPr>
      <w:r>
        <w:rPr>
          <w:rFonts w:ascii="仿宋_GB2312" w:hAnsi="仿宋_GB2312" w:cs="仿宋_GB2312" w:eastAsia="仿宋_GB2312"/>
        </w:rPr>
        <w:t>联系电话：029-88010883</w:t>
      </w:r>
    </w:p>
    <w:p>
      <w:pPr>
        <w:pStyle w:val="null3"/>
      </w:pPr>
      <w:r>
        <w:rPr>
          <w:rFonts w:ascii="仿宋_GB2312" w:hAnsi="仿宋_GB2312" w:cs="仿宋_GB2312" w:eastAsia="仿宋_GB2312"/>
        </w:rPr>
        <w:t>地址：陕西省西安市未央区明光路龙腾半导体产业园B座307室</w:t>
      </w:r>
    </w:p>
    <w:p>
      <w:pPr>
        <w:pStyle w:val="null3"/>
      </w:pPr>
      <w:r>
        <w:rPr>
          <w:rFonts w:ascii="仿宋_GB2312" w:hAnsi="仿宋_GB2312" w:cs="仿宋_GB2312" w:eastAsia="仿宋_GB2312"/>
        </w:rPr>
        <w:t>邮编：710061</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陕西省西安监狱隶属省监狱管理局，是一所高度戒备监狱，主要收押15年以上有期徒刑，无期徒刑和死刑缓期二年执行罪犯，年平均押犯2400余人。监狱位于西安市长安区引镇街办南留村附近。 为进一步规范罪犯大宗生活物资采购管理，更好保障罪犯伙食供应，维护监狱安全稳定，根据司法部监狱管理局2019年下发的《关于进一步加强罪犯大宗生活物资采购管理的通知》(司狱字[2019]567号)文件要求，结合历年消耗及实际库存，2026年计划采购米面油182万元。其中大米98万元，面粉84万元.</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980,000.00</w:t>
      </w:r>
    </w:p>
    <w:p>
      <w:pPr>
        <w:pStyle w:val="null3"/>
      </w:pPr>
      <w:r>
        <w:rPr>
          <w:rFonts w:ascii="仿宋_GB2312" w:hAnsi="仿宋_GB2312" w:cs="仿宋_GB2312" w:eastAsia="仿宋_GB2312"/>
        </w:rPr>
        <w:t>采购包最高限价（元）: 980,000.00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大米</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980,000.00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840,000.00</w:t>
      </w:r>
    </w:p>
    <w:p>
      <w:pPr>
        <w:pStyle w:val="null3"/>
      </w:pPr>
      <w:r>
        <w:rPr>
          <w:rFonts w:ascii="仿宋_GB2312" w:hAnsi="仿宋_GB2312" w:cs="仿宋_GB2312" w:eastAsia="仿宋_GB2312"/>
        </w:rPr>
        <w:t>采购包最高限价（元）: 840,000.00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面粉</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840,000.00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标的名称：大米</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spacing w:before="150"/>
              <w:ind w:right="345"/>
              <w:jc w:val="both"/>
            </w:pPr>
            <w:r>
              <w:rPr>
                <w:rFonts w:ascii="仿宋_GB2312" w:hAnsi="仿宋_GB2312" w:cs="仿宋_GB2312" w:eastAsia="仿宋_GB2312"/>
                <w:sz w:val="21"/>
                <w:b/>
              </w:rPr>
              <w:t>一、采购内容和要求</w:t>
            </w:r>
          </w:p>
          <w:tbl>
            <w:tblPr>
              <w:tblInd w:type="dxa" w:w="240"/>
              <w:tblBorders>
                <w:top w:val="none" w:color="000000" w:sz="4"/>
                <w:left w:val="none" w:color="000000" w:sz="4"/>
                <w:bottom w:val="none" w:color="000000" w:sz="4"/>
                <w:right w:val="none" w:color="000000" w:sz="4"/>
                <w:insideH w:val="none"/>
                <w:insideV w:val="none"/>
              </w:tblBorders>
            </w:tblPr>
            <w:tblGrid>
              <w:gridCol w:w="194"/>
              <w:gridCol w:w="369"/>
              <w:gridCol w:w="207"/>
              <w:gridCol w:w="259"/>
              <w:gridCol w:w="382"/>
              <w:gridCol w:w="298"/>
              <w:gridCol w:w="842"/>
            </w:tblGrid>
            <w:tr>
              <w:tc>
                <w:tcPr>
                  <w:tcW w:type="dxa" w:w="194"/>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序号</w:t>
                  </w:r>
                </w:p>
              </w:tc>
              <w:tc>
                <w:tcPr>
                  <w:tcW w:type="dxa" w:w="369"/>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商品名称</w:t>
                  </w:r>
                </w:p>
              </w:tc>
              <w:tc>
                <w:tcPr>
                  <w:tcW w:type="dxa" w:w="207"/>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单位</w:t>
                  </w:r>
                </w:p>
              </w:tc>
              <w:tc>
                <w:tcPr>
                  <w:tcW w:type="dxa" w:w="259"/>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规格</w:t>
                  </w:r>
                </w:p>
              </w:tc>
              <w:tc>
                <w:tcPr>
                  <w:tcW w:type="dxa" w:w="382"/>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数量</w:t>
                  </w:r>
                </w:p>
              </w:tc>
              <w:tc>
                <w:tcPr>
                  <w:tcW w:type="dxa" w:w="298"/>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等级</w:t>
                  </w:r>
                </w:p>
              </w:tc>
              <w:tc>
                <w:tcPr>
                  <w:tcW w:type="dxa" w:w="842"/>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备注</w:t>
                  </w:r>
                </w:p>
              </w:tc>
            </w:tr>
            <w:tr>
              <w:tc>
                <w:tcPr>
                  <w:tcW w:type="dxa" w:w="19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1</w:t>
                  </w:r>
                </w:p>
              </w:tc>
              <w:tc>
                <w:tcPr>
                  <w:tcW w:type="dxa" w:w="36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大米</w:t>
                  </w:r>
                </w:p>
              </w:tc>
              <w:tc>
                <w:tcPr>
                  <w:tcW w:type="dxa" w:w="20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袋</w:t>
                  </w:r>
                </w:p>
              </w:tc>
              <w:tc>
                <w:tcPr>
                  <w:tcW w:type="dxa" w:w="25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25kg</w:t>
                  </w:r>
                </w:p>
              </w:tc>
              <w:tc>
                <w:tcPr>
                  <w:tcW w:type="dxa" w:w="38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8000</w:t>
                  </w:r>
                  <w:r>
                    <w:rPr>
                      <w:rFonts w:ascii="仿宋_GB2312" w:hAnsi="仿宋_GB2312" w:cs="仿宋_GB2312" w:eastAsia="仿宋_GB2312"/>
                      <w:sz w:val="21"/>
                    </w:rPr>
                    <w:t>袋</w:t>
                  </w:r>
                </w:p>
              </w:tc>
              <w:tc>
                <w:tcPr>
                  <w:tcW w:type="dxa" w:w="29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合格</w:t>
                  </w:r>
                </w:p>
              </w:tc>
              <w:tc>
                <w:tcPr>
                  <w:tcW w:type="dxa" w:w="84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本数量为上一年参考数量，具体以双方交货确认数量为准</w:t>
                  </w:r>
                </w:p>
              </w:tc>
            </w:tr>
          </w:tbl>
          <w:p>
            <w:pPr>
              <w:pStyle w:val="null3"/>
              <w:spacing w:before="165"/>
              <w:ind w:left="30"/>
              <w:jc w:val="both"/>
            </w:pPr>
            <w:r>
              <w:rPr>
                <w:rFonts w:ascii="仿宋_GB2312" w:hAnsi="仿宋_GB2312" w:cs="仿宋_GB2312" w:eastAsia="仿宋_GB2312"/>
                <w:sz w:val="21"/>
                <w:b/>
              </w:rPr>
              <w:t>二、其他要求</w:t>
            </w:r>
          </w:p>
          <w:p>
            <w:pPr>
              <w:pStyle w:val="null3"/>
              <w:ind w:firstLine="420"/>
            </w:pPr>
            <w:r>
              <w:rPr>
                <w:rFonts w:ascii="仿宋_GB2312" w:hAnsi="仿宋_GB2312" w:cs="仿宋_GB2312" w:eastAsia="仿宋_GB2312"/>
                <w:sz w:val="21"/>
              </w:rPr>
              <w:t>1、合同履行期限：</w:t>
            </w:r>
            <w:r>
              <w:rPr>
                <w:rFonts w:ascii="仿宋_GB2312" w:hAnsi="仿宋_GB2312" w:cs="仿宋_GB2312" w:eastAsia="仿宋_GB2312"/>
                <w:sz w:val="21"/>
              </w:rPr>
              <w:t>2026年7月15日至2027年7月14日</w:t>
            </w:r>
          </w:p>
          <w:p>
            <w:pPr>
              <w:pStyle w:val="null3"/>
              <w:ind w:firstLine="420"/>
              <w:jc w:val="both"/>
            </w:pPr>
            <w:r>
              <w:rPr>
                <w:rFonts w:ascii="仿宋_GB2312" w:hAnsi="仿宋_GB2312" w:cs="仿宋_GB2312" w:eastAsia="仿宋_GB2312"/>
                <w:sz w:val="21"/>
              </w:rPr>
              <w:t>2、供货协议签订后，按合同的要求将所供应产品送到用户指定的地点。</w:t>
            </w:r>
          </w:p>
          <w:p>
            <w:pPr>
              <w:pStyle w:val="null3"/>
              <w:ind w:firstLine="420"/>
              <w:jc w:val="both"/>
            </w:pPr>
            <w:r>
              <w:rPr>
                <w:rFonts w:ascii="仿宋_GB2312" w:hAnsi="仿宋_GB2312" w:cs="仿宋_GB2312" w:eastAsia="仿宋_GB2312"/>
                <w:sz w:val="21"/>
              </w:rPr>
              <w:t>3、供应商必须按照采购人提供的采购单所要求的品类、品牌、规格进行供货，满足服刑人员食堂备餐需求。采购明细、采购量均以采购人通知为准，采购人有权根据实际需求量随时调整采购计划及供货时间段。</w:t>
            </w:r>
          </w:p>
          <w:p>
            <w:pPr>
              <w:pStyle w:val="null3"/>
              <w:ind w:firstLine="420"/>
              <w:jc w:val="both"/>
            </w:pPr>
            <w:r>
              <w:rPr>
                <w:rFonts w:ascii="仿宋_GB2312" w:hAnsi="仿宋_GB2312" w:cs="仿宋_GB2312" w:eastAsia="仿宋_GB2312"/>
                <w:sz w:val="21"/>
              </w:rPr>
              <w:t>4、质量要求：符合国家及行业验收合格标准。</w:t>
            </w:r>
          </w:p>
          <w:p>
            <w:pPr>
              <w:pStyle w:val="null3"/>
              <w:ind w:firstLine="420"/>
              <w:jc w:val="both"/>
            </w:pPr>
            <w:r>
              <w:rPr>
                <w:rFonts w:ascii="仿宋_GB2312" w:hAnsi="仿宋_GB2312" w:cs="仿宋_GB2312" w:eastAsia="仿宋_GB2312"/>
                <w:sz w:val="21"/>
              </w:rPr>
              <w:t>5、如遇采购人遇紧急任务等突发状况，供应商须按照采购人要求，及时配送到位。</w:t>
            </w:r>
          </w:p>
          <w:p>
            <w:pPr>
              <w:pStyle w:val="null3"/>
              <w:ind w:firstLine="420"/>
              <w:jc w:val="both"/>
            </w:pPr>
            <w:r>
              <w:rPr>
                <w:rFonts w:ascii="仿宋_GB2312" w:hAnsi="仿宋_GB2312" w:cs="仿宋_GB2312" w:eastAsia="仿宋_GB2312"/>
                <w:sz w:val="21"/>
              </w:rPr>
              <w:t>6、如供应商未按时、按要求供货及配送，影响服刑人员食堂正常开餐，以当日需求计划总量两倍价款赔付当日损失，采购人将对供应商进行处罚。发现食材质量问题，采购人有权拒签供货单，拒收货物，并将不合格产品及时退回供应商，同时做好验收记录。供应商无条件在采购人规定的时间重新供货，如仍不符合标准的采购人有权对供应商处以一定金额的罚款。</w:t>
            </w:r>
          </w:p>
          <w:p>
            <w:pPr>
              <w:pStyle w:val="null3"/>
              <w:ind w:firstLine="420"/>
              <w:jc w:val="both"/>
            </w:pPr>
            <w:r>
              <w:rPr>
                <w:rFonts w:ascii="仿宋_GB2312" w:hAnsi="仿宋_GB2312" w:cs="仿宋_GB2312" w:eastAsia="仿宋_GB2312"/>
                <w:sz w:val="21"/>
              </w:rPr>
              <w:t>7、供货方送货人员必须持健康证明。</w:t>
            </w:r>
          </w:p>
          <w:p>
            <w:pPr>
              <w:pStyle w:val="null3"/>
              <w:ind w:firstLine="420"/>
              <w:jc w:val="both"/>
            </w:pPr>
            <w:r>
              <w:rPr>
                <w:rFonts w:ascii="仿宋_GB2312" w:hAnsi="仿宋_GB2312" w:cs="仿宋_GB2312" w:eastAsia="仿宋_GB2312"/>
                <w:sz w:val="21"/>
              </w:rPr>
              <w:t>8、食材质量及标准要求</w:t>
            </w:r>
          </w:p>
          <w:p>
            <w:pPr>
              <w:pStyle w:val="null3"/>
              <w:ind w:firstLine="420"/>
              <w:jc w:val="both"/>
            </w:pPr>
            <w:r>
              <w:rPr>
                <w:rFonts w:ascii="仿宋_GB2312" w:hAnsi="仿宋_GB2312" w:cs="仿宋_GB2312" w:eastAsia="仿宋_GB2312"/>
                <w:sz w:val="21"/>
              </w:rPr>
              <w:t>供应商所供食材应符合相应的现行、最新食品安全国家标准要求。</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1）大米执行标准：质量符合国家标准GB/T 1354-2018标准，一级粳米标准要求（须提供由国家指定质量检测机构出具的检验报告）。</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2）质量要求：具有大米固有色泽与香味，无污染、虫害，色泽、气味、口味正常；无异味、霉味；无虫蛀、结块、挂丝或杂质等，符合国家粮食卫生标准。</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3）包装要求：粳米25kg/袋，应符合《粮食销售包装》（GB/T17109）及相关最新要求，包装袋清洁无污渍、无破损、无渗漏。</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4）标识要求：有生产许可证号，执行标准；标明产品名称、净含量、质量等级、生产企业名称、电话、地址、生产日期、保质期及营养成分表。</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5）供货时剩余保质期不少于标注保质期三分之二。</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6）若发现食材腐败变质、生虫、不洁、混有异物或异常现象，均不得入库。</w:t>
            </w:r>
          </w:p>
          <w:p>
            <w:pPr>
              <w:pStyle w:val="null3"/>
              <w:ind w:firstLine="422"/>
              <w:jc w:val="both"/>
            </w:pPr>
            <w:r>
              <w:rPr>
                <w:rFonts w:ascii="仿宋_GB2312" w:hAnsi="仿宋_GB2312" w:cs="仿宋_GB2312" w:eastAsia="仿宋_GB2312"/>
                <w:sz w:val="21"/>
              </w:rPr>
              <w:t>9、付款方式</w:t>
            </w:r>
          </w:p>
          <w:p>
            <w:pPr>
              <w:pStyle w:val="null3"/>
              <w:ind w:firstLine="420"/>
              <w:jc w:val="both"/>
            </w:pPr>
            <w:r>
              <w:rPr>
                <w:rFonts w:ascii="仿宋_GB2312" w:hAnsi="仿宋_GB2312" w:cs="仿宋_GB2312" w:eastAsia="仿宋_GB2312"/>
                <w:sz w:val="21"/>
              </w:rPr>
              <w:t>1、进度款，货物送达50%，达到付款条件起15个⼯作⽇内，⽀付合同总⾦额的50 .0%</w:t>
            </w:r>
          </w:p>
          <w:p>
            <w:pPr>
              <w:pStyle w:val="null3"/>
            </w:pPr>
            <w:r>
              <w:rPr>
                <w:rFonts w:ascii="仿宋_GB2312" w:hAnsi="仿宋_GB2312" w:cs="仿宋_GB2312" w:eastAsia="仿宋_GB2312"/>
                <w:sz w:val="21"/>
              </w:rPr>
              <w:t xml:space="preserve">    2、进度款，货物送达100%，达到付款条件起15个⼯作⽇内，⽀付合同总⾦额的50 .0%</w:t>
            </w:r>
          </w:p>
          <w:p>
            <w:pPr>
              <w:pStyle w:val="null3"/>
              <w:ind w:firstLine="420"/>
              <w:jc w:val="both"/>
            </w:pPr>
            <w:r>
              <w:rPr>
                <w:rFonts w:ascii="仿宋_GB2312" w:hAnsi="仿宋_GB2312" w:cs="仿宋_GB2312" w:eastAsia="仿宋_GB2312"/>
                <w:sz w:val="21"/>
              </w:rPr>
              <w:t>10、其它事项</w:t>
            </w:r>
          </w:p>
          <w:p>
            <w:pPr>
              <w:pStyle w:val="null3"/>
              <w:ind w:firstLine="420"/>
              <w:jc w:val="both"/>
            </w:pPr>
            <w:r>
              <w:rPr>
                <w:rFonts w:ascii="仿宋_GB2312" w:hAnsi="仿宋_GB2312" w:cs="仿宋_GB2312" w:eastAsia="仿宋_GB2312"/>
                <w:sz w:val="21"/>
              </w:rPr>
              <w:t>1) 因原材料质量问题导致的食品安全或食物中毒责任，在确认产生问题的原材料后，采购人对供应商进行处罚，甚至终止供货合同，由供应商承担法律责任与经济损失。</w:t>
            </w:r>
          </w:p>
          <w:p>
            <w:pPr>
              <w:pStyle w:val="null3"/>
              <w:ind w:firstLine="420"/>
              <w:jc w:val="both"/>
            </w:pPr>
            <w:r>
              <w:rPr>
                <w:rFonts w:ascii="仿宋_GB2312" w:hAnsi="仿宋_GB2312" w:cs="仿宋_GB2312" w:eastAsia="仿宋_GB2312"/>
                <w:sz w:val="21"/>
              </w:rPr>
              <w:t>2) 出现但不限于以下情况，采购人有权向供应商索赔，甚至终止供货合同：</w:t>
            </w:r>
          </w:p>
          <w:p>
            <w:pPr>
              <w:pStyle w:val="null3"/>
              <w:jc w:val="both"/>
            </w:pPr>
            <w:r>
              <w:rPr>
                <w:rFonts w:ascii="仿宋_GB2312" w:hAnsi="仿宋_GB2312" w:cs="仿宋_GB2312" w:eastAsia="仿宋_GB2312"/>
                <w:sz w:val="21"/>
              </w:rPr>
              <w:t>食材腐败变质、生虫、污秽不洁、混有异物或其它异常情况；含有毒、有害物质；含有致病性寄生虫、微生物或微生物含量超过国家限定标准；掺假、掺杂、伪造产品；用非食品原料加工，加入非食品用化学物质或者将非食品当作食品；供应商不能按时、按要求供货或不能及时退、换货；供应商向采购人提供不符合采购人需求的产品。</w:t>
            </w:r>
          </w:p>
        </w:tc>
      </w:tr>
      <w:tr>
        <w:tc>
          <w:tcPr>
            <w:tcW w:type="dxa" w:w="2769"/>
          </w:tcPr>
          <w:p>
            <w:pPr>
              <w:pStyle w:val="null3"/>
            </w:pPr>
            <w:r>
              <w:rPr>
                <w:rFonts w:ascii="仿宋_GB2312" w:hAnsi="仿宋_GB2312" w:cs="仿宋_GB2312" w:eastAsia="仿宋_GB2312"/>
              </w:rPr>
              <w:t>2</w:t>
            </w:r>
          </w:p>
        </w:tc>
        <w:tc>
          <w:tcPr>
            <w:tcW w:type="dxa" w:w="2769"/>
          </w:tcPr>
          <w:p>
            <w:pPr>
              <w:pStyle w:val="null3"/>
            </w:pPr>
            <w:r>
              <w:rPr>
                <w:rFonts w:ascii="仿宋_GB2312" w:hAnsi="仿宋_GB2312" w:cs="仿宋_GB2312" w:eastAsia="仿宋_GB2312"/>
              </w:rPr>
              <w:t>★</w:t>
            </w:r>
          </w:p>
        </w:tc>
        <w:tc>
          <w:tcPr>
            <w:tcW w:type="dxa" w:w="2769"/>
          </w:tcPr>
          <w:p>
            <w:pPr>
              <w:pStyle w:val="null3"/>
              <w:jc w:val="both"/>
            </w:pPr>
            <w:r>
              <w:rPr>
                <w:rFonts w:ascii="仿宋_GB2312" w:hAnsi="仿宋_GB2312" w:cs="仿宋_GB2312" w:eastAsia="仿宋_GB2312"/>
                <w:sz w:val="21"/>
                <w:b/>
              </w:rPr>
              <w:t>单价最高限价：大米：</w:t>
            </w:r>
            <w:r>
              <w:rPr>
                <w:rFonts w:ascii="仿宋_GB2312" w:hAnsi="仿宋_GB2312" w:cs="仿宋_GB2312" w:eastAsia="仿宋_GB2312"/>
                <w:sz w:val="21"/>
                <w:b/>
              </w:rPr>
              <w:t>4.9</w:t>
            </w:r>
            <w:r>
              <w:rPr>
                <w:rFonts w:ascii="仿宋_GB2312" w:hAnsi="仿宋_GB2312" w:cs="仿宋_GB2312" w:eastAsia="仿宋_GB2312"/>
                <w:sz w:val="21"/>
                <w:b/>
              </w:rPr>
              <w:t>元</w:t>
            </w:r>
            <w:r>
              <w:rPr>
                <w:rFonts w:ascii="仿宋_GB2312" w:hAnsi="仿宋_GB2312" w:cs="仿宋_GB2312" w:eastAsia="仿宋_GB2312"/>
                <w:sz w:val="21"/>
                <w:b/>
              </w:rPr>
              <w:t>/kg</w:t>
            </w:r>
            <w:r>
              <w:rPr>
                <w:rFonts w:ascii="仿宋_GB2312" w:hAnsi="仿宋_GB2312" w:cs="仿宋_GB2312" w:eastAsia="仿宋_GB2312"/>
                <w:sz w:val="21"/>
                <w:b/>
              </w:rPr>
              <w:t>、</w:t>
            </w:r>
            <w:r>
              <w:rPr>
                <w:rFonts w:ascii="仿宋_GB2312" w:hAnsi="仿宋_GB2312" w:cs="仿宋_GB2312" w:eastAsia="仿宋_GB2312"/>
                <w:sz w:val="21"/>
                <w:b/>
              </w:rPr>
              <w:t>(122.5元/每袋25</w:t>
            </w:r>
            <w:r>
              <w:rPr>
                <w:rFonts w:ascii="仿宋_GB2312" w:hAnsi="仿宋_GB2312" w:cs="仿宋_GB2312" w:eastAsia="仿宋_GB2312"/>
                <w:sz w:val="21"/>
                <w:b/>
              </w:rPr>
              <w:t>kg</w:t>
            </w:r>
            <w:r>
              <w:rPr>
                <w:rFonts w:ascii="仿宋_GB2312" w:hAnsi="仿宋_GB2312" w:cs="仿宋_GB2312" w:eastAsia="仿宋_GB2312"/>
                <w:sz w:val="21"/>
                <w:b/>
              </w:rPr>
              <w:t>)</w:t>
            </w:r>
            <w:r>
              <w:rPr>
                <w:rFonts w:ascii="仿宋_GB2312" w:hAnsi="仿宋_GB2312" w:cs="仿宋_GB2312" w:eastAsia="仿宋_GB2312"/>
                <w:sz w:val="21"/>
                <w:b/>
              </w:rPr>
              <w:t>，投标人报价除以数量所得单价超过单价最高限价，按无效投标处理。</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标的名称：面粉</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ind w:firstLine="422"/>
              <w:jc w:val="both"/>
            </w:pPr>
            <w:r>
              <w:rPr>
                <w:rFonts w:ascii="仿宋_GB2312" w:hAnsi="仿宋_GB2312" w:cs="仿宋_GB2312" w:eastAsia="仿宋_GB2312"/>
                <w:sz w:val="21"/>
                <w:b/>
              </w:rPr>
              <w:t>一、采购内容和要求</w:t>
            </w:r>
          </w:p>
          <w:tbl>
            <w:tblPr>
              <w:tblInd w:type="dxa" w:w="120"/>
              <w:tblBorders>
                <w:top w:val="none" w:color="000000" w:sz="4"/>
                <w:left w:val="none" w:color="000000" w:sz="4"/>
                <w:bottom w:val="none" w:color="000000" w:sz="4"/>
                <w:right w:val="none" w:color="000000" w:sz="4"/>
                <w:insideH w:val="none"/>
                <w:insideV w:val="none"/>
              </w:tblBorders>
            </w:tblPr>
            <w:tblGrid>
              <w:gridCol w:w="206"/>
              <w:gridCol w:w="379"/>
              <w:gridCol w:w="257"/>
              <w:gridCol w:w="309"/>
              <w:gridCol w:w="328"/>
              <w:gridCol w:w="296"/>
              <w:gridCol w:w="778"/>
            </w:tblGrid>
            <w:tr>
              <w:tc>
                <w:tcPr>
                  <w:tcW w:type="dxa" w:w="206"/>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序号</w:t>
                  </w:r>
                </w:p>
              </w:tc>
              <w:tc>
                <w:tcPr>
                  <w:tcW w:type="dxa" w:w="379"/>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商品名称</w:t>
                  </w:r>
                </w:p>
              </w:tc>
              <w:tc>
                <w:tcPr>
                  <w:tcW w:type="dxa" w:w="257"/>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单位</w:t>
                  </w:r>
                </w:p>
              </w:tc>
              <w:tc>
                <w:tcPr>
                  <w:tcW w:type="dxa" w:w="309"/>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规格</w:t>
                  </w:r>
                </w:p>
              </w:tc>
              <w:tc>
                <w:tcPr>
                  <w:tcW w:type="dxa" w:w="328"/>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数量</w:t>
                  </w:r>
                </w:p>
              </w:tc>
              <w:tc>
                <w:tcPr>
                  <w:tcW w:type="dxa" w:w="296"/>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类别</w:t>
                  </w:r>
                </w:p>
              </w:tc>
              <w:tc>
                <w:tcPr>
                  <w:tcW w:type="dxa" w:w="778"/>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备</w:t>
                  </w:r>
                  <w:r>
                    <w:rPr>
                      <w:rFonts w:ascii="仿宋_GB2312" w:hAnsi="仿宋_GB2312" w:cs="仿宋_GB2312" w:eastAsia="仿宋_GB2312"/>
                      <w:sz w:val="21"/>
                    </w:rPr>
                    <w:t>注</w:t>
                  </w:r>
                </w:p>
              </w:tc>
            </w:tr>
            <w:tr>
              <w:tc>
                <w:tcPr>
                  <w:tcW w:type="dxa" w:w="20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1</w:t>
                  </w:r>
                </w:p>
              </w:tc>
              <w:tc>
                <w:tcPr>
                  <w:tcW w:type="dxa" w:w="37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小麦粉</w:t>
                  </w:r>
                </w:p>
              </w:tc>
              <w:tc>
                <w:tcPr>
                  <w:tcW w:type="dxa" w:w="25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袋</w:t>
                  </w:r>
                </w:p>
              </w:tc>
              <w:tc>
                <w:tcPr>
                  <w:tcW w:type="dxa" w:w="30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25kg</w:t>
                  </w:r>
                </w:p>
              </w:tc>
              <w:tc>
                <w:tcPr>
                  <w:tcW w:type="dxa" w:w="32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9130</w:t>
                  </w:r>
                  <w:r>
                    <w:rPr>
                      <w:rFonts w:ascii="仿宋_GB2312" w:hAnsi="仿宋_GB2312" w:cs="仿宋_GB2312" w:eastAsia="仿宋_GB2312"/>
                      <w:sz w:val="21"/>
                    </w:rPr>
                    <w:t>袋</w:t>
                  </w:r>
                </w:p>
              </w:tc>
              <w:tc>
                <w:tcPr>
                  <w:tcW w:type="dxa" w:w="29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精制粉</w:t>
                  </w:r>
                </w:p>
              </w:tc>
              <w:tc>
                <w:tcPr>
                  <w:tcW w:type="dxa" w:w="77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本数量为上一年参考数量，具体以双方交货确认数量为准</w:t>
                  </w:r>
                </w:p>
              </w:tc>
            </w:tr>
          </w:tbl>
          <w:p>
            <w:pPr>
              <w:pStyle w:val="null3"/>
              <w:ind w:firstLine="422"/>
              <w:jc w:val="both"/>
            </w:pPr>
            <w:r>
              <w:rPr>
                <w:rFonts w:ascii="仿宋_GB2312" w:hAnsi="仿宋_GB2312" w:cs="仿宋_GB2312" w:eastAsia="仿宋_GB2312"/>
                <w:sz w:val="21"/>
                <w:b/>
              </w:rPr>
              <w:t>二、其他要求</w:t>
            </w:r>
          </w:p>
          <w:p>
            <w:pPr>
              <w:pStyle w:val="null3"/>
              <w:ind w:firstLine="420"/>
            </w:pPr>
            <w:r>
              <w:rPr>
                <w:rFonts w:ascii="仿宋_GB2312" w:hAnsi="仿宋_GB2312" w:cs="仿宋_GB2312" w:eastAsia="仿宋_GB2312"/>
                <w:sz w:val="21"/>
              </w:rPr>
              <w:t>1、合同履行期限：</w:t>
            </w:r>
            <w:r>
              <w:rPr>
                <w:rFonts w:ascii="仿宋_GB2312" w:hAnsi="仿宋_GB2312" w:cs="仿宋_GB2312" w:eastAsia="仿宋_GB2312"/>
                <w:sz w:val="21"/>
              </w:rPr>
              <w:t>2026年7月15日至2027年7月14日</w:t>
            </w:r>
          </w:p>
          <w:p>
            <w:pPr>
              <w:pStyle w:val="null3"/>
              <w:ind w:firstLine="420"/>
              <w:jc w:val="both"/>
            </w:pPr>
            <w:r>
              <w:rPr>
                <w:rFonts w:ascii="仿宋_GB2312" w:hAnsi="仿宋_GB2312" w:cs="仿宋_GB2312" w:eastAsia="仿宋_GB2312"/>
                <w:sz w:val="21"/>
              </w:rPr>
              <w:t>2、供货协议签订后，按合同的要求将所供应产品送到用户指定的地点。</w:t>
            </w:r>
          </w:p>
          <w:p>
            <w:pPr>
              <w:pStyle w:val="null3"/>
              <w:ind w:firstLine="420"/>
              <w:jc w:val="both"/>
            </w:pPr>
            <w:r>
              <w:rPr>
                <w:rFonts w:ascii="仿宋_GB2312" w:hAnsi="仿宋_GB2312" w:cs="仿宋_GB2312" w:eastAsia="仿宋_GB2312"/>
                <w:sz w:val="21"/>
              </w:rPr>
              <w:t>3、供应商必须按照采购人提供的采购单所要求的品类、品牌、规格进行供货，满足服刑人员食堂备餐需求。采购明细、采购量均以采购人通知为准，采购人有权根据实际需求量随时调整采购计划及供货时间段。</w:t>
            </w:r>
          </w:p>
          <w:p>
            <w:pPr>
              <w:pStyle w:val="null3"/>
              <w:ind w:firstLine="420"/>
              <w:jc w:val="both"/>
            </w:pPr>
            <w:r>
              <w:rPr>
                <w:rFonts w:ascii="仿宋_GB2312" w:hAnsi="仿宋_GB2312" w:cs="仿宋_GB2312" w:eastAsia="仿宋_GB2312"/>
                <w:sz w:val="21"/>
              </w:rPr>
              <w:t>4、质量要求：符合国家及行业验收合格标准。</w:t>
            </w:r>
          </w:p>
          <w:p>
            <w:pPr>
              <w:pStyle w:val="null3"/>
              <w:ind w:firstLine="420"/>
              <w:jc w:val="both"/>
            </w:pPr>
            <w:r>
              <w:rPr>
                <w:rFonts w:ascii="仿宋_GB2312" w:hAnsi="仿宋_GB2312" w:cs="仿宋_GB2312" w:eastAsia="仿宋_GB2312"/>
                <w:sz w:val="21"/>
              </w:rPr>
              <w:t>5、如遇采购人遇紧急任务等突发状况，供应商须按照采购人要求，及时配送到位。</w:t>
            </w:r>
          </w:p>
          <w:p>
            <w:pPr>
              <w:pStyle w:val="null3"/>
              <w:ind w:firstLine="420"/>
              <w:jc w:val="both"/>
            </w:pPr>
            <w:r>
              <w:rPr>
                <w:rFonts w:ascii="仿宋_GB2312" w:hAnsi="仿宋_GB2312" w:cs="仿宋_GB2312" w:eastAsia="仿宋_GB2312"/>
                <w:sz w:val="21"/>
              </w:rPr>
              <w:t>6、如供应商未按时、按要求供货及配送，影响服刑人员食堂正常开餐， 以当日需求计划总量两倍价款赔付当日损失，采购人将对供应商进行处罚。发现食材质量问题，采购人有权拒签供货单，拒收货物，并将不合格产品及时退回供应商，同时做好验收记录。供应商无条件在采购人规定的时间重新供货，如仍不符合标准的采购人有权对供应商处以一定金额的罚款。</w:t>
            </w:r>
          </w:p>
          <w:p>
            <w:pPr>
              <w:pStyle w:val="null3"/>
              <w:ind w:firstLine="420"/>
              <w:jc w:val="both"/>
            </w:pPr>
            <w:r>
              <w:rPr>
                <w:rFonts w:ascii="仿宋_GB2312" w:hAnsi="仿宋_GB2312" w:cs="仿宋_GB2312" w:eastAsia="仿宋_GB2312"/>
                <w:sz w:val="21"/>
              </w:rPr>
              <w:t>7、供货方送货人员必须持健康证明。</w:t>
            </w:r>
          </w:p>
          <w:p>
            <w:pPr>
              <w:pStyle w:val="null3"/>
              <w:ind w:firstLine="420"/>
              <w:jc w:val="both"/>
            </w:pPr>
            <w:r>
              <w:rPr>
                <w:rFonts w:ascii="仿宋_GB2312" w:hAnsi="仿宋_GB2312" w:cs="仿宋_GB2312" w:eastAsia="仿宋_GB2312"/>
                <w:sz w:val="21"/>
              </w:rPr>
              <w:t>8、食材质量及标准要求</w:t>
            </w:r>
          </w:p>
          <w:p>
            <w:pPr>
              <w:pStyle w:val="null3"/>
              <w:ind w:firstLine="420"/>
              <w:jc w:val="both"/>
            </w:pPr>
            <w:r>
              <w:rPr>
                <w:rFonts w:ascii="仿宋_GB2312" w:hAnsi="仿宋_GB2312" w:cs="仿宋_GB2312" w:eastAsia="仿宋_GB2312"/>
                <w:sz w:val="21"/>
              </w:rPr>
              <w:t>供应商所供食材应符合相应的现行、最新食品安全国家标准要求。</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1）面粉执行标准：质量符合国家标准 GB/T 1355-2021 精制粉标准要求（须提供由国家指定质量检测机构出具的检验报告）。</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2）质量要求：无污染、虫害，色泽、气味、口味正常；无异味、霉味；无虫蛀、结块、挂丝或杂质异物；色泽呈白色或微黄色；外观呈细粉末状，无杂质，手指捻捏时无粗粒感，放开后不成团；具有面粉正常气味，无异味。符合国家粮食卫生标准。</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3）包装要求：25kg/袋，应符合《粮食销售包装》（GB/T17109）及相关最新要求，包装袋清洁无污渍，无破损、无渗漏。</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4）标识要求：有生产许可证号，执行标准；标明产品名称、净含量、质量等级、生产企业名称、电话、地址、生产日期、保质期及营养成分表。</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5）供货时剩余保质期不少于标注保质期三分之二。</w:t>
            </w:r>
          </w:p>
          <w:p>
            <w:pPr>
              <w:pStyle w:val="null3"/>
              <w:ind w:firstLine="422"/>
              <w:jc w:val="both"/>
            </w:pPr>
            <w:r>
              <w:rPr>
                <w:rFonts w:ascii="仿宋_GB2312" w:hAnsi="仿宋_GB2312" w:cs="仿宋_GB2312" w:eastAsia="仿宋_GB2312"/>
                <w:sz w:val="21"/>
              </w:rPr>
              <w:t>9、付款方式</w:t>
            </w:r>
          </w:p>
          <w:p>
            <w:pPr>
              <w:pStyle w:val="null3"/>
              <w:ind w:firstLine="420"/>
              <w:jc w:val="both"/>
            </w:pPr>
            <w:r>
              <w:rPr>
                <w:rFonts w:ascii="仿宋_GB2312" w:hAnsi="仿宋_GB2312" w:cs="仿宋_GB2312" w:eastAsia="仿宋_GB2312"/>
                <w:sz w:val="21"/>
              </w:rPr>
              <w:t>1、进度款，货物送达50%，达到付款条件起15个⼯作⽇内，⽀付合同总⾦额的50 .0%</w:t>
            </w:r>
          </w:p>
          <w:p>
            <w:pPr>
              <w:pStyle w:val="null3"/>
            </w:pPr>
            <w:r>
              <w:rPr>
                <w:rFonts w:ascii="仿宋_GB2312" w:hAnsi="仿宋_GB2312" w:cs="仿宋_GB2312" w:eastAsia="仿宋_GB2312"/>
                <w:sz w:val="21"/>
              </w:rPr>
              <w:t xml:space="preserve">    2、进度款，货物送达100%，达到付款条件起15个⼯作⽇内，⽀付合同总⾦额的50 .0%</w:t>
            </w:r>
          </w:p>
          <w:p>
            <w:pPr>
              <w:pStyle w:val="null3"/>
              <w:ind w:firstLine="420"/>
              <w:jc w:val="both"/>
            </w:pPr>
            <w:r>
              <w:rPr>
                <w:rFonts w:ascii="仿宋_GB2312" w:hAnsi="仿宋_GB2312" w:cs="仿宋_GB2312" w:eastAsia="仿宋_GB2312"/>
                <w:sz w:val="21"/>
              </w:rPr>
              <w:t>10、其它事项</w:t>
            </w:r>
          </w:p>
          <w:p>
            <w:pPr>
              <w:pStyle w:val="null3"/>
              <w:ind w:firstLine="420"/>
              <w:jc w:val="both"/>
            </w:pPr>
            <w:r>
              <w:rPr>
                <w:rFonts w:ascii="仿宋_GB2312" w:hAnsi="仿宋_GB2312" w:cs="仿宋_GB2312" w:eastAsia="仿宋_GB2312"/>
                <w:sz w:val="21"/>
              </w:rPr>
              <w:t>1) 因原材料质量问题导致的食品安全或食物中毒责任，在确认产生问题的原材料后， 采购人对供应商进行处罚，甚至终止供货合同，由供应商承担法律责任与经济损失。</w:t>
            </w:r>
          </w:p>
          <w:p>
            <w:pPr>
              <w:pStyle w:val="null3"/>
              <w:ind w:firstLine="420"/>
              <w:jc w:val="both"/>
            </w:pPr>
            <w:r>
              <w:rPr>
                <w:rFonts w:ascii="仿宋_GB2312" w:hAnsi="仿宋_GB2312" w:cs="仿宋_GB2312" w:eastAsia="仿宋_GB2312"/>
                <w:sz w:val="21"/>
              </w:rPr>
              <w:t>2) 出现但不限于以下情况，采购人有权向供应商索赔，甚至终止供货合同：</w:t>
            </w:r>
          </w:p>
          <w:p>
            <w:pPr>
              <w:pStyle w:val="null3"/>
              <w:jc w:val="both"/>
            </w:pPr>
            <w:r>
              <w:rPr>
                <w:rFonts w:ascii="仿宋_GB2312" w:hAnsi="仿宋_GB2312" w:cs="仿宋_GB2312" w:eastAsia="仿宋_GB2312"/>
                <w:sz w:val="21"/>
              </w:rPr>
              <w:t>食材腐败变质、生虫、污秽不洁、混有异物或其它异常情况；含有毒、有</w:t>
            </w:r>
            <w:r>
              <w:rPr>
                <w:rFonts w:ascii="仿宋_GB2312" w:hAnsi="仿宋_GB2312" w:cs="仿宋_GB2312" w:eastAsia="仿宋_GB2312"/>
                <w:sz w:val="21"/>
              </w:rPr>
              <w:t>害物质；含有致病性寄生虫、微生物或微生物含量超过国家限定标准；掺假、掺杂、伪造</w:t>
            </w:r>
            <w:r>
              <w:rPr>
                <w:rFonts w:ascii="仿宋_GB2312" w:hAnsi="仿宋_GB2312" w:cs="仿宋_GB2312" w:eastAsia="仿宋_GB2312"/>
                <w:sz w:val="21"/>
              </w:rPr>
              <w:t>产品；用非食品原料加工，加入非食品用化学物质或者将非食品当作食品；供应商不能按时、按要求供货或不能及时退、换货；供应商向采购人提供不符合采购人需求的产品。</w:t>
            </w:r>
          </w:p>
        </w:tc>
      </w:tr>
      <w:tr>
        <w:tc>
          <w:tcPr>
            <w:tcW w:type="dxa" w:w="2769"/>
          </w:tcPr>
          <w:p>
            <w:pPr>
              <w:pStyle w:val="null3"/>
            </w:pPr>
            <w:r>
              <w:rPr>
                <w:rFonts w:ascii="仿宋_GB2312" w:hAnsi="仿宋_GB2312" w:cs="仿宋_GB2312" w:eastAsia="仿宋_GB2312"/>
              </w:rPr>
              <w:t>2</w:t>
            </w:r>
          </w:p>
        </w:tc>
        <w:tc>
          <w:tcPr>
            <w:tcW w:type="dxa" w:w="2769"/>
          </w:tcPr>
          <w:p>
            <w:pPr>
              <w:pStyle w:val="null3"/>
            </w:pPr>
            <w:r>
              <w:rPr>
                <w:rFonts w:ascii="仿宋_GB2312" w:hAnsi="仿宋_GB2312" w:cs="仿宋_GB2312" w:eastAsia="仿宋_GB2312"/>
              </w:rPr>
              <w:t>★</w:t>
            </w:r>
          </w:p>
        </w:tc>
        <w:tc>
          <w:tcPr>
            <w:tcW w:type="dxa" w:w="2769"/>
          </w:tcPr>
          <w:p>
            <w:pPr>
              <w:pStyle w:val="null3"/>
              <w:jc w:val="both"/>
            </w:pPr>
            <w:r>
              <w:rPr>
                <w:rFonts w:ascii="仿宋_GB2312" w:hAnsi="仿宋_GB2312" w:cs="仿宋_GB2312" w:eastAsia="仿宋_GB2312"/>
                <w:sz w:val="21"/>
                <w:b/>
              </w:rPr>
              <w:t>单价最高限价：面粉：</w:t>
            </w:r>
            <w:r>
              <w:rPr>
                <w:rFonts w:ascii="仿宋_GB2312" w:hAnsi="仿宋_GB2312" w:cs="仿宋_GB2312" w:eastAsia="仿宋_GB2312"/>
                <w:sz w:val="21"/>
                <w:b/>
              </w:rPr>
              <w:t>3.68</w:t>
            </w:r>
            <w:r>
              <w:rPr>
                <w:rFonts w:ascii="仿宋_GB2312" w:hAnsi="仿宋_GB2312" w:cs="仿宋_GB2312" w:eastAsia="仿宋_GB2312"/>
                <w:sz w:val="21"/>
                <w:b/>
              </w:rPr>
              <w:t>元</w:t>
            </w:r>
            <w:r>
              <w:rPr>
                <w:rFonts w:ascii="仿宋_GB2312" w:hAnsi="仿宋_GB2312" w:cs="仿宋_GB2312" w:eastAsia="仿宋_GB2312"/>
                <w:sz w:val="21"/>
                <w:b/>
              </w:rPr>
              <w:t>/kg</w:t>
            </w:r>
            <w:r>
              <w:rPr>
                <w:rFonts w:ascii="仿宋_GB2312" w:hAnsi="仿宋_GB2312" w:cs="仿宋_GB2312" w:eastAsia="仿宋_GB2312"/>
                <w:sz w:val="21"/>
                <w:b/>
              </w:rPr>
              <w:t>、</w:t>
            </w:r>
            <w:r>
              <w:rPr>
                <w:rFonts w:ascii="仿宋_GB2312" w:hAnsi="仿宋_GB2312" w:cs="仿宋_GB2312" w:eastAsia="仿宋_GB2312"/>
                <w:sz w:val="21"/>
                <w:b/>
              </w:rPr>
              <w:t>(92元/每袋25</w:t>
            </w:r>
            <w:r>
              <w:rPr>
                <w:rFonts w:ascii="仿宋_GB2312" w:hAnsi="仿宋_GB2312" w:cs="仿宋_GB2312" w:eastAsia="仿宋_GB2312"/>
                <w:sz w:val="21"/>
                <w:b/>
              </w:rPr>
              <w:t>kg</w:t>
            </w:r>
            <w:r>
              <w:rPr>
                <w:rFonts w:ascii="仿宋_GB2312" w:hAnsi="仿宋_GB2312" w:cs="仿宋_GB2312" w:eastAsia="仿宋_GB2312"/>
                <w:sz w:val="21"/>
                <w:b/>
              </w:rPr>
              <w:t>)</w:t>
            </w:r>
            <w:r>
              <w:rPr>
                <w:rFonts w:ascii="仿宋_GB2312" w:hAnsi="仿宋_GB2312" w:cs="仿宋_GB2312" w:eastAsia="仿宋_GB2312"/>
                <w:sz w:val="21"/>
                <w:b/>
              </w:rPr>
              <w:t>，</w:t>
            </w:r>
            <w:r>
              <w:rPr>
                <w:rFonts w:ascii="仿宋_GB2312" w:hAnsi="仿宋_GB2312" w:cs="仿宋_GB2312" w:eastAsia="仿宋_GB2312"/>
                <w:sz w:val="21"/>
                <w:b/>
              </w:rPr>
              <w:t>投标人总报价除以数量所得单价超过单价最高限价，按无效投标处理。</w:t>
            </w:r>
            <w:r>
              <w:rPr>
                <w:rFonts w:ascii="仿宋_GB2312" w:hAnsi="仿宋_GB2312" w:cs="仿宋_GB2312" w:eastAsia="仿宋_GB2312"/>
                <w:sz w:val="21"/>
                <w:b/>
              </w:rPr>
              <w:t>。</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2026年7月15日至2027年7月14日</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2026年7月15日至2027年7月14日</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陕西西安</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陕西西安</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进度款，货物送达50%，达到付款条件起15个工作日内，支付合同总金额的50.0%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进度款，货物送达100%，达到付款条件起15个工作日内，支付合同总金额的50.0%</w:t>
      </w:r>
    </w:p>
    <w:p>
      <w:pPr>
        <w:pStyle w:val="null3"/>
      </w:pPr>
      <w:r>
        <w:rPr>
          <w:rFonts w:ascii="仿宋_GB2312" w:hAnsi="仿宋_GB2312" w:cs="仿宋_GB2312" w:eastAsia="仿宋_GB2312"/>
        </w:rPr>
        <w:t>采购包2：</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进度款，货物送达50%，达到付款条件起15个工作日内，支付合同总金额的50.0%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进度款，货物送达100%，达到付款条件起15个工作日内，支付合同总金额的50.0%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乙方应按照《中华人民共和国食品卫生安全法》的规定，向甲方供应完全符合相应的现行、最新食品安全国家标准要求的货品，并提供产品合格证，卫生许可证以及质检合格证等相关手续。并保证所供食材均符合国家卫生质量检验标准的正规产品，且完全符合甲方要求，不得出现过期霉变、以次充好等情况。</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乙方应按照《中华人民共和国食品卫生安全法》的规定，向甲方供应完全符合相应的现行、最新食品安全国家标准要求的货品，并提供产品合格证，卫生许可证以及质检合格证等相关手续。并保证所供食材均符合国家卫生质量检验标准的正规产品，且完全符合甲方要求，不得出现过期霉变、以次充好等情况。</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1年</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1年</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违约责任： 1、乙方未按甲方供货通知书确定的日期交货，应承担逾期交货的违约责任，每逾期一日，按逾期交货部分价款的 1‰向甲方支付违约金。逾期超过三日，甲方有权取消该批订货或解除合同。 2、乙方在收取甲方款项之前应为甲方开具相同数额的发票，若乙方未按时开具发票，甲方有权拒绝或延期支付相应款项并不承担任何违约责任。 3、乙方保证卖出货物系乙方有权销售的财产，如属乙方原因致货物质量及权利原因被执法部门没收查处，给甲方造成的损失部分，由乙方按甲方实际损失向甲方赔偿。 4、 甲方一旦发现乙方所供产品出现但不限于以下质量问题的，在收到甲方通知后 24 小时内没有弥补缺陷，甲方可采取必要的补救措施，但其风险和费用将由乙方承担。甲方有权从已供货款中扣回索赔金额，如果严重影响到甲方的正常工作秩序，甲方有权单方面立即解除合同。 (1) 乙方向甲方提供的产品达不到本合同约定的质量标准； 食材腐败变质、油脂酸败、生虫、污秽不洁、混有异物或其它异常情况；含有毒、有害物质；含有致病性寄生虫、微生物或微生物含量超过国家限定标准；掺假、掺杂、伪造产品；用非食品原料加工，加入非食品用化学物质或者将非食品当作食品。 (2) 乙方向甲方提供质量低下或者过期产品，不能及时退货或者换货； (3) 不经双方协商，乙方向甲方提供其他不符合合同规定的产品； (4) 乙方不能及时向甲方提供产品的检验合格证； (5) 乙方接到甲方通知后，未将原材料按时按要求配送到位，影响甲方服刑人员餐 厅正常开餐的，以当日需求计划总量两倍价款赔付当日损失，同时乙方应承担违约责任， 甲方可从其货款中扣除相应违约金额，一月内出现三次及以上的甲方可直接解除合同。 (6) 若乙方供货在地方质检部门或上级主管部门质量抽检不合格率达 5%，合同自动 解除。 5、乙方供应的产品不符合《中华人民共和国食品卫生安全法》的规定标准和本合同 第五条货物质量标准的，甲方可立即解除本合同，乙方还应向甲方支付合同期内已供货总金额10%的违约金；如发生食物中毒等食源性疾病或其他伤害，与乙方所供货品相关，由乙方承担全部法律责任与经济损失,如甲方因此先行垫付费用，有权向乙方全部追偿。同时甲方有权向乙方主张已结算总金额 30%或损失 30%的违约金。 6、如因乙方原因不能保证产品及时有效供应，或其它如产品发生质量问题或不良反应，甲方有权单方终止合同并不承担违约责任。 7、本合同履行期内，如发生不可抗力因素需解除供货合同 (国家政策变化， 甲方机构改制，或经营模式变化等)，导致本合同无法履行的，甲方有权单方面解除本合同，不承担任何违约责任，但需提前七日通知乙方。 8、 甲方一旦发现乙方所供产品如过期、假冒、伪劣、腐烂、发霉等质量问题，甲方有权要求乙方立即调换合格的产品，如乙方拒绝调换或者调换时间延误，不能符合甲方餐饮时间要求的，甲方有权在其他第三方采购，由此产生的第三方费用甲方有权在核算中直接予以扣除。合同期内发生该情况三次以上的，则甲方有权单方面解除本合同并不承担违约责任。 9、乙方未按时足量向甲方供应产品的，甲方有权向其他第三方采购，乙方应向甲方支付其在第三方采购的货品金额。如果一个月内发生两次以上的，甲方有权解除本合同并不承担违约责任，乙方承担本月已供货物金额 10%的违约金。 10、本合同期限内，除非甲方违约在先，乙方不得提前终止合同，否则，甲方有权要求乙方承担本季度已付货款金额 10%的违约金；若因乙方自身原因造成本合同解除或终止的，甲方有权扣除乙方全部货款，且乙方需赔偿甲方因此遭受的全部损失。 11、乙方如逾期供货给甲方造成不良后果时，甲方有权终止与乙方的所有供货业务关系，并要求乙方承担赔偿责任。 12、如有一方违约，或未经守约方同意单方解除本合同的，违约一方应按本季度已付货款金额 10%向守约方支付违约金，并赔偿守约方因此遭受的全部损失包括但不限于守约方为维权所支出的差旅费、诉讼费、公证费、律师费等合理费用。 解决合同纠纷方式 1、产生纠纷首先协商，争取自行友好解决。 2、双方均有权向合同签订地有管辖权的人民法院提起民事诉讼。 3、双方互相留样，如产品在保质期内发现质量问题甲方应在 24 小时内以书面形式通知乙方，双方共同提取样品到相关质检部门抽检，以质检结论为准，明确责任。逾期未提出书面通知视为甲方对产品质量无异议。</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违约责任 1、乙方未按甲方供货通知书确定的日期交货，应承担逾期交货的违约责任，每逾期一日，按逾期交货部分价款的 1‰向甲方支付违约金。逾期超过三日，甲方有权取消该批订货或解除合同。 2、乙方在收取甲方款项之前应为甲方开具相同数额的发票，若乙方未按时开具发票，甲方有权拒绝或延期支付相应款项并不承担任何违约责任。 3、乙方保证卖出货物系乙方有权销售的财产，如属乙方原因致货物质量及权利原因被执法部门没收查处，给甲方造成的损失部分，由乙方按甲方实际损失向甲方赔偿。 4、 甲方一旦发现乙方所供产品出现但不限于以下质量问题的，在收到甲方通知后 24 小时内没有弥补缺陷，甲方可采取必要的补救措施，但其风险和费用将由乙方承担。甲方有权从已供货款中扣回索赔金额，如果严重影响到甲方的正常工作秩序，甲方有权单方面立即解除合同。 (1) 乙方向甲方提供的产品达不到本合同约定的质量标准； 食材腐败变质、油脂酸败、生虫、污秽不洁、混有异物或其它异常情况；含有毒、有害物质；含有致病性寄生虫、微生物或微生物含量超过国家限定标准；掺假、掺杂、伪造产品；用非食品原料加工，加入非食品用化学物质或者将非食品当作食品。 (2) 乙方向甲方提供质量低下或者过期产品，不能及时退货或者换货； (3) 不经双方协商，乙方向甲方提供其他不符合合同规定的产品； (4) 乙方不能及时向甲方提供产品的检验合格证； (5) 乙方接到甲方通知后，未将原材料按时按要求配送到位，影响甲方服刑人员餐 厅正常开餐的，以当日需求计划总量两倍价款赔付当日损失，同时乙方应承担违约责任， 甲方可从其货款中扣除相应违约金额，一月内出现三次及以上的甲方可直接解除合同。 (6) 若乙方供货在地方质检部门或上级主管部门质量抽检不合格率达 5%，合同自动 解除。 5、乙方供应的产品不符合《中华人民共和国食品卫生安全法》的规定标准和本合同 第五条货物质量标准的，甲方可立即解除本合同，乙方还应向甲方支付合同期内已供货总金额10%的违约金；如发生食物中毒等食源性疾病或其他伤害，与乙方所供货品相关，由乙方承担全部法律责任与经济损失,如甲方因此先行垫付费用，有权向乙方全部追偿。同时甲方有权向乙方主张已结算总金额 30%或损失 30%的违约金。 6、如因乙方原因不能保证产品及时有效供应，或其它如产品发生质量问题或不良反应，甲方有权单方终止合同并不承担违约责任。 7、本合同履行期内，如发生不可抗力因素需解除供货合同 (国家政策变化， 甲方机构改制，或经营模式变化等)，导致本合同无法履行的，甲方有权单方面解除本合同，不承担任何违约责任，但需提前七日通知乙方。 8、 甲方一旦发现乙方所供产品如过期、假冒、伪劣、腐烂、发霉等质量问题，甲方有权要求乙方立即调换合格的产品，如乙方拒绝调换或者调换时间延误，不能符合甲方餐饮时间要求的，甲方有权在其他第三方采购，由此产生的第三方费用甲方有权在核算中直接予以扣除。合同期内发生该情况三次以上的，则甲方有权单方面解除本合同并不承担违约责任。 9、乙方未按时足量向甲方供应产品的，甲方有权向其他第三方采购，乙方应向甲方支付其在第三方采购的货品金额。如果一个月内发生两次以上的，甲方有权解除本合同并不承担违约责任，乙方承担本月已供货物金额 10%的违约金。 10、本合同期限内，除非甲方违约在先，乙方不得提前终止合同，否则，甲方有权要求乙方承担本季度已付货款金额 10%的违约金；若因乙方自身原因造成本合同解除或终止的，甲方有权扣除乙方全部货款，且乙方需赔偿甲方因此遭受的全部损失。 11、乙方如逾期供货给甲方造成不良后果时，甲方有权终止与乙方的所有供货业务关系，并要求乙方承担赔偿责任。 12、如有一方违约，或未经守约方同意单方解除本合同的，违约一方应按本季度已付货款金额 10%向守约方支付违约金，并赔偿守约方因此遭受的全部损失包括但不限于守约方为维权所支出的差旅费、诉讼费、公证费、律师费等合理费用。 解决合同纠纷方式 1、产生纠纷首先协商，争取自行友好解决。 2、双方均有权向合同签订地有管辖权的人民法院提起民事诉讼。 3、双方互相留样，如产品在保质期内发现质量问题甲方应在 24 小时内以书面形式通知乙方，双方共同提取样品到相关质检部门抽检，以质检结论为准，明确责任。逾期未提出书面通知视为甲方对产品质量无异议。</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1.本项目专门面向中小企业。 2.本项目属性为货物。 3.本项目采购标的所属行业为：工业； 4.本项目是否属于信用担保试点范围：否。 5.本项目为固定单价合同，投标报价填报投标单价。中标单价金额在合同期内固定不变。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投标人应提交的相关资格证明材料</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投标人应提交的相关资格证明材料</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响应主体</w:t>
            </w:r>
          </w:p>
        </w:tc>
        <w:tc>
          <w:tcPr>
            <w:tcW w:type="dxa" w:w="3322"/>
          </w:tcPr>
          <w:p>
            <w:pPr>
              <w:pStyle w:val="null3"/>
            </w:pPr>
            <w:r>
              <w:rPr>
                <w:rFonts w:ascii="仿宋_GB2312" w:hAnsi="仿宋_GB2312" w:cs="仿宋_GB2312" w:eastAsia="仿宋_GB2312"/>
              </w:rPr>
              <w:t>具有独立承担民事责任能力的法人、其他组织或自然人，提供合法有效的统一社会信用代码营业执照（事业单位提供事业单位法人证书，自然人提供身份证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投标函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法人提供经审计的2024年或2025年度完整的财务报告，应满足以下要求：须提供会计师事务所出具的审计报告复印件,复印件至少须包括报告正文、资产负债表、现金流量表、利润表、附注和会计师事务所营业执照，报告正文应当有会计师事务所公章和2名注册会计师的签字及盖章。（成立时间至响应文件递交截止时间不足一年的可提供成立后任意时段的资产负债表）或响应文件递交截止时间前六个月内基本账户银行出具的资信证明或财政部门认可的政府采购专业担保机构出具的投标担保函。注：提供资信证明的，必须提供资信证明全部页以及基本户信息（提供开户许可证或提供基本银行账户信息），银行出具的存款证明不能代替资信证明，存款证明无效；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投标函 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截止投标时间前六个月内任意一个月的社会保障资金缴存单据或社保机构开具的社会保险参保缴费情况证明；依法不需要缴纳社会保障资金的投标人应提供相关文件证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投标函 投标人应提交的相关资格证明材料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截止投标时间前六个月内任意一个月的纳税证明或完税证明（任意税种），纳税证明或完税证明上应有代收机构或税务机关的公章或业务专用章；依法免税的投标人应提供相关文件证明（复印件加盖投标人公章）；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投标函 投标人应提交的相关资格证明材料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信用主体查询及声明</w:t>
            </w:r>
          </w:p>
        </w:tc>
        <w:tc>
          <w:tcPr>
            <w:tcW w:type="dxa" w:w="3322"/>
          </w:tcPr>
          <w:p>
            <w:pPr>
              <w:pStyle w:val="null3"/>
            </w:pPr>
            <w:r>
              <w:rPr>
                <w:rFonts w:ascii="仿宋_GB2312" w:hAnsi="仿宋_GB2312" w:cs="仿宋_GB2312" w:eastAsia="仿宋_GB2312"/>
              </w:rPr>
              <w:t>供应商未被列入“信用中国”网站（www.creditchina.gov.cn）记录失信被执行人；不处于中国政府采购网（www.ccgp.gov.cn）政府采购严重违法失信行为信息记录中的禁止参加政府采购活动期间；供应商应提供参加本次政府采购活动前3年内在经营活动中没有重大违纪、未被列入失信被执行人、重大税收违法案件当事人名单、政府采购严重违法失信行为记录名单的书面声明。开标评审将登陆“信用中国”网站（www.creditchina.gov.cn）和“中国政府采购网”（www.ccgp.gov.cn）进行审查。</w:t>
            </w:r>
          </w:p>
        </w:tc>
        <w:tc>
          <w:tcPr>
            <w:tcW w:type="dxa" w:w="1661"/>
          </w:tcPr>
          <w:p>
            <w:pPr>
              <w:pStyle w:val="null3"/>
            </w:pPr>
            <w:r>
              <w:rPr>
                <w:rFonts w:ascii="仿宋_GB2312" w:hAnsi="仿宋_GB2312" w:cs="仿宋_GB2312" w:eastAsia="仿宋_GB2312"/>
              </w:rPr>
              <w:t>投标函 投标人应提交的相关资格证明材料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提供具有履行本项目合同所必需的设备和专业能力的承诺</w:t>
            </w:r>
          </w:p>
        </w:tc>
        <w:tc>
          <w:tcPr>
            <w:tcW w:type="dxa" w:w="3322"/>
          </w:tcPr>
          <w:p>
            <w:pPr>
              <w:pStyle w:val="null3"/>
            </w:pPr>
            <w:r>
              <w:rPr>
                <w:rFonts w:ascii="仿宋_GB2312" w:hAnsi="仿宋_GB2312" w:cs="仿宋_GB2312" w:eastAsia="仿宋_GB2312"/>
              </w:rPr>
              <w:t>提供具有履行本项目合同所必需的设备和专业能力的承诺；供应商需在项目电子化交易系统中按要求上传相应证明文件并进行电子签章。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投标函 投标人应提交的相关资格证明材料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企业资质</w:t>
            </w:r>
          </w:p>
        </w:tc>
        <w:tc>
          <w:tcPr>
            <w:tcW w:type="dxa" w:w="3322"/>
          </w:tcPr>
          <w:p>
            <w:pPr>
              <w:pStyle w:val="null3"/>
            </w:pPr>
            <w:r>
              <w:rPr>
                <w:rFonts w:ascii="仿宋_GB2312" w:hAnsi="仿宋_GB2312" w:cs="仿宋_GB2312" w:eastAsia="仿宋_GB2312"/>
              </w:rPr>
              <w:t>投标人如为生产厂商的须具备《食品生产许可证》；投标人为代理商的须提供《食品经营许可证》或《预包装食品经营者备案表》及所投产品生产厂家《食品生产许可证》复印件；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投标函 投标人应提交的相关资格证明材料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声明函</w:t>
            </w:r>
          </w:p>
        </w:tc>
        <w:tc>
          <w:tcPr>
            <w:tcW w:type="dxa" w:w="3322"/>
          </w:tcPr>
          <w:p>
            <w:pPr>
              <w:pStyle w:val="null3"/>
            </w:pPr>
            <w:r>
              <w:rPr>
                <w:rFonts w:ascii="仿宋_GB2312" w:hAnsi="仿宋_GB2312" w:cs="仿宋_GB2312" w:eastAsia="仿宋_GB2312"/>
              </w:rPr>
              <w:t>本项目不接受联合体投标；单位负责人为同一人或者存在控股、管理关系的不同单位，不得参加同一项目的投标；</w:t>
            </w:r>
          </w:p>
        </w:tc>
        <w:tc>
          <w:tcPr>
            <w:tcW w:type="dxa" w:w="1661"/>
          </w:tcPr>
          <w:p>
            <w:pPr>
              <w:pStyle w:val="null3"/>
            </w:pPr>
            <w:r>
              <w:rPr>
                <w:rFonts w:ascii="仿宋_GB2312" w:hAnsi="仿宋_GB2312" w:cs="仿宋_GB2312" w:eastAsia="仿宋_GB2312"/>
              </w:rPr>
              <w:t>投标函 投标人应提交的相关资格证明材料</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响应主体</w:t>
            </w:r>
          </w:p>
        </w:tc>
        <w:tc>
          <w:tcPr>
            <w:tcW w:type="dxa" w:w="3322"/>
          </w:tcPr>
          <w:p>
            <w:pPr>
              <w:pStyle w:val="null3"/>
            </w:pPr>
            <w:r>
              <w:rPr>
                <w:rFonts w:ascii="仿宋_GB2312" w:hAnsi="仿宋_GB2312" w:cs="仿宋_GB2312" w:eastAsia="仿宋_GB2312"/>
              </w:rPr>
              <w:t>具有独立承担民事责任能力的法人、其他组织或自然人，提供合法有效的统一社会信用代码营业执照（事业单位提供事业单位法人证书，自然人提供身份证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投标函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法人提供经审计的2024年或2025年度完整的财务报告，应满足以下要求：须提供会计师事务所出具的审计报告复印件,复印件至少须包括报告正文、资产负债表、现金流量表、利润表、附注和会计师事务所营业执照，报告正文应当有会计师事务所公章和2名注册会计师的签字及盖章。（成立时间至响应文件递交截止时间不足一年的可提供成立后任意时段的资产负债表）或响应文件递交截止时间前六个月内基本账户银行出具的资信证明或财政部门认可的政府采购专业担保机构出具的投标担保函。注：提供资信证明的，必须提供资信证明全部页以及基本户信息（提供开户许可证或提供基本银行账户信息），银行出具的存款证明不能代替资信证明，存款证明无效；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投标函 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截止投标时间前六个月内任意一个月的社会保障资金缴存单据或社保机构开具的社会保险参保缴费情况证明；依法不需要缴纳社会保障资金的投标人应提供相关文件证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投标函 投标人应提交的相关资格证明材料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截止投标时间前六个月内任意一个月的纳税证明或完税证明（任意税种），纳税证明或完税证明上应有代收机构或税务机关的公章或业务专用章；依法免税的投标人应提供相关文件证明（复印件加盖投标人公章）；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投标函 投标人应提交的相关资格证明材料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信用主体查询及声明</w:t>
            </w:r>
          </w:p>
        </w:tc>
        <w:tc>
          <w:tcPr>
            <w:tcW w:type="dxa" w:w="3322"/>
          </w:tcPr>
          <w:p>
            <w:pPr>
              <w:pStyle w:val="null3"/>
            </w:pPr>
            <w:r>
              <w:rPr>
                <w:rFonts w:ascii="仿宋_GB2312" w:hAnsi="仿宋_GB2312" w:cs="仿宋_GB2312" w:eastAsia="仿宋_GB2312"/>
              </w:rPr>
              <w:t>供应商未被列入“信用中国”网站（www.creditchina.gov.cn）记录失信被执行人；不处于中国政府采购网（www.ccgp.gov.cn）政府采购严重违法失信行为信息记录中的禁止参加政府采购活动期间；供应商应提供参加本次政府采购活动前3年内在经营活动中没有重大违纪、未被列入失信被执行人、重大税收违法案件当事人名单、政府采购严重违法失信行为记录名单的书面声明。开标评审将登陆“信用中国”网站（www.creditchina.gov.cn）和“中国政府采购网”（www.ccgp.gov.cn）进行审查。</w:t>
            </w:r>
          </w:p>
        </w:tc>
        <w:tc>
          <w:tcPr>
            <w:tcW w:type="dxa" w:w="1661"/>
          </w:tcPr>
          <w:p>
            <w:pPr>
              <w:pStyle w:val="null3"/>
            </w:pPr>
            <w:r>
              <w:rPr>
                <w:rFonts w:ascii="仿宋_GB2312" w:hAnsi="仿宋_GB2312" w:cs="仿宋_GB2312" w:eastAsia="仿宋_GB2312"/>
              </w:rPr>
              <w:t>投标函 投标人应提交的相关资格证明材料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提供具有履行本项目合同所必需的设备和专业能力的承诺；</w:t>
            </w:r>
          </w:p>
        </w:tc>
        <w:tc>
          <w:tcPr>
            <w:tcW w:type="dxa" w:w="3322"/>
          </w:tcPr>
          <w:p>
            <w:pPr>
              <w:pStyle w:val="null3"/>
            </w:pPr>
            <w:r>
              <w:rPr>
                <w:rFonts w:ascii="仿宋_GB2312" w:hAnsi="仿宋_GB2312" w:cs="仿宋_GB2312" w:eastAsia="仿宋_GB2312"/>
              </w:rPr>
              <w:t>提供具有履行本项目合同所必需的设备和专业能力的承诺；供应商需在项目电子化交易系统中按要求上传相应证明文件并进行电子签章。（格式自拟）</w:t>
            </w:r>
          </w:p>
        </w:tc>
        <w:tc>
          <w:tcPr>
            <w:tcW w:type="dxa" w:w="1661"/>
          </w:tcPr>
          <w:p>
            <w:pPr>
              <w:pStyle w:val="null3"/>
            </w:pPr>
            <w:r>
              <w:rPr>
                <w:rFonts w:ascii="仿宋_GB2312" w:hAnsi="仿宋_GB2312" w:cs="仿宋_GB2312" w:eastAsia="仿宋_GB2312"/>
              </w:rPr>
              <w:t>投标函 投标人应提交的相关资格证明材料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企业资质</w:t>
            </w:r>
          </w:p>
        </w:tc>
        <w:tc>
          <w:tcPr>
            <w:tcW w:type="dxa" w:w="3322"/>
          </w:tcPr>
          <w:p>
            <w:pPr>
              <w:pStyle w:val="null3"/>
            </w:pPr>
            <w:r>
              <w:rPr>
                <w:rFonts w:ascii="仿宋_GB2312" w:hAnsi="仿宋_GB2312" w:cs="仿宋_GB2312" w:eastAsia="仿宋_GB2312"/>
              </w:rPr>
              <w:t>投标人如为生产厂商的须具备《食品生产许可证》；投标人为代理商的须提供《食品经营许可证》或《预包装食品经营者备案表》及所投产品生产厂家《食品生产许可证》复印件；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投标函 投标人应提交的相关资格证明材料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声明函</w:t>
            </w:r>
          </w:p>
        </w:tc>
        <w:tc>
          <w:tcPr>
            <w:tcW w:type="dxa" w:w="3322"/>
          </w:tcPr>
          <w:p>
            <w:pPr>
              <w:pStyle w:val="null3"/>
            </w:pPr>
            <w:r>
              <w:rPr>
                <w:rFonts w:ascii="仿宋_GB2312" w:hAnsi="仿宋_GB2312" w:cs="仿宋_GB2312" w:eastAsia="仿宋_GB2312"/>
              </w:rPr>
              <w:t>本项目不接受联合体投标；单位负责人为同一人或者存在控股、管理关系的不同单位，不得参加同一项目的投标；</w:t>
            </w:r>
          </w:p>
        </w:tc>
        <w:tc>
          <w:tcPr>
            <w:tcW w:type="dxa" w:w="1661"/>
          </w:tcPr>
          <w:p>
            <w:pPr>
              <w:pStyle w:val="null3"/>
            </w:pPr>
            <w:r>
              <w:rPr>
                <w:rFonts w:ascii="仿宋_GB2312" w:hAnsi="仿宋_GB2312" w:cs="仿宋_GB2312" w:eastAsia="仿宋_GB2312"/>
              </w:rPr>
              <w:t>投标函 投标人应提交的相关资格证明材料</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参与的供应商（联合体）提供的货物全部由符合政策要求的中小企业制造。</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参与的供应商（联合体）提供的货物全部由符合政策要求的中小企业制造。</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投标授权代表</w:t>
            </w:r>
          </w:p>
        </w:tc>
        <w:tc>
          <w:tcPr>
            <w:tcW w:type="dxa" w:w="3322"/>
          </w:tcPr>
          <w:p>
            <w:pPr>
              <w:pStyle w:val="null3"/>
            </w:pPr>
            <w:r>
              <w:rPr>
                <w:rFonts w:ascii="仿宋_GB2312" w:hAnsi="仿宋_GB2312" w:cs="仿宋_GB2312" w:eastAsia="仿宋_GB2312"/>
              </w:rPr>
              <w:t>投标人应授权合法的人员参加本项目招标活动全过程，其中法定代表人直接参加开标活动的，应出具法定代表人证明书及法定代表人合法有效的身份证扫描件，且应与营业执照上信息一致；法定代表人授权代表参加开标活动的，应出具法定代表人证明书、法定代表人授权书及授权代表合法有效的身份证扫描件及授权代表投标截止日前一年内已缴存的至少一个月的社会保险参保缴费证明。</w:t>
            </w:r>
          </w:p>
        </w:tc>
        <w:tc>
          <w:tcPr>
            <w:tcW w:type="dxa" w:w="1661"/>
          </w:tcPr>
          <w:p>
            <w:pPr>
              <w:pStyle w:val="null3"/>
            </w:pPr>
            <w:r>
              <w:rPr>
                <w:rFonts w:ascii="仿宋_GB2312" w:hAnsi="仿宋_GB2312" w:cs="仿宋_GB2312" w:eastAsia="仿宋_GB2312"/>
              </w:rPr>
              <w:t>投标文件封面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与项目的一致性</w:t>
            </w:r>
          </w:p>
        </w:tc>
        <w:tc>
          <w:tcPr>
            <w:tcW w:type="dxa" w:w="3322"/>
          </w:tcPr>
          <w:p>
            <w:pPr>
              <w:pStyle w:val="null3"/>
            </w:pPr>
            <w:r>
              <w:rPr>
                <w:rFonts w:ascii="仿宋_GB2312" w:hAnsi="仿宋_GB2312" w:cs="仿宋_GB2312" w:eastAsia="仿宋_GB2312"/>
              </w:rPr>
              <w:t>少以下三处的项目名称、项目编号、合同包（未分合同包的除外）与本项目完全一致： （1）投标文件封面 （2）投标函 （3）法定代表人（负责人）委托授权书\身份证明</w:t>
            </w:r>
          </w:p>
        </w:tc>
        <w:tc>
          <w:tcPr>
            <w:tcW w:type="dxa" w:w="1661"/>
          </w:tcPr>
          <w:p>
            <w:pPr>
              <w:pStyle w:val="null3"/>
            </w:pPr>
            <w:r>
              <w:rPr>
                <w:rFonts w:ascii="仿宋_GB2312" w:hAnsi="仿宋_GB2312" w:cs="仿宋_GB2312" w:eastAsia="仿宋_GB2312"/>
              </w:rPr>
              <w:t>投标文件封面 投标人应提交的相关资格证明材料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投标文件组成</w:t>
            </w:r>
          </w:p>
        </w:tc>
        <w:tc>
          <w:tcPr>
            <w:tcW w:type="dxa" w:w="3322"/>
          </w:tcPr>
          <w:p>
            <w:pPr>
              <w:pStyle w:val="null3"/>
            </w:pPr>
            <w:r>
              <w:rPr>
                <w:rFonts w:ascii="仿宋_GB2312" w:hAnsi="仿宋_GB2312" w:cs="仿宋_GB2312" w:eastAsia="仿宋_GB2312"/>
              </w:rPr>
              <w:t>投标文件完整且编排有序，投标内容基本完整，无重大错漏；</w:t>
            </w:r>
          </w:p>
        </w:tc>
        <w:tc>
          <w:tcPr>
            <w:tcW w:type="dxa" w:w="1661"/>
          </w:tcPr>
          <w:p>
            <w:pPr>
              <w:pStyle w:val="null3"/>
            </w:pPr>
            <w:r>
              <w:rPr>
                <w:rFonts w:ascii="仿宋_GB2312" w:hAnsi="仿宋_GB2312" w:cs="仿宋_GB2312" w:eastAsia="仿宋_GB2312"/>
              </w:rPr>
              <w:t>陕西省政府采购供应商拒绝政府采购领域商业贿赂承诺书 投标文件封面</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同时满足以下条款： （1）货币单位符合招标文件要求（2）报价符合唯一性要求 （3）未超出采购预算或最高限价</w:t>
            </w:r>
          </w:p>
        </w:tc>
        <w:tc>
          <w:tcPr>
            <w:tcW w:type="dxa" w:w="1661"/>
          </w:tcPr>
          <w:p>
            <w:pPr>
              <w:pStyle w:val="null3"/>
            </w:pPr>
            <w:r>
              <w:rPr>
                <w:rFonts w:ascii="仿宋_GB2312" w:hAnsi="仿宋_GB2312" w:cs="仿宋_GB2312" w:eastAsia="仿宋_GB2312"/>
              </w:rPr>
              <w:t>投标文件封面</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合同及其它条款</w:t>
            </w:r>
          </w:p>
        </w:tc>
        <w:tc>
          <w:tcPr>
            <w:tcW w:type="dxa" w:w="3322"/>
          </w:tcPr>
          <w:p>
            <w:pPr>
              <w:pStyle w:val="null3"/>
            </w:pPr>
            <w:r>
              <w:rPr>
                <w:rFonts w:ascii="仿宋_GB2312" w:hAnsi="仿宋_GB2312" w:cs="仿宋_GB2312" w:eastAsia="仿宋_GB2312"/>
              </w:rPr>
              <w:t>完全理解并响应采购文件合同条款的要求，且未含有采购人不能接受的附加条件的。</w:t>
            </w:r>
          </w:p>
        </w:tc>
        <w:tc>
          <w:tcPr>
            <w:tcW w:type="dxa" w:w="1661"/>
          </w:tcPr>
          <w:p>
            <w:pPr>
              <w:pStyle w:val="null3"/>
            </w:pPr>
            <w:r>
              <w:rPr>
                <w:rFonts w:ascii="仿宋_GB2312" w:hAnsi="仿宋_GB2312" w:cs="仿宋_GB2312" w:eastAsia="仿宋_GB2312"/>
              </w:rPr>
              <w:t>投标文件封面</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符合法律、法规和招标文件中规定的其他实质性要求</w:t>
            </w:r>
          </w:p>
        </w:tc>
        <w:tc>
          <w:tcPr>
            <w:tcW w:type="dxa" w:w="3322"/>
          </w:tcPr>
          <w:p>
            <w:pPr>
              <w:pStyle w:val="null3"/>
            </w:pPr>
            <w:r>
              <w:rPr>
                <w:rFonts w:ascii="仿宋_GB2312" w:hAnsi="仿宋_GB2312" w:cs="仿宋_GB2312" w:eastAsia="仿宋_GB2312"/>
              </w:rPr>
              <w:t>符合法律、法规和招标文件中规定的其他实质性要求</w:t>
            </w:r>
          </w:p>
        </w:tc>
        <w:tc>
          <w:tcPr>
            <w:tcW w:type="dxa" w:w="1661"/>
          </w:tcPr>
          <w:p>
            <w:pPr>
              <w:pStyle w:val="null3"/>
            </w:pPr>
            <w:r>
              <w:rPr>
                <w:rFonts w:ascii="仿宋_GB2312" w:hAnsi="仿宋_GB2312" w:cs="仿宋_GB2312" w:eastAsia="仿宋_GB2312"/>
              </w:rPr>
              <w:t>投标文件封面</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投标授权代表</w:t>
            </w:r>
          </w:p>
        </w:tc>
        <w:tc>
          <w:tcPr>
            <w:tcW w:type="dxa" w:w="3322"/>
          </w:tcPr>
          <w:p>
            <w:pPr>
              <w:pStyle w:val="null3"/>
            </w:pPr>
            <w:r>
              <w:rPr>
                <w:rFonts w:ascii="仿宋_GB2312" w:hAnsi="仿宋_GB2312" w:cs="仿宋_GB2312" w:eastAsia="仿宋_GB2312"/>
              </w:rPr>
              <w:t>投标人应授权合法的人员参加本项目招标活动全过程，其中法定代表人直接参加开标活动的，应出具法定代表人证明书及法定代表人合法有效的身份证扫描件，且应与营业执照上信息一致；法定代表人授权代表参加开标活动的，应出具法定代表人证明书、法定代表人授权书及授权代表合法有效的身份证扫描件及授权代表投标截止日前一年内已缴存的至少一个月的社会保险参保缴费证明。</w:t>
            </w:r>
          </w:p>
        </w:tc>
        <w:tc>
          <w:tcPr>
            <w:tcW w:type="dxa" w:w="1661"/>
          </w:tcPr>
          <w:p>
            <w:pPr>
              <w:pStyle w:val="null3"/>
            </w:pPr>
            <w:r>
              <w:rPr>
                <w:rFonts w:ascii="仿宋_GB2312" w:hAnsi="仿宋_GB2312" w:cs="仿宋_GB2312" w:eastAsia="仿宋_GB2312"/>
              </w:rPr>
              <w:t>投标文件封面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与项目的一致性</w:t>
            </w:r>
          </w:p>
        </w:tc>
        <w:tc>
          <w:tcPr>
            <w:tcW w:type="dxa" w:w="3322"/>
          </w:tcPr>
          <w:p>
            <w:pPr>
              <w:pStyle w:val="null3"/>
            </w:pPr>
            <w:r>
              <w:rPr>
                <w:rFonts w:ascii="仿宋_GB2312" w:hAnsi="仿宋_GB2312" w:cs="仿宋_GB2312" w:eastAsia="仿宋_GB2312"/>
              </w:rPr>
              <w:t>至少以下三处的项目名称、项目编号、合同包（未分合同包的除外）与本项目完全一致： （1）投标文件封面 （2）投标函 （3）法定代表人（负责人）委托授权书\身份证明</w:t>
            </w:r>
          </w:p>
        </w:tc>
        <w:tc>
          <w:tcPr>
            <w:tcW w:type="dxa" w:w="1661"/>
          </w:tcPr>
          <w:p>
            <w:pPr>
              <w:pStyle w:val="null3"/>
            </w:pPr>
            <w:r>
              <w:rPr>
                <w:rFonts w:ascii="仿宋_GB2312" w:hAnsi="仿宋_GB2312" w:cs="仿宋_GB2312" w:eastAsia="仿宋_GB2312"/>
              </w:rPr>
              <w:t>投标文件封面 投标人应提交的相关资格证明材料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投标文件组成</w:t>
            </w:r>
          </w:p>
        </w:tc>
        <w:tc>
          <w:tcPr>
            <w:tcW w:type="dxa" w:w="3322"/>
          </w:tcPr>
          <w:p>
            <w:pPr>
              <w:pStyle w:val="null3"/>
            </w:pPr>
            <w:r>
              <w:rPr>
                <w:rFonts w:ascii="仿宋_GB2312" w:hAnsi="仿宋_GB2312" w:cs="仿宋_GB2312" w:eastAsia="仿宋_GB2312"/>
              </w:rPr>
              <w:t>投标文件完整且编排有序，投标内容基本完整，无重大错漏</w:t>
            </w:r>
          </w:p>
        </w:tc>
        <w:tc>
          <w:tcPr>
            <w:tcW w:type="dxa" w:w="1661"/>
          </w:tcPr>
          <w:p>
            <w:pPr>
              <w:pStyle w:val="null3"/>
            </w:pPr>
            <w:r>
              <w:rPr>
                <w:rFonts w:ascii="仿宋_GB2312" w:hAnsi="仿宋_GB2312" w:cs="仿宋_GB2312" w:eastAsia="仿宋_GB2312"/>
              </w:rPr>
              <w:t>陕西省政府采购供应商拒绝政府采购领域商业贿赂承诺书 投标文件封面</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同时满足以下条款： （1）货币单位符合招标文件要求（2）报价符合唯一性要求 （3）未超出采购预算或最高限价</w:t>
            </w:r>
          </w:p>
        </w:tc>
        <w:tc>
          <w:tcPr>
            <w:tcW w:type="dxa" w:w="1661"/>
          </w:tcPr>
          <w:p>
            <w:pPr>
              <w:pStyle w:val="null3"/>
            </w:pPr>
            <w:r>
              <w:rPr>
                <w:rFonts w:ascii="仿宋_GB2312" w:hAnsi="仿宋_GB2312" w:cs="仿宋_GB2312" w:eastAsia="仿宋_GB2312"/>
              </w:rPr>
              <w:t>投标文件封面</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投标有效期满足采购文件的要求</w:t>
            </w:r>
          </w:p>
        </w:tc>
        <w:tc>
          <w:tcPr>
            <w:tcW w:type="dxa" w:w="1661"/>
          </w:tcPr>
          <w:p>
            <w:pPr>
              <w:pStyle w:val="null3"/>
            </w:pPr>
            <w:r>
              <w:rPr>
                <w:rFonts w:ascii="仿宋_GB2312" w:hAnsi="仿宋_GB2312" w:cs="仿宋_GB2312" w:eastAsia="仿宋_GB2312"/>
              </w:rPr>
              <w:t>投标文件封面</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合同及其它条款</w:t>
            </w:r>
          </w:p>
        </w:tc>
        <w:tc>
          <w:tcPr>
            <w:tcW w:type="dxa" w:w="3322"/>
          </w:tcPr>
          <w:p>
            <w:pPr>
              <w:pStyle w:val="null3"/>
            </w:pPr>
            <w:r>
              <w:rPr>
                <w:rFonts w:ascii="仿宋_GB2312" w:hAnsi="仿宋_GB2312" w:cs="仿宋_GB2312" w:eastAsia="仿宋_GB2312"/>
              </w:rPr>
              <w:t>完全理解并响应采购文件合同条款的要求，且未含有采购人不能接受的附加条件的。</w:t>
            </w:r>
          </w:p>
        </w:tc>
        <w:tc>
          <w:tcPr>
            <w:tcW w:type="dxa" w:w="1661"/>
          </w:tcPr>
          <w:p>
            <w:pPr>
              <w:pStyle w:val="null3"/>
            </w:pPr>
            <w:r>
              <w:rPr>
                <w:rFonts w:ascii="仿宋_GB2312" w:hAnsi="仿宋_GB2312" w:cs="仿宋_GB2312" w:eastAsia="仿宋_GB2312"/>
              </w:rPr>
              <w:t>投标文件封面</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符合法律、法规和招标文件中规定的其他实质性要求</w:t>
            </w:r>
          </w:p>
        </w:tc>
        <w:tc>
          <w:tcPr>
            <w:tcW w:type="dxa" w:w="3322"/>
          </w:tcPr>
          <w:p>
            <w:pPr>
              <w:pStyle w:val="null3"/>
            </w:pPr>
            <w:r>
              <w:rPr>
                <w:rFonts w:ascii="仿宋_GB2312" w:hAnsi="仿宋_GB2312" w:cs="仿宋_GB2312" w:eastAsia="仿宋_GB2312"/>
              </w:rPr>
              <w:t>符合法律、法规和招标文件中规定的其他实质性要求</w:t>
            </w:r>
          </w:p>
        </w:tc>
        <w:tc>
          <w:tcPr>
            <w:tcW w:type="dxa" w:w="1661"/>
          </w:tcPr>
          <w:p>
            <w:pPr>
              <w:pStyle w:val="null3"/>
            </w:pPr>
            <w:r>
              <w:rPr>
                <w:rFonts w:ascii="仿宋_GB2312" w:hAnsi="仿宋_GB2312" w:cs="仿宋_GB2312" w:eastAsia="仿宋_GB2312"/>
              </w:rPr>
              <w:t>投标文件封面</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采购包2：</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配送服务方案</w:t>
            </w:r>
          </w:p>
        </w:tc>
        <w:tc>
          <w:tcPr>
            <w:tcW w:type="dxa" w:w="2492"/>
          </w:tcPr>
          <w:p>
            <w:pPr>
              <w:pStyle w:val="null3"/>
            </w:pPr>
            <w:r>
              <w:rPr>
                <w:rFonts w:ascii="仿宋_GB2312" w:hAnsi="仿宋_GB2312" w:cs="仿宋_GB2312" w:eastAsia="仿宋_GB2312"/>
              </w:rPr>
              <w:t>评审内容：供应商提供的配送服务方案内容包括①供货保障、②管理制度、③运行模式。 以上内容全面详细配送服务方案详细全面、思路清晰、科学合理、切实可行，完全满足采购人需求计9分。 评审内容缺每一项扣3分，评审内容有缺陷（缺陷是指：内容粗略、逻辑混乱、描述过于简单、与项目特点不匹配、凭空编造、逻辑漏洞、出现常识性错误、存在不适用项目实际情况的情形或只有标题没有实质性内容等）的任意一种情形扣1分，扣完为止，未提供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w:t>
            </w:r>
          </w:p>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质量保证方案</w:t>
            </w:r>
          </w:p>
        </w:tc>
        <w:tc>
          <w:tcPr>
            <w:tcW w:type="dxa" w:w="2492"/>
          </w:tcPr>
          <w:p>
            <w:pPr>
              <w:pStyle w:val="null3"/>
            </w:pPr>
            <w:r>
              <w:rPr>
                <w:rFonts w:ascii="仿宋_GB2312" w:hAnsi="仿宋_GB2312" w:cs="仿宋_GB2312" w:eastAsia="仿宋_GB2312"/>
              </w:rPr>
              <w:t>评审内容：供应商提供的质量保证方案内容包括①质量安全保证具体措施、②卫生安全、③货物的来源（提供必要的证明材料复印件或扫描件包括但不限于销售协议、代理商授权、检测报告等）、④采购环节控制、⑤加工包装保存运输等环节。以上内容全面详细、目标明确、科学合理 质量保证方案完整、详尽，证明文件齐全计15分； 评审内容缺每一项扣3分,评审内容有缺陷（缺陷是指：内容粗略、逻辑混乱、描述过于简单、与项目特点不匹配、凭空编造、逻辑漏洞、出现常识性错误、存在不适用项目实际情况的情形或只有标题没有实质性内容等）的任意一种情形扣0.5分，扣完为止，未提供不得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w:t>
            </w:r>
          </w:p>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运输能力</w:t>
            </w:r>
          </w:p>
        </w:tc>
        <w:tc>
          <w:tcPr>
            <w:tcW w:type="dxa" w:w="2492"/>
          </w:tcPr>
          <w:p>
            <w:pPr>
              <w:pStyle w:val="null3"/>
            </w:pPr>
            <w:r>
              <w:rPr>
                <w:rFonts w:ascii="仿宋_GB2312" w:hAnsi="仿宋_GB2312" w:cs="仿宋_GB2312" w:eastAsia="仿宋_GB2312"/>
              </w:rPr>
              <w:t>评审内容：供应商提供运输能力内容包括①食品配送保障措施完善，②具备完善的配送设备及车辆运输情况配备（包括但不限于车辆类型、数量、用途、配置说明、保温保鲜条件、使用年限、车况等）：评审内容缺每一项扣3分,评审内容有缺陷（缺陷是指：内容粗略、逻辑混乱、描述过于简单、与项目特点不匹配、凭空编造、逻辑漏洞、出现常识性错误、存在不适用项目实际情况的情形或只有标题没有实质性内容等）的任意一种情形扣0.5分，扣完为止，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w:t>
            </w:r>
          </w:p>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评审内容：供应商提人员配备内容包括①岗位配置种类、②岗位职责、③岗位人员配置数量。以上内容全面详细、阐述条理清晰详尽，符合本项目需求得9分。评审内容每缺一项扣3分,评审内容有缺陷（缺陷是指：内容粗略、逻辑混乱、描述过于简单、与项目特点不匹配、凭空编造、逻辑漏洞、出现常识性错误、存在不适用项目实际情况的情形或只有标题没有实质性内容等）的任意一种情形扣0.5分，扣完为止，未提供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技术方案</w:t>
            </w:r>
          </w:p>
        </w:tc>
      </w:tr>
      <w:tr>
        <w:tc>
          <w:tcPr>
            <w:tcW w:type="dxa" w:w="831"/>
            <w:vMerge/>
          </w:tcPr>
          <w:p/>
        </w:tc>
        <w:tc>
          <w:tcPr>
            <w:tcW w:type="dxa" w:w="1661"/>
          </w:tcPr>
          <w:p>
            <w:pPr>
              <w:pStyle w:val="null3"/>
            </w:pPr>
            <w:r>
              <w:rPr>
                <w:rFonts w:ascii="仿宋_GB2312" w:hAnsi="仿宋_GB2312" w:cs="仿宋_GB2312" w:eastAsia="仿宋_GB2312"/>
              </w:rPr>
              <w:t>食品原材料存储能力</w:t>
            </w:r>
          </w:p>
        </w:tc>
        <w:tc>
          <w:tcPr>
            <w:tcW w:type="dxa" w:w="2492"/>
          </w:tcPr>
          <w:p>
            <w:pPr>
              <w:pStyle w:val="null3"/>
            </w:pPr>
            <w:r>
              <w:rPr>
                <w:rFonts w:ascii="仿宋_GB2312" w:hAnsi="仿宋_GB2312" w:cs="仿宋_GB2312" w:eastAsia="仿宋_GB2312"/>
              </w:rPr>
              <w:t>评审内容：供应商提食品原材料存储能力内容包括①配送车间、②存货仓库、③仓储设备、各种设施条件等（食品原材料储存场地配有固定的配送车间、存货仓库等，场地规范、条件良好、卫生整洁，有场地证明资料，提供相关证明材料图片）。以上内容全面详细、阐述条理清晰详尽，符合本项目需求得9分。评审内容每缺一项扣3分,评审内容有缺陷（缺陷是指：内容粗略、逻辑混乱、描述过于简单、与项目特点不匹配、凭空编造、逻辑漏洞、出现常识性错误、存在不适用项目实际情况的情形或只有标题没有实质性内容等）的任意一种情形扣0.5分，扣完为止，未提供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技术方案</w:t>
            </w:r>
          </w:p>
        </w:tc>
      </w:tr>
      <w:tr>
        <w:tc>
          <w:tcPr>
            <w:tcW w:type="dxa" w:w="831"/>
            <w:vMerge/>
          </w:tcPr>
          <w:p/>
        </w:tc>
        <w:tc>
          <w:tcPr>
            <w:tcW w:type="dxa" w:w="1661"/>
          </w:tcPr>
          <w:p>
            <w:pPr>
              <w:pStyle w:val="null3"/>
            </w:pPr>
            <w:r>
              <w:rPr>
                <w:rFonts w:ascii="仿宋_GB2312" w:hAnsi="仿宋_GB2312" w:cs="仿宋_GB2312" w:eastAsia="仿宋_GB2312"/>
              </w:rPr>
              <w:t>应急配送方案</w:t>
            </w:r>
          </w:p>
        </w:tc>
        <w:tc>
          <w:tcPr>
            <w:tcW w:type="dxa" w:w="2492"/>
          </w:tcPr>
          <w:p>
            <w:pPr>
              <w:pStyle w:val="null3"/>
            </w:pPr>
            <w:r>
              <w:rPr>
                <w:rFonts w:ascii="仿宋_GB2312" w:hAnsi="仿宋_GB2312" w:cs="仿宋_GB2312" w:eastAsia="仿宋_GB2312"/>
              </w:rPr>
              <w:t>评审内容：供应商针对本项目的应急配送方案内容包括①采购人临时需求、②恶劣天气影响、③交通延误、④食材短缺。以上内容全面详细、阐述条理清晰详尽，符合本项目需求得8分。评审内容每缺一项扣3分,评审内容有缺陷（缺陷是指：内容粗略、逻辑混乱、描述过于简单、与项目特点不匹配、凭空编造、逻辑漏洞、出现常识性错误、存在不适用项目实际情况的情形或只有标题没有实质性内容等）的任意一种情形扣0.5分，扣完为止，未提供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w:t>
            </w:r>
          </w:p>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安全事故应急方案</w:t>
            </w:r>
          </w:p>
        </w:tc>
        <w:tc>
          <w:tcPr>
            <w:tcW w:type="dxa" w:w="2492"/>
          </w:tcPr>
          <w:p>
            <w:pPr>
              <w:pStyle w:val="null3"/>
            </w:pPr>
            <w:r>
              <w:rPr>
                <w:rFonts w:ascii="仿宋_GB2312" w:hAnsi="仿宋_GB2312" w:cs="仿宋_GB2312" w:eastAsia="仿宋_GB2312"/>
              </w:rPr>
              <w:t>评审内容：供应商针对食品配送防护及若发生食物中毒或者其他潜在造成人员健康问题的安全事故的应急方案。 以上内容全面详细、阐述条理清晰详尽，符合本项目需求得3分； 评审内容有缺陷（缺陷是指：内容粗略、逻辑混乱、描述过于简单、与项目特点不匹配、凭空编造、逻辑漏洞、出现常识性错误、存在不适用项目实际情况的情形或只有标题没有实质性内容等）的任意一种情形扣0.5分，扣完为止，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w:t>
            </w:r>
          </w:p>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评审内容：所供产品出现不合格、运输途中破损等问题时，供应商接到采购人通知后的响应时间及退换货方案评审。 以上内容全面详细、阐述条理清晰详尽，符合本项目需求得3分； 评审内容有缺陷（缺陷是指：内容粗略、逻辑混乱、描述过于简单、与项目特点不匹配、凭空编造、逻辑漏洞、出现常识性错误、存在不适用项目实际情况的情形或只有标题没有实质性内容等）的任意一种情形扣0.5分，扣完为止，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w:t>
            </w:r>
          </w:p>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提供2023年1月1日至今的类似项目业绩（以合同复印件及签订时间为准），每提供一份业绩得1分，最多计4分。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技术方案</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经初审合格的投标文件，其投标报价为有效投标报价。2.满足招标文件实质性要求且投标报价最低的投标价格为投标基准价，其价格分30分。3.投标报价得分=（投标基准价/投标报价）×30的公式计算得分。4.投标报价不完整的，不进入投标基准价的计算，本项得0分。</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配送服务方案</w:t>
            </w:r>
          </w:p>
        </w:tc>
        <w:tc>
          <w:tcPr>
            <w:tcW w:type="dxa" w:w="2492"/>
          </w:tcPr>
          <w:p>
            <w:pPr>
              <w:pStyle w:val="null3"/>
            </w:pPr>
            <w:r>
              <w:rPr>
                <w:rFonts w:ascii="仿宋_GB2312" w:hAnsi="仿宋_GB2312" w:cs="仿宋_GB2312" w:eastAsia="仿宋_GB2312"/>
              </w:rPr>
              <w:t>评审内容：供应商提供的配送服务方案内容包括①供货保障、②管理制度、③运行模式。 以上内容全面详细配送服务方案详细全面、思路清晰、科学合理、切实可行，完全满足采购人需求计9分。 评审内容缺每一项扣3分，评审内容有缺陷（缺陷是指：内容粗略、逻辑混乱、描述过于简单、与项目特点不匹配、凭空编造、逻辑漏洞、出现常识性错误、存在不适用项目实际情况的情形或只有标题没有实质性内容等）的任意一种情形扣1分，扣完为止，未提供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w:t>
            </w:r>
          </w:p>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质量保证方案</w:t>
            </w:r>
          </w:p>
        </w:tc>
        <w:tc>
          <w:tcPr>
            <w:tcW w:type="dxa" w:w="2492"/>
          </w:tcPr>
          <w:p>
            <w:pPr>
              <w:pStyle w:val="null3"/>
            </w:pPr>
            <w:r>
              <w:rPr>
                <w:rFonts w:ascii="仿宋_GB2312" w:hAnsi="仿宋_GB2312" w:cs="仿宋_GB2312" w:eastAsia="仿宋_GB2312"/>
              </w:rPr>
              <w:t>评审内容：供应商提供的质量保证方案内容包括①质量安全保证具体措施、②卫生安全、③货物的来源（提供必要的证明材料复印件或扫描件包括但不限于销售协议、代理商授权、检测报告等）、④采购环节控制、⑤加工包装保存运输等环节。以上内容全面详细、目标明确、科学合理 质量保证方案完整、详尽，证明文件齐全计15分； 评审内容缺每一项扣3分,评审内容有缺陷（缺陷是指：内容粗略、逻辑混乱、描述过于简单、与项目特点不匹配、凭空编造、逻辑漏洞、出现常识性错误、存在不适用项目实际情况的情形或只有标题没有实质性内容等）的任意一种情形扣0.5分，扣完为止，未提供不得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技术方案</w:t>
            </w:r>
          </w:p>
        </w:tc>
      </w:tr>
      <w:tr>
        <w:tc>
          <w:tcPr>
            <w:tcW w:type="dxa" w:w="831"/>
            <w:vMerge/>
          </w:tcPr>
          <w:p/>
        </w:tc>
        <w:tc>
          <w:tcPr>
            <w:tcW w:type="dxa" w:w="1661"/>
          </w:tcPr>
          <w:p>
            <w:pPr>
              <w:pStyle w:val="null3"/>
            </w:pPr>
            <w:r>
              <w:rPr>
                <w:rFonts w:ascii="仿宋_GB2312" w:hAnsi="仿宋_GB2312" w:cs="仿宋_GB2312" w:eastAsia="仿宋_GB2312"/>
              </w:rPr>
              <w:t>运输能力</w:t>
            </w:r>
          </w:p>
        </w:tc>
        <w:tc>
          <w:tcPr>
            <w:tcW w:type="dxa" w:w="2492"/>
          </w:tcPr>
          <w:p>
            <w:pPr>
              <w:pStyle w:val="null3"/>
            </w:pPr>
            <w:r>
              <w:rPr>
                <w:rFonts w:ascii="仿宋_GB2312" w:hAnsi="仿宋_GB2312" w:cs="仿宋_GB2312" w:eastAsia="仿宋_GB2312"/>
              </w:rPr>
              <w:t>评审内容：供应商提供运输能力内容包括①食品配送保障措施完善，②具备完善的配送设备及车辆运输情况配备（包括但不限于车辆类型、数量、用途、配置说明、保温保鲜条件、使用年限、车况等）：评审内容缺每一项扣3分,评审内容有缺陷（缺陷是指：内容粗略、逻辑混乱、描述过于简单、与项目特点不匹配、凭空编造、逻辑漏洞、出现常识性错误、存在不适用项目实际情况的情形或只有标题没有实质性内容等）的任意一种情形扣0.5分，扣完为止，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技术方案</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评审内容：供应商提人员配备内容包括①岗位配置种类、②岗位职责、③岗位人员配置数量。以上内容全面详细、阐述条理清晰详尽，符合本项目需求得9分。评审内容每缺一项扣3分,评审内容有缺陷（缺陷是指：内容粗略、逻辑混乱、描述过于简单、与项目特点不匹配、凭空编造、逻辑漏洞、出现常识性错误、存在不适用项目实际情况的情形或只有标题没有实质性内容等）的任意一种情形扣0.5分，扣完为止，未提供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技术方案</w:t>
            </w:r>
          </w:p>
        </w:tc>
      </w:tr>
      <w:tr>
        <w:tc>
          <w:tcPr>
            <w:tcW w:type="dxa" w:w="831"/>
            <w:vMerge/>
          </w:tcPr>
          <w:p/>
        </w:tc>
        <w:tc>
          <w:tcPr>
            <w:tcW w:type="dxa" w:w="1661"/>
          </w:tcPr>
          <w:p>
            <w:pPr>
              <w:pStyle w:val="null3"/>
            </w:pPr>
            <w:r>
              <w:rPr>
                <w:rFonts w:ascii="仿宋_GB2312" w:hAnsi="仿宋_GB2312" w:cs="仿宋_GB2312" w:eastAsia="仿宋_GB2312"/>
              </w:rPr>
              <w:t>食品原材料存储能力</w:t>
            </w:r>
          </w:p>
        </w:tc>
        <w:tc>
          <w:tcPr>
            <w:tcW w:type="dxa" w:w="2492"/>
          </w:tcPr>
          <w:p>
            <w:pPr>
              <w:pStyle w:val="null3"/>
            </w:pPr>
            <w:r>
              <w:rPr>
                <w:rFonts w:ascii="仿宋_GB2312" w:hAnsi="仿宋_GB2312" w:cs="仿宋_GB2312" w:eastAsia="仿宋_GB2312"/>
              </w:rPr>
              <w:t>评审内容：供应商提食品原材料存储能力内容包括①配送车间、②存货仓库、③仓储设备、各种设施条件等（食品原材料储存场地配有固定的配送车间、存货仓库等，场地规范、条件良好、卫生整洁，有场地证明资料，提供相关证明材料图片）。以上内容全面详细、阐述条理清晰详尽，符合本项目需求得9分。评审内容每缺一项扣3分,评审内容有缺陷（缺陷是指：内容粗略、逻辑混乱、描述过于简单、与项目特点不匹配、凭空编造、逻辑漏洞、出现常识性错误、存在不适用项目实际情况的情形或只有标题没有实质性内容等）的任意一种情形扣0.5分，扣完为止，未提供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技术方案</w:t>
            </w:r>
          </w:p>
        </w:tc>
      </w:tr>
      <w:tr>
        <w:tc>
          <w:tcPr>
            <w:tcW w:type="dxa" w:w="831"/>
            <w:vMerge/>
          </w:tcPr>
          <w:p/>
        </w:tc>
        <w:tc>
          <w:tcPr>
            <w:tcW w:type="dxa" w:w="1661"/>
          </w:tcPr>
          <w:p>
            <w:pPr>
              <w:pStyle w:val="null3"/>
            </w:pPr>
            <w:r>
              <w:rPr>
                <w:rFonts w:ascii="仿宋_GB2312" w:hAnsi="仿宋_GB2312" w:cs="仿宋_GB2312" w:eastAsia="仿宋_GB2312"/>
              </w:rPr>
              <w:t>应急配送方案</w:t>
            </w:r>
          </w:p>
        </w:tc>
        <w:tc>
          <w:tcPr>
            <w:tcW w:type="dxa" w:w="2492"/>
          </w:tcPr>
          <w:p>
            <w:pPr>
              <w:pStyle w:val="null3"/>
            </w:pPr>
            <w:r>
              <w:rPr>
                <w:rFonts w:ascii="仿宋_GB2312" w:hAnsi="仿宋_GB2312" w:cs="仿宋_GB2312" w:eastAsia="仿宋_GB2312"/>
              </w:rPr>
              <w:t>评审内容：供应商针对本项目的应急配送方案内容包括①采购人临时需求、②恶劣天气影响、③交通延误、④食材短缺。以上内容全面详细、阐述条理清晰详尽，符合本项目需求得8分。评审内容每缺一项扣3分,评审内容有缺陷（缺陷是指：内容粗略、逻辑混乱、描述过于简单、与项目特点不匹配、凭空编造、逻辑漏洞、出现常识性错误、存在不适用项目实际情况的情形或只有标题没有实质性内容等）的任意一种情形扣0.5分，扣完为止，未提供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技术方案</w:t>
            </w:r>
          </w:p>
        </w:tc>
      </w:tr>
      <w:tr>
        <w:tc>
          <w:tcPr>
            <w:tcW w:type="dxa" w:w="831"/>
            <w:vMerge/>
          </w:tcPr>
          <w:p/>
        </w:tc>
        <w:tc>
          <w:tcPr>
            <w:tcW w:type="dxa" w:w="1661"/>
          </w:tcPr>
          <w:p>
            <w:pPr>
              <w:pStyle w:val="null3"/>
            </w:pPr>
            <w:r>
              <w:rPr>
                <w:rFonts w:ascii="仿宋_GB2312" w:hAnsi="仿宋_GB2312" w:cs="仿宋_GB2312" w:eastAsia="仿宋_GB2312"/>
              </w:rPr>
              <w:t>安全事故应急方案</w:t>
            </w:r>
          </w:p>
        </w:tc>
        <w:tc>
          <w:tcPr>
            <w:tcW w:type="dxa" w:w="2492"/>
          </w:tcPr>
          <w:p>
            <w:pPr>
              <w:pStyle w:val="null3"/>
            </w:pPr>
            <w:r>
              <w:rPr>
                <w:rFonts w:ascii="仿宋_GB2312" w:hAnsi="仿宋_GB2312" w:cs="仿宋_GB2312" w:eastAsia="仿宋_GB2312"/>
              </w:rPr>
              <w:t>评审内容：供应商针对食品配送防护及若发生食物中毒或者其他潜在造成人员健康问题的安全事故的应急方案。 以上内容全面详细、阐述条理清晰详尽，符合本项目需求得3分； 评审内容有缺陷（缺陷是指：内容粗略、逻辑混乱、描述过于简单、与项目特点不匹配、凭空编造、逻辑漏洞、出现常识性错误、存在不适用项目实际情况的情形或只有标题没有实质性内容等）的任意一种情形扣0.5分，扣完为止，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w:t>
            </w:r>
          </w:p>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评审内容：所供产品出现不合格、运输途中破损等问题时，供应商接到采购人通知后的响应时间及退换货方案评审。 以上内容全面详细、阐述条理清晰详尽，符合本项目需求得3分； 评审内容有缺陷（缺陷是指：内容粗略、逻辑混乱、描述过于简单、与项目特点不匹配、凭空编造、逻辑漏洞、出现常识性错误、存在不适用项目实际情况的情形或只有标题没有实质性内容等）的任意一种情形扣0.5分，扣完为止，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技术方案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提供2023年1月1日至今的类似项目业绩（以合同复印件及签订时间为准），每提供一份业绩得1分，最多计4分。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技术方案</w:t>
            </w:r>
          </w:p>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经初审合格的投标文件，其投标报价为有效投标报价。2.满足招标文件实质性要求且投标报价最低的投标价格为投标基准价，其价格分30分。3.投标报价得分=（投标基准价/投标报价）×30的公式计算得分。4.投标报价不完整的，不进入投标基准价的计算，本项得0分。</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详见附件：技术方案</w:t>
      </w:r>
    </w:p>
    <w:p>
      <w:pPr>
        <w:pStyle w:val="null3"/>
        <w:ind w:firstLine="960"/>
      </w:pPr>
      <w:r>
        <w:rPr>
          <w:rFonts w:ascii="仿宋_GB2312" w:hAnsi="仿宋_GB2312" w:cs="仿宋_GB2312" w:eastAsia="仿宋_GB2312"/>
        </w:rPr>
        <w:t>详见附件：陕西省政府采购供应商拒绝政府采购领域商业贿赂承诺书</w:t>
      </w:r>
    </w:p>
    <w:p>
      <w:pPr>
        <w:pStyle w:val="null3"/>
        <w:ind w:firstLine="960"/>
      </w:pPr>
      <w:r>
        <w:rPr>
          <w:rFonts w:ascii="仿宋_GB2312" w:hAnsi="仿宋_GB2312" w:cs="仿宋_GB2312" w:eastAsia="仿宋_GB2312"/>
        </w:rPr>
        <w:t>详见附件：投标人应提交的相关资格证明材料</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详见附件：技术方案</w:t>
      </w:r>
    </w:p>
    <w:p>
      <w:pPr>
        <w:pStyle w:val="null3"/>
        <w:ind w:firstLine="960"/>
      </w:pPr>
      <w:r>
        <w:rPr>
          <w:rFonts w:ascii="仿宋_GB2312" w:hAnsi="仿宋_GB2312" w:cs="仿宋_GB2312" w:eastAsia="仿宋_GB2312"/>
        </w:rPr>
        <w:t>详见附件：陕西省政府采购供应商拒绝政府采购领域商业贿赂承诺书</w:t>
      </w:r>
    </w:p>
    <w:p>
      <w:pPr>
        <w:pStyle w:val="null3"/>
        <w:ind w:firstLine="960"/>
      </w:pPr>
      <w:r>
        <w:rPr>
          <w:rFonts w:ascii="仿宋_GB2312" w:hAnsi="仿宋_GB2312" w:cs="仿宋_GB2312" w:eastAsia="仿宋_GB2312"/>
        </w:rPr>
        <w:t>详见附件：投标人应提交的相关资格证明材料</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