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7D896">
      <w:pPr>
        <w:rPr>
          <w:rFonts w:hint="eastAsia" w:ascii="宋体" w:hAnsi="宋体"/>
          <w:b/>
          <w:color w:val="auto"/>
          <w:sz w:val="32"/>
          <w:szCs w:val="32"/>
          <w:highlight w:val="none"/>
        </w:rPr>
      </w:pPr>
      <w:r>
        <w:rPr>
          <w:rFonts w:hint="eastAsia" w:ascii="宋体" w:hAnsi="宋体"/>
          <w:b/>
          <w:color w:val="auto"/>
          <w:sz w:val="32"/>
          <w:szCs w:val="32"/>
          <w:highlight w:val="none"/>
        </w:rPr>
        <w:t>政府采购项目</w:t>
      </w:r>
    </w:p>
    <w:p w14:paraId="75B6ED56">
      <w:pPr>
        <w:rPr>
          <w:rFonts w:hint="eastAsia" w:ascii="宋体" w:hAnsi="宋体"/>
          <w:color w:val="auto"/>
          <w:sz w:val="52"/>
          <w:szCs w:val="52"/>
          <w:highlight w:val="none"/>
        </w:rPr>
      </w:pPr>
    </w:p>
    <w:p w14:paraId="2FEF5BD7">
      <w:pPr>
        <w:ind w:firstLine="1898" w:firstLineChars="350"/>
        <w:rPr>
          <w:rFonts w:hint="eastAsia" w:ascii="宋体" w:hAnsi="宋体"/>
          <w:b/>
          <w:color w:val="auto"/>
          <w:spacing w:val="-20"/>
          <w:sz w:val="58"/>
          <w:szCs w:val="58"/>
          <w:highlight w:val="none"/>
        </w:rPr>
      </w:pPr>
      <w:r>
        <w:rPr>
          <w:rFonts w:hint="eastAsia" w:ascii="宋体" w:hAnsi="宋体"/>
          <w:b/>
          <w:color w:val="auto"/>
          <w:spacing w:val="-20"/>
          <w:sz w:val="58"/>
          <w:szCs w:val="58"/>
          <w:highlight w:val="none"/>
        </w:rPr>
        <w:t>X X X X X X（项目名称）</w:t>
      </w:r>
    </w:p>
    <w:p w14:paraId="556BD5A4">
      <w:pPr>
        <w:jc w:val="center"/>
        <w:rPr>
          <w:rFonts w:hint="eastAsia" w:ascii="宋体" w:hAnsi="宋体"/>
          <w:b/>
          <w:color w:val="auto"/>
          <w:sz w:val="72"/>
          <w:szCs w:val="72"/>
          <w:highlight w:val="none"/>
        </w:rPr>
      </w:pPr>
    </w:p>
    <w:p w14:paraId="1747CBB2">
      <w:pPr>
        <w:jc w:val="center"/>
        <w:rPr>
          <w:rFonts w:hint="eastAsia" w:ascii="宋体" w:hAnsi="宋体"/>
          <w:b/>
          <w:color w:val="auto"/>
          <w:sz w:val="72"/>
          <w:szCs w:val="72"/>
          <w:highlight w:val="none"/>
        </w:rPr>
      </w:pPr>
    </w:p>
    <w:p w14:paraId="422A8E7C">
      <w:pPr>
        <w:jc w:val="center"/>
        <w:rPr>
          <w:rFonts w:hint="eastAsia" w:ascii="宋体" w:hAnsi="宋体"/>
          <w:b/>
          <w:color w:val="auto"/>
          <w:sz w:val="72"/>
          <w:szCs w:val="72"/>
          <w:highlight w:val="none"/>
        </w:rPr>
      </w:pPr>
      <w:r>
        <w:rPr>
          <w:rFonts w:hint="eastAsia" w:ascii="宋体" w:hAnsi="宋体"/>
          <w:b/>
          <w:color w:val="auto"/>
          <w:sz w:val="72"/>
          <w:szCs w:val="72"/>
          <w:highlight w:val="none"/>
        </w:rPr>
        <w:t>供 货 合 同</w:t>
      </w:r>
    </w:p>
    <w:p w14:paraId="0B2CE953">
      <w:pPr>
        <w:jc w:val="center"/>
        <w:rPr>
          <w:rFonts w:hint="eastAsia" w:ascii="宋体" w:hAnsi="宋体"/>
          <w:color w:val="auto"/>
          <w:sz w:val="30"/>
          <w:szCs w:val="30"/>
          <w:highlight w:val="none"/>
        </w:rPr>
      </w:pPr>
      <w:r>
        <w:rPr>
          <w:rFonts w:hint="eastAsia" w:ascii="宋体" w:hAnsi="宋体"/>
          <w:color w:val="auto"/>
          <w:sz w:val="30"/>
          <w:szCs w:val="30"/>
          <w:highlight w:val="none"/>
        </w:rPr>
        <w:t>（编号：        ）</w:t>
      </w:r>
    </w:p>
    <w:p w14:paraId="495B6E1E">
      <w:pPr>
        <w:jc w:val="center"/>
        <w:rPr>
          <w:rFonts w:hint="eastAsia" w:ascii="宋体" w:hAnsi="宋体"/>
          <w:color w:val="auto"/>
          <w:sz w:val="30"/>
          <w:szCs w:val="30"/>
          <w:highlight w:val="none"/>
        </w:rPr>
      </w:pPr>
      <w:r>
        <w:rPr>
          <w:rFonts w:hint="eastAsia" w:ascii="宋体" w:hAnsi="宋体"/>
          <w:color w:val="auto"/>
          <w:sz w:val="30"/>
          <w:szCs w:val="30"/>
          <w:highlight w:val="none"/>
        </w:rPr>
        <w:t xml:space="preserve"> </w:t>
      </w:r>
    </w:p>
    <w:p w14:paraId="119D0F95">
      <w:pPr>
        <w:jc w:val="center"/>
        <w:rPr>
          <w:rFonts w:hint="eastAsia" w:ascii="宋体" w:hAnsi="宋体"/>
          <w:color w:val="auto"/>
          <w:sz w:val="30"/>
          <w:szCs w:val="30"/>
          <w:highlight w:val="none"/>
        </w:rPr>
      </w:pPr>
    </w:p>
    <w:p w14:paraId="5EE2C8FE">
      <w:pPr>
        <w:jc w:val="center"/>
        <w:rPr>
          <w:rFonts w:hint="eastAsia" w:ascii="宋体" w:hAnsi="宋体"/>
          <w:color w:val="auto"/>
          <w:sz w:val="30"/>
          <w:szCs w:val="30"/>
          <w:highlight w:val="none"/>
        </w:rPr>
      </w:pPr>
    </w:p>
    <w:p w14:paraId="7D6AB91D">
      <w:pPr>
        <w:rPr>
          <w:rFonts w:hint="eastAsia" w:ascii="宋体" w:hAnsi="宋体"/>
          <w:color w:val="auto"/>
          <w:sz w:val="30"/>
          <w:szCs w:val="30"/>
          <w:highlight w:val="none"/>
        </w:rPr>
      </w:pPr>
    </w:p>
    <w:p w14:paraId="06111ECF">
      <w:pPr>
        <w:jc w:val="center"/>
        <w:rPr>
          <w:rFonts w:hint="eastAsia" w:ascii="宋体" w:hAnsi="宋体"/>
          <w:color w:val="auto"/>
          <w:sz w:val="30"/>
          <w:szCs w:val="30"/>
          <w:highlight w:val="none"/>
        </w:rPr>
      </w:pPr>
    </w:p>
    <w:p w14:paraId="1A1EEDA0">
      <w:pPr>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甲  方：XXXXXXX</w:t>
      </w:r>
    </w:p>
    <w:p w14:paraId="16B95A1B">
      <w:pPr>
        <w:tabs>
          <w:tab w:val="left" w:pos="480"/>
        </w:tabs>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乙  方：XXXXXXX</w:t>
      </w:r>
    </w:p>
    <w:p w14:paraId="24124B8C">
      <w:pPr>
        <w:jc w:val="center"/>
        <w:rPr>
          <w:rFonts w:hint="eastAsia" w:ascii="宋体" w:hAnsi="宋体"/>
          <w:color w:val="auto"/>
          <w:sz w:val="30"/>
          <w:szCs w:val="30"/>
          <w:highlight w:val="none"/>
        </w:rPr>
      </w:pPr>
    </w:p>
    <w:p w14:paraId="698F2247">
      <w:pPr>
        <w:jc w:val="center"/>
        <w:rPr>
          <w:rFonts w:hint="eastAsia" w:ascii="宋体" w:hAnsi="宋体"/>
          <w:color w:val="auto"/>
          <w:sz w:val="32"/>
          <w:szCs w:val="32"/>
          <w:highlight w:val="none"/>
        </w:rPr>
      </w:pPr>
      <w:r>
        <w:rPr>
          <w:rFonts w:hint="eastAsia" w:ascii="宋体" w:hAnsi="宋体"/>
          <w:color w:val="auto"/>
          <w:sz w:val="32"/>
          <w:szCs w:val="32"/>
          <w:highlight w:val="none"/>
        </w:rPr>
        <w:t>202X年XX月</w:t>
      </w:r>
    </w:p>
    <w:p w14:paraId="27314AD5">
      <w:pPr>
        <w:spacing w:before="312" w:beforeLines="100" w:line="360" w:lineRule="auto"/>
        <w:rPr>
          <w:rFonts w:hint="eastAsia" w:ascii="宋体" w:hAnsi="宋体" w:cs="宋体"/>
          <w:color w:val="auto"/>
          <w:sz w:val="24"/>
          <w:highlight w:val="none"/>
        </w:rPr>
        <w:sectPr>
          <w:pgSz w:w="11906" w:h="16838"/>
          <w:pgMar w:top="1440" w:right="1800" w:bottom="1440" w:left="1800" w:header="851" w:footer="992" w:gutter="0"/>
          <w:cols w:space="425" w:num="1"/>
          <w:docGrid w:type="lines" w:linePitch="312" w:charSpace="0"/>
        </w:sectPr>
      </w:pPr>
    </w:p>
    <w:p w14:paraId="297B287E">
      <w:pPr>
        <w:spacing w:before="312" w:beforeLines="100" w:line="360" w:lineRule="auto"/>
        <w:rPr>
          <w:rFonts w:hint="eastAsia" w:ascii="宋体" w:hAnsi="宋体" w:cs="宋体"/>
          <w:color w:val="auto"/>
          <w:sz w:val="24"/>
          <w:highlight w:val="none"/>
        </w:rPr>
      </w:pPr>
      <w:r>
        <w:rPr>
          <w:rFonts w:hint="eastAsia" w:ascii="宋体" w:hAnsi="宋体" w:cs="宋体"/>
          <w:color w:val="auto"/>
          <w:sz w:val="24"/>
          <w:highlight w:val="none"/>
        </w:rPr>
        <w:t>合同编号：</w:t>
      </w:r>
    </w:p>
    <w:p w14:paraId="49AECCC9">
      <w:pPr>
        <w:spacing w:line="360" w:lineRule="auto"/>
        <w:rPr>
          <w:rFonts w:hint="eastAsia" w:ascii="宋体" w:hAnsi="宋体" w:cs="宋体"/>
          <w:color w:val="auto"/>
          <w:sz w:val="24"/>
          <w:highlight w:val="none"/>
        </w:rPr>
      </w:pPr>
      <w:r>
        <w:rPr>
          <w:rFonts w:hint="eastAsia" w:ascii="宋体" w:hAnsi="宋体" w:cs="宋体"/>
          <w:color w:val="auto"/>
          <w:sz w:val="24"/>
          <w:highlight w:val="none"/>
        </w:rPr>
        <w:t>签订地点：</w:t>
      </w:r>
    </w:p>
    <w:p w14:paraId="3278D67B">
      <w:pPr>
        <w:spacing w:line="360" w:lineRule="auto"/>
        <w:rPr>
          <w:rFonts w:hint="eastAsia" w:ascii="宋体" w:hAnsi="宋体" w:cs="宋体"/>
          <w:color w:val="auto"/>
          <w:sz w:val="24"/>
          <w:highlight w:val="none"/>
        </w:rPr>
      </w:pPr>
      <w:r>
        <w:rPr>
          <w:rFonts w:hint="eastAsia" w:ascii="宋体" w:hAnsi="宋体" w:cs="宋体"/>
          <w:color w:val="auto"/>
          <w:sz w:val="24"/>
          <w:highlight w:val="none"/>
        </w:rPr>
        <w:t>签订时间：</w:t>
      </w:r>
    </w:p>
    <w:p w14:paraId="4DE80137">
      <w:pPr>
        <w:spacing w:line="360" w:lineRule="auto"/>
        <w:rPr>
          <w:rFonts w:hint="eastAsia" w:ascii="宋体" w:hAnsi="宋体" w:cs="宋体"/>
          <w:color w:val="auto"/>
          <w:sz w:val="24"/>
          <w:highlight w:val="none"/>
        </w:rPr>
      </w:pPr>
      <w:r>
        <w:rPr>
          <w:rFonts w:hint="eastAsia" w:ascii="宋体" w:hAnsi="宋体" w:cs="宋体"/>
          <w:color w:val="auto"/>
          <w:sz w:val="24"/>
          <w:highlight w:val="none"/>
        </w:rPr>
        <w:t>采购人 (甲方)：</w:t>
      </w:r>
    </w:p>
    <w:p w14:paraId="3D24B761">
      <w:pPr>
        <w:spacing w:line="360" w:lineRule="auto"/>
        <w:rPr>
          <w:rFonts w:hint="eastAsia" w:ascii="宋体" w:hAnsi="宋体" w:cs="宋体"/>
          <w:color w:val="auto"/>
          <w:sz w:val="24"/>
          <w:highlight w:val="none"/>
        </w:rPr>
      </w:pPr>
      <w:r>
        <w:rPr>
          <w:rFonts w:hint="eastAsia" w:ascii="宋体" w:hAnsi="宋体" w:cs="宋体"/>
          <w:color w:val="auto"/>
          <w:sz w:val="24"/>
          <w:highlight w:val="none"/>
        </w:rPr>
        <w:t>中标人 (乙方)：</w:t>
      </w:r>
    </w:p>
    <w:p w14:paraId="4544C43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根据《中华人民共和国政府采购法》及实施条例、《中华人民共和国民法典》</w:t>
      </w:r>
    </w:p>
    <w:p w14:paraId="1BD0FE4F">
      <w:pPr>
        <w:spacing w:line="360" w:lineRule="auto"/>
        <w:rPr>
          <w:rFonts w:hint="eastAsia" w:ascii="宋体" w:hAnsi="宋体" w:cs="宋体"/>
          <w:color w:val="auto"/>
          <w:sz w:val="24"/>
          <w:highlight w:val="none"/>
        </w:rPr>
      </w:pPr>
      <w:r>
        <w:rPr>
          <w:rFonts w:hint="eastAsia" w:ascii="宋体" w:hAnsi="宋体" w:cs="宋体"/>
          <w:color w:val="auto"/>
          <w:sz w:val="24"/>
          <w:highlight w:val="none"/>
        </w:rPr>
        <w:t>和甲方</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采购项目</w:t>
      </w:r>
      <w:bookmarkStart w:id="0" w:name="_GoBack"/>
      <w:bookmarkEnd w:id="0"/>
      <w:r>
        <w:rPr>
          <w:rFonts w:hint="eastAsia" w:ascii="宋体" w:hAnsi="宋体" w:cs="宋体"/>
          <w:color w:val="auto"/>
          <w:sz w:val="24"/>
          <w:highlight w:val="none"/>
        </w:rPr>
        <w:t xml:space="preserve"> (项目编号：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的招标文件、响应文件等有关规定，为确保甲方采购项目的顺利实施，甲、乙双方在平等自愿原则下签订本合同，并共同遵守如下条款：</w:t>
      </w:r>
    </w:p>
    <w:p w14:paraId="3A345A3E">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第一条 合同标的及数量</w:t>
      </w:r>
    </w:p>
    <w:p w14:paraId="72B076BF">
      <w:pPr>
        <w:spacing w:line="360" w:lineRule="auto"/>
        <w:rPr>
          <w:rFonts w:hint="eastAsia"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乙方向甲方提供下列货物 (产品)：</w:t>
      </w:r>
    </w:p>
    <w:p w14:paraId="7AA816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供货一览表</w:t>
      </w:r>
    </w:p>
    <w:tbl>
      <w:tblPr>
        <w:tblStyle w:val="4"/>
        <w:tblW w:w="8809"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1328"/>
        <w:gridCol w:w="759"/>
        <w:gridCol w:w="1477"/>
        <w:gridCol w:w="531"/>
        <w:gridCol w:w="713"/>
        <w:gridCol w:w="727"/>
        <w:gridCol w:w="1058"/>
        <w:gridCol w:w="1472"/>
      </w:tblGrid>
      <w:tr w14:paraId="283BF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trPr>
        <w:tc>
          <w:tcPr>
            <w:tcW w:w="744" w:type="dxa"/>
            <w:tcBorders>
              <w:left w:val="single" w:color="000000" w:sz="10" w:space="0"/>
            </w:tcBorders>
            <w:noWrap w:val="0"/>
            <w:vAlign w:val="center"/>
          </w:tcPr>
          <w:p w14:paraId="5A1BE66E">
            <w:pPr>
              <w:spacing w:line="360" w:lineRule="auto"/>
              <w:jc w:val="center"/>
              <w:rPr>
                <w:rFonts w:hint="eastAsia" w:ascii="宋体" w:hAnsi="宋体" w:cs="宋体"/>
                <w:color w:val="auto"/>
                <w:sz w:val="24"/>
                <w:highlight w:val="none"/>
              </w:rPr>
            </w:pPr>
          </w:p>
          <w:p w14:paraId="426F710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328" w:type="dxa"/>
            <w:noWrap w:val="0"/>
            <w:vAlign w:val="center"/>
          </w:tcPr>
          <w:p w14:paraId="7BF90231">
            <w:pPr>
              <w:spacing w:line="360" w:lineRule="auto"/>
              <w:jc w:val="center"/>
              <w:rPr>
                <w:rFonts w:hint="eastAsia" w:ascii="宋体" w:hAnsi="宋体" w:cs="宋体"/>
                <w:color w:val="auto"/>
                <w:sz w:val="24"/>
                <w:highlight w:val="none"/>
              </w:rPr>
            </w:pPr>
          </w:p>
          <w:p w14:paraId="438C911F">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货物名称</w:t>
            </w:r>
          </w:p>
        </w:tc>
        <w:tc>
          <w:tcPr>
            <w:tcW w:w="759" w:type="dxa"/>
            <w:noWrap w:val="0"/>
            <w:vAlign w:val="center"/>
          </w:tcPr>
          <w:p w14:paraId="7877704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品目</w:t>
            </w:r>
          </w:p>
          <w:p w14:paraId="4DE0BCD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代码</w:t>
            </w:r>
          </w:p>
        </w:tc>
        <w:tc>
          <w:tcPr>
            <w:tcW w:w="1477" w:type="dxa"/>
            <w:noWrap w:val="0"/>
            <w:vAlign w:val="center"/>
          </w:tcPr>
          <w:p w14:paraId="0EEA55AD">
            <w:pPr>
              <w:spacing w:line="360" w:lineRule="auto"/>
              <w:jc w:val="center"/>
              <w:rPr>
                <w:rFonts w:hint="eastAsia" w:ascii="宋体" w:hAnsi="宋体" w:cs="宋体"/>
                <w:color w:val="auto"/>
                <w:sz w:val="24"/>
                <w:highlight w:val="none"/>
              </w:rPr>
            </w:pPr>
          </w:p>
          <w:p w14:paraId="3270703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品牌/型号</w:t>
            </w:r>
          </w:p>
        </w:tc>
        <w:tc>
          <w:tcPr>
            <w:tcW w:w="531" w:type="dxa"/>
            <w:noWrap w:val="0"/>
            <w:textDirection w:val="tbRlV"/>
            <w:vAlign w:val="center"/>
          </w:tcPr>
          <w:p w14:paraId="31F3E6A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规 格</w:t>
            </w:r>
          </w:p>
        </w:tc>
        <w:tc>
          <w:tcPr>
            <w:tcW w:w="713" w:type="dxa"/>
            <w:noWrap w:val="0"/>
            <w:vAlign w:val="center"/>
          </w:tcPr>
          <w:p w14:paraId="6D04C7B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计量</w:t>
            </w:r>
          </w:p>
          <w:p w14:paraId="071B5DB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727" w:type="dxa"/>
            <w:noWrap w:val="0"/>
            <w:vAlign w:val="center"/>
          </w:tcPr>
          <w:p w14:paraId="4799452F">
            <w:pPr>
              <w:spacing w:line="360" w:lineRule="auto"/>
              <w:jc w:val="center"/>
              <w:rPr>
                <w:rFonts w:hint="eastAsia" w:ascii="宋体" w:hAnsi="宋体" w:cs="宋体"/>
                <w:color w:val="auto"/>
                <w:sz w:val="24"/>
                <w:highlight w:val="none"/>
              </w:rPr>
            </w:pPr>
          </w:p>
          <w:p w14:paraId="276A593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058" w:type="dxa"/>
            <w:noWrap w:val="0"/>
            <w:vAlign w:val="center"/>
          </w:tcPr>
          <w:p w14:paraId="46FF4E7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单价</w:t>
            </w:r>
          </w:p>
          <w:p w14:paraId="2773C5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(元)</w:t>
            </w:r>
          </w:p>
        </w:tc>
        <w:tc>
          <w:tcPr>
            <w:tcW w:w="1472" w:type="dxa"/>
            <w:tcBorders>
              <w:right w:val="single" w:color="000000" w:sz="10" w:space="0"/>
            </w:tcBorders>
            <w:noWrap w:val="0"/>
            <w:vAlign w:val="center"/>
          </w:tcPr>
          <w:p w14:paraId="41CBDF4B">
            <w:pPr>
              <w:spacing w:line="360" w:lineRule="auto"/>
              <w:jc w:val="center"/>
              <w:rPr>
                <w:rFonts w:hint="eastAsia" w:ascii="宋体" w:hAnsi="宋体" w:cs="宋体"/>
                <w:color w:val="auto"/>
                <w:sz w:val="24"/>
                <w:highlight w:val="none"/>
              </w:rPr>
            </w:pPr>
          </w:p>
          <w:p w14:paraId="2FFC7F5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金额 (元)</w:t>
            </w:r>
          </w:p>
        </w:tc>
      </w:tr>
      <w:tr w14:paraId="233DF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44" w:type="dxa"/>
            <w:tcBorders>
              <w:left w:val="single" w:color="000000" w:sz="10" w:space="0"/>
            </w:tcBorders>
            <w:noWrap w:val="0"/>
            <w:vAlign w:val="center"/>
          </w:tcPr>
          <w:p w14:paraId="00AEEDAB">
            <w:pPr>
              <w:spacing w:line="360" w:lineRule="auto"/>
              <w:jc w:val="center"/>
              <w:rPr>
                <w:rFonts w:hint="eastAsia" w:ascii="宋体" w:hAnsi="宋体" w:cs="宋体"/>
                <w:color w:val="auto"/>
                <w:sz w:val="24"/>
                <w:highlight w:val="none"/>
              </w:rPr>
            </w:pPr>
          </w:p>
        </w:tc>
        <w:tc>
          <w:tcPr>
            <w:tcW w:w="1328" w:type="dxa"/>
            <w:noWrap w:val="0"/>
            <w:vAlign w:val="center"/>
          </w:tcPr>
          <w:p w14:paraId="77C4CC44">
            <w:pPr>
              <w:spacing w:line="360" w:lineRule="auto"/>
              <w:jc w:val="center"/>
              <w:rPr>
                <w:rFonts w:hint="eastAsia" w:ascii="宋体" w:hAnsi="宋体" w:cs="宋体"/>
                <w:color w:val="auto"/>
                <w:sz w:val="24"/>
                <w:highlight w:val="none"/>
              </w:rPr>
            </w:pPr>
          </w:p>
        </w:tc>
        <w:tc>
          <w:tcPr>
            <w:tcW w:w="759" w:type="dxa"/>
            <w:noWrap w:val="0"/>
            <w:vAlign w:val="center"/>
          </w:tcPr>
          <w:p w14:paraId="260074EF">
            <w:pPr>
              <w:spacing w:line="360" w:lineRule="auto"/>
              <w:jc w:val="center"/>
              <w:rPr>
                <w:rFonts w:hint="eastAsia" w:ascii="宋体" w:hAnsi="宋体" w:cs="宋体"/>
                <w:color w:val="auto"/>
                <w:sz w:val="24"/>
                <w:highlight w:val="none"/>
              </w:rPr>
            </w:pPr>
          </w:p>
        </w:tc>
        <w:tc>
          <w:tcPr>
            <w:tcW w:w="1477" w:type="dxa"/>
            <w:noWrap w:val="0"/>
            <w:vAlign w:val="center"/>
          </w:tcPr>
          <w:p w14:paraId="1CDFC8A0">
            <w:pPr>
              <w:spacing w:line="360" w:lineRule="auto"/>
              <w:jc w:val="center"/>
              <w:rPr>
                <w:rFonts w:hint="eastAsia" w:ascii="宋体" w:hAnsi="宋体" w:cs="宋体"/>
                <w:color w:val="auto"/>
                <w:sz w:val="24"/>
                <w:highlight w:val="none"/>
              </w:rPr>
            </w:pPr>
          </w:p>
        </w:tc>
        <w:tc>
          <w:tcPr>
            <w:tcW w:w="531" w:type="dxa"/>
            <w:noWrap w:val="0"/>
            <w:vAlign w:val="center"/>
          </w:tcPr>
          <w:p w14:paraId="246EA97B">
            <w:pPr>
              <w:spacing w:line="360" w:lineRule="auto"/>
              <w:jc w:val="center"/>
              <w:rPr>
                <w:rFonts w:hint="eastAsia" w:ascii="宋体" w:hAnsi="宋体" w:cs="宋体"/>
                <w:color w:val="auto"/>
                <w:sz w:val="24"/>
                <w:highlight w:val="none"/>
              </w:rPr>
            </w:pPr>
          </w:p>
        </w:tc>
        <w:tc>
          <w:tcPr>
            <w:tcW w:w="713" w:type="dxa"/>
            <w:noWrap w:val="0"/>
            <w:vAlign w:val="center"/>
          </w:tcPr>
          <w:p w14:paraId="3291B163">
            <w:pPr>
              <w:spacing w:line="360" w:lineRule="auto"/>
              <w:jc w:val="center"/>
              <w:rPr>
                <w:rFonts w:hint="eastAsia" w:ascii="宋体" w:hAnsi="宋体" w:cs="宋体"/>
                <w:color w:val="auto"/>
                <w:sz w:val="24"/>
                <w:highlight w:val="none"/>
              </w:rPr>
            </w:pPr>
          </w:p>
        </w:tc>
        <w:tc>
          <w:tcPr>
            <w:tcW w:w="727" w:type="dxa"/>
            <w:noWrap w:val="0"/>
            <w:vAlign w:val="center"/>
          </w:tcPr>
          <w:p w14:paraId="39BA76F2">
            <w:pPr>
              <w:spacing w:line="360" w:lineRule="auto"/>
              <w:jc w:val="center"/>
              <w:rPr>
                <w:rFonts w:hint="eastAsia" w:ascii="宋体" w:hAnsi="宋体" w:cs="宋体"/>
                <w:color w:val="auto"/>
                <w:sz w:val="24"/>
                <w:highlight w:val="none"/>
              </w:rPr>
            </w:pPr>
          </w:p>
        </w:tc>
        <w:tc>
          <w:tcPr>
            <w:tcW w:w="1058" w:type="dxa"/>
            <w:noWrap w:val="0"/>
            <w:vAlign w:val="center"/>
          </w:tcPr>
          <w:p w14:paraId="57F446C9">
            <w:pPr>
              <w:spacing w:line="360" w:lineRule="auto"/>
              <w:jc w:val="center"/>
              <w:rPr>
                <w:rFonts w:hint="eastAsia" w:ascii="宋体" w:hAnsi="宋体" w:cs="宋体"/>
                <w:color w:val="auto"/>
                <w:sz w:val="24"/>
                <w:highlight w:val="none"/>
              </w:rPr>
            </w:pPr>
          </w:p>
        </w:tc>
        <w:tc>
          <w:tcPr>
            <w:tcW w:w="1472" w:type="dxa"/>
            <w:tcBorders>
              <w:right w:val="single" w:color="000000" w:sz="10" w:space="0"/>
            </w:tcBorders>
            <w:noWrap w:val="0"/>
            <w:vAlign w:val="center"/>
          </w:tcPr>
          <w:p w14:paraId="1410C43F">
            <w:pPr>
              <w:spacing w:line="360" w:lineRule="auto"/>
              <w:jc w:val="center"/>
              <w:rPr>
                <w:rFonts w:hint="eastAsia" w:ascii="宋体" w:hAnsi="宋体" w:cs="宋体"/>
                <w:color w:val="auto"/>
                <w:sz w:val="24"/>
                <w:highlight w:val="none"/>
              </w:rPr>
            </w:pPr>
          </w:p>
        </w:tc>
      </w:tr>
      <w:tr w14:paraId="05677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744" w:type="dxa"/>
            <w:tcBorders>
              <w:left w:val="single" w:color="000000" w:sz="10" w:space="0"/>
            </w:tcBorders>
            <w:noWrap w:val="0"/>
            <w:vAlign w:val="center"/>
          </w:tcPr>
          <w:p w14:paraId="2A4612B5">
            <w:pPr>
              <w:spacing w:line="360" w:lineRule="auto"/>
              <w:jc w:val="center"/>
              <w:rPr>
                <w:rFonts w:hint="eastAsia" w:ascii="宋体" w:hAnsi="宋体" w:cs="宋体"/>
                <w:color w:val="auto"/>
                <w:sz w:val="24"/>
                <w:highlight w:val="none"/>
              </w:rPr>
            </w:pPr>
          </w:p>
        </w:tc>
        <w:tc>
          <w:tcPr>
            <w:tcW w:w="1328" w:type="dxa"/>
            <w:noWrap w:val="0"/>
            <w:vAlign w:val="center"/>
          </w:tcPr>
          <w:p w14:paraId="49EB3DF4">
            <w:pPr>
              <w:spacing w:line="360" w:lineRule="auto"/>
              <w:jc w:val="center"/>
              <w:rPr>
                <w:rFonts w:hint="eastAsia" w:ascii="宋体" w:hAnsi="宋体" w:cs="宋体"/>
                <w:color w:val="auto"/>
                <w:sz w:val="24"/>
                <w:highlight w:val="none"/>
              </w:rPr>
            </w:pPr>
          </w:p>
        </w:tc>
        <w:tc>
          <w:tcPr>
            <w:tcW w:w="759" w:type="dxa"/>
            <w:noWrap w:val="0"/>
            <w:vAlign w:val="center"/>
          </w:tcPr>
          <w:p w14:paraId="7FD69000">
            <w:pPr>
              <w:spacing w:line="360" w:lineRule="auto"/>
              <w:jc w:val="center"/>
              <w:rPr>
                <w:rFonts w:hint="eastAsia" w:ascii="宋体" w:hAnsi="宋体" w:cs="宋体"/>
                <w:color w:val="auto"/>
                <w:sz w:val="24"/>
                <w:highlight w:val="none"/>
              </w:rPr>
            </w:pPr>
          </w:p>
        </w:tc>
        <w:tc>
          <w:tcPr>
            <w:tcW w:w="1477" w:type="dxa"/>
            <w:noWrap w:val="0"/>
            <w:vAlign w:val="center"/>
          </w:tcPr>
          <w:p w14:paraId="42008A1A">
            <w:pPr>
              <w:spacing w:line="360" w:lineRule="auto"/>
              <w:jc w:val="center"/>
              <w:rPr>
                <w:rFonts w:hint="eastAsia" w:ascii="宋体" w:hAnsi="宋体" w:cs="宋体"/>
                <w:color w:val="auto"/>
                <w:sz w:val="24"/>
                <w:highlight w:val="none"/>
              </w:rPr>
            </w:pPr>
          </w:p>
        </w:tc>
        <w:tc>
          <w:tcPr>
            <w:tcW w:w="531" w:type="dxa"/>
            <w:noWrap w:val="0"/>
            <w:vAlign w:val="center"/>
          </w:tcPr>
          <w:p w14:paraId="75C69920">
            <w:pPr>
              <w:spacing w:line="360" w:lineRule="auto"/>
              <w:jc w:val="center"/>
              <w:rPr>
                <w:rFonts w:hint="eastAsia" w:ascii="宋体" w:hAnsi="宋体" w:cs="宋体"/>
                <w:color w:val="auto"/>
                <w:sz w:val="24"/>
                <w:highlight w:val="none"/>
              </w:rPr>
            </w:pPr>
          </w:p>
        </w:tc>
        <w:tc>
          <w:tcPr>
            <w:tcW w:w="713" w:type="dxa"/>
            <w:noWrap w:val="0"/>
            <w:vAlign w:val="center"/>
          </w:tcPr>
          <w:p w14:paraId="02092A3A">
            <w:pPr>
              <w:spacing w:line="360" w:lineRule="auto"/>
              <w:jc w:val="center"/>
              <w:rPr>
                <w:rFonts w:hint="eastAsia" w:ascii="宋体" w:hAnsi="宋体" w:cs="宋体"/>
                <w:color w:val="auto"/>
                <w:sz w:val="24"/>
                <w:highlight w:val="none"/>
              </w:rPr>
            </w:pPr>
          </w:p>
        </w:tc>
        <w:tc>
          <w:tcPr>
            <w:tcW w:w="727" w:type="dxa"/>
            <w:noWrap w:val="0"/>
            <w:vAlign w:val="center"/>
          </w:tcPr>
          <w:p w14:paraId="2F3D8B63">
            <w:pPr>
              <w:spacing w:line="360" w:lineRule="auto"/>
              <w:jc w:val="center"/>
              <w:rPr>
                <w:rFonts w:hint="eastAsia" w:ascii="宋体" w:hAnsi="宋体" w:cs="宋体"/>
                <w:color w:val="auto"/>
                <w:sz w:val="24"/>
                <w:highlight w:val="none"/>
              </w:rPr>
            </w:pPr>
          </w:p>
        </w:tc>
        <w:tc>
          <w:tcPr>
            <w:tcW w:w="1058" w:type="dxa"/>
            <w:noWrap w:val="0"/>
            <w:vAlign w:val="center"/>
          </w:tcPr>
          <w:p w14:paraId="06412420">
            <w:pPr>
              <w:spacing w:line="360" w:lineRule="auto"/>
              <w:jc w:val="center"/>
              <w:rPr>
                <w:rFonts w:hint="eastAsia" w:ascii="宋体" w:hAnsi="宋体" w:cs="宋体"/>
                <w:color w:val="auto"/>
                <w:sz w:val="24"/>
                <w:highlight w:val="none"/>
              </w:rPr>
            </w:pPr>
          </w:p>
        </w:tc>
        <w:tc>
          <w:tcPr>
            <w:tcW w:w="1472" w:type="dxa"/>
            <w:tcBorders>
              <w:right w:val="single" w:color="000000" w:sz="10" w:space="0"/>
            </w:tcBorders>
            <w:noWrap w:val="0"/>
            <w:vAlign w:val="center"/>
          </w:tcPr>
          <w:p w14:paraId="52E74D4B">
            <w:pPr>
              <w:spacing w:line="360" w:lineRule="auto"/>
              <w:jc w:val="center"/>
              <w:rPr>
                <w:rFonts w:hint="eastAsia" w:ascii="宋体" w:hAnsi="宋体" w:cs="宋体"/>
                <w:color w:val="auto"/>
                <w:sz w:val="24"/>
                <w:highlight w:val="none"/>
              </w:rPr>
            </w:pPr>
          </w:p>
        </w:tc>
      </w:tr>
      <w:tr w14:paraId="7E352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44" w:type="dxa"/>
            <w:tcBorders>
              <w:left w:val="single" w:color="000000" w:sz="10" w:space="0"/>
            </w:tcBorders>
            <w:noWrap w:val="0"/>
            <w:vAlign w:val="center"/>
          </w:tcPr>
          <w:p w14:paraId="17CF1AD2">
            <w:pPr>
              <w:spacing w:line="360" w:lineRule="auto"/>
              <w:jc w:val="center"/>
              <w:rPr>
                <w:rFonts w:hint="eastAsia" w:ascii="宋体" w:hAnsi="宋体" w:cs="宋体"/>
                <w:color w:val="auto"/>
                <w:sz w:val="24"/>
                <w:highlight w:val="none"/>
              </w:rPr>
            </w:pPr>
          </w:p>
        </w:tc>
        <w:tc>
          <w:tcPr>
            <w:tcW w:w="2087" w:type="dxa"/>
            <w:gridSpan w:val="2"/>
            <w:noWrap w:val="0"/>
            <w:vAlign w:val="center"/>
          </w:tcPr>
          <w:p w14:paraId="494B2A8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合计</w:t>
            </w:r>
          </w:p>
        </w:tc>
        <w:tc>
          <w:tcPr>
            <w:tcW w:w="3448" w:type="dxa"/>
            <w:gridSpan w:val="4"/>
            <w:noWrap w:val="0"/>
            <w:vAlign w:val="center"/>
          </w:tcPr>
          <w:p w14:paraId="7CDB0EC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大写</w:t>
            </w:r>
          </w:p>
        </w:tc>
        <w:tc>
          <w:tcPr>
            <w:tcW w:w="2530" w:type="dxa"/>
            <w:gridSpan w:val="2"/>
            <w:tcBorders>
              <w:right w:val="single" w:color="000000" w:sz="10" w:space="0"/>
            </w:tcBorders>
            <w:noWrap w:val="0"/>
            <w:vAlign w:val="center"/>
          </w:tcPr>
          <w:p w14:paraId="0E73A4E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w:t>
            </w:r>
          </w:p>
        </w:tc>
      </w:tr>
    </w:tbl>
    <w:p w14:paraId="22519C62">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default" w:ascii="宋体" w:hAnsi="宋体" w:eastAsia="宋体" w:cs="宋体"/>
          <w:b/>
          <w:bCs/>
          <w:color w:val="auto"/>
          <w:sz w:val="24"/>
          <w:highlight w:val="none"/>
          <w:lang w:val="en-US" w:eastAsia="zh-CN"/>
        </w:rPr>
      </w:pPr>
      <w:r>
        <w:rPr>
          <w:rFonts w:hint="eastAsia" w:ascii="宋体" w:hAnsi="宋体" w:cs="宋体"/>
          <w:b w:val="0"/>
          <w:bCs w:val="0"/>
          <w:color w:val="auto"/>
          <w:sz w:val="24"/>
          <w:highlight w:val="none"/>
          <w:lang w:val="en-US" w:eastAsia="zh-CN"/>
        </w:rPr>
        <w:t>2.</w:t>
      </w:r>
      <w:r>
        <w:rPr>
          <w:rFonts w:hint="eastAsia" w:ascii="宋体" w:hAnsi="宋体" w:cs="宋体"/>
          <w:b w:val="0"/>
          <w:bCs w:val="0"/>
          <w:color w:val="auto"/>
          <w:sz w:val="24"/>
          <w:highlight w:val="none"/>
          <w:lang w:eastAsia="zh-CN"/>
        </w:rPr>
        <w:t>数量、金额</w:t>
      </w:r>
      <w:r>
        <w:rPr>
          <w:rFonts w:hint="eastAsia" w:ascii="宋体" w:hAnsi="宋体" w:cs="宋体"/>
          <w:b w:val="0"/>
          <w:bCs w:val="0"/>
          <w:color w:val="auto"/>
          <w:sz w:val="24"/>
          <w:highlight w:val="none"/>
          <w:lang w:val="en-US" w:eastAsia="zh-CN"/>
        </w:rPr>
        <w:t>:</w:t>
      </w:r>
      <w:r>
        <w:rPr>
          <w:rFonts w:hint="eastAsia" w:ascii="宋体" w:hAnsi="宋体" w:eastAsia="宋体" w:cs="宋体"/>
          <w:b w:val="0"/>
          <w:bCs w:val="0"/>
          <w:color w:val="auto"/>
          <w:sz w:val="24"/>
          <w:szCs w:val="24"/>
          <w:highlight w:val="none"/>
        </w:rPr>
        <w:t>具</w:t>
      </w:r>
      <w:r>
        <w:rPr>
          <w:rFonts w:hint="eastAsia" w:ascii="宋体" w:hAnsi="宋体" w:eastAsia="宋体" w:cs="宋体"/>
          <w:color w:val="auto"/>
          <w:sz w:val="24"/>
          <w:szCs w:val="24"/>
          <w:highlight w:val="none"/>
        </w:rPr>
        <w:t>体以双方交货确认数量为准，金额根据单价数量核算为准。</w:t>
      </w:r>
    </w:p>
    <w:p w14:paraId="67F40CE8">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highlight w:val="none"/>
        </w:rPr>
        <w:t xml:space="preserve">第二条 </w:t>
      </w:r>
      <w:r>
        <w:rPr>
          <w:rFonts w:hint="eastAsia" w:ascii="宋体" w:hAnsi="宋体" w:eastAsia="宋体" w:cs="宋体"/>
          <w:b/>
          <w:bCs/>
          <w:color w:val="auto"/>
          <w:sz w:val="24"/>
          <w:szCs w:val="24"/>
          <w:highlight w:val="none"/>
        </w:rPr>
        <w:t>履约期限、地点及方式</w:t>
      </w:r>
    </w:p>
    <w:p w14:paraId="7E3BD845">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1、履约期限：</w:t>
      </w:r>
      <w:r>
        <w:rPr>
          <w:rFonts w:hint="eastAsia" w:ascii="宋体" w:hAnsi="宋体" w:eastAsia="宋体" w:cs="宋体"/>
          <w:b w:val="0"/>
          <w:bCs w:val="0"/>
          <w:color w:val="auto"/>
          <w:sz w:val="24"/>
          <w:highlight w:val="none"/>
          <w:u w:val="single"/>
          <w:shd w:val="clear" w:color="auto" w:fill="FFFFFF"/>
        </w:rPr>
        <w:t xml:space="preserve">    年   月   日至    年    月    日止</w:t>
      </w:r>
      <w:r>
        <w:rPr>
          <w:rFonts w:hint="eastAsia" w:ascii="宋体" w:hAnsi="宋体" w:eastAsia="宋体" w:cs="宋体"/>
          <w:b w:val="0"/>
          <w:bCs w:val="0"/>
          <w:color w:val="auto"/>
          <w:sz w:val="24"/>
          <w:highlight w:val="none"/>
          <w:shd w:val="clear" w:color="auto" w:fill="FFFFFF"/>
        </w:rPr>
        <w:t>。</w:t>
      </w:r>
    </w:p>
    <w:p w14:paraId="6E9BFBB1">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2、履约地点：甲方指定地点，费用由乙方承担。</w:t>
      </w:r>
    </w:p>
    <w:p w14:paraId="371C89B0">
      <w:pPr>
        <w:tabs>
          <w:tab w:val="left" w:pos="3972"/>
        </w:tabs>
        <w:spacing w:line="440" w:lineRule="exact"/>
        <w:ind w:firstLine="482"/>
        <w:rPr>
          <w:rFonts w:hint="eastAsia" w:ascii="宋体" w:hAnsi="宋体" w:cs="宋体"/>
          <w:color w:val="auto"/>
          <w:sz w:val="24"/>
          <w:highlight w:val="none"/>
        </w:rPr>
      </w:pPr>
      <w:r>
        <w:rPr>
          <w:rFonts w:hint="eastAsia" w:ascii="宋体" w:hAnsi="宋体" w:eastAsia="宋体" w:cs="宋体"/>
          <w:b w:val="0"/>
          <w:bCs w:val="0"/>
          <w:color w:val="auto"/>
          <w:sz w:val="24"/>
          <w:highlight w:val="none"/>
          <w:shd w:val="clear" w:color="auto" w:fill="FFFFFF"/>
        </w:rPr>
        <w:t>3、 甲方将提前三个工作日向乙方下达正式订单。乙方按照甲方指定送达地点、时间送货，交付时双方当即验收并完善手续，运输费用及搬运费由乙方负担。</w:t>
      </w:r>
    </w:p>
    <w:p w14:paraId="516844AE">
      <w:pPr>
        <w:spacing w:line="360" w:lineRule="auto"/>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第三条 结算</w:t>
      </w:r>
      <w:r>
        <w:rPr>
          <w:rFonts w:hint="eastAsia" w:ascii="宋体" w:hAnsi="宋体" w:cs="宋体"/>
          <w:b/>
          <w:bCs/>
          <w:color w:val="auto"/>
          <w:sz w:val="24"/>
          <w:highlight w:val="none"/>
          <w:lang w:eastAsia="zh-CN"/>
        </w:rPr>
        <w:t>方式</w:t>
      </w:r>
    </w:p>
    <w:p w14:paraId="7924B78D">
      <w:pPr>
        <w:tabs>
          <w:tab w:val="left" w:pos="3972"/>
        </w:tabs>
        <w:spacing w:line="440" w:lineRule="exact"/>
        <w:ind w:firstLine="482"/>
        <w:rPr>
          <w:rFonts w:hint="eastAsia" w:ascii="宋体" w:hAnsi="宋体" w:eastAsia="宋体" w:cs="宋体"/>
          <w:b w:val="0"/>
          <w:bCs w:val="0"/>
          <w:color w:val="auto"/>
          <w:sz w:val="24"/>
          <w:highlight w:val="none"/>
          <w:shd w:val="clear" w:color="auto" w:fill="FFFFFF"/>
          <w:lang w:val="en-US" w:eastAsia="zh-CN"/>
        </w:rPr>
      </w:pPr>
      <w:r>
        <w:rPr>
          <w:rFonts w:hint="eastAsia" w:ascii="宋体" w:hAnsi="宋体" w:eastAsia="宋体" w:cs="宋体"/>
          <w:b w:val="0"/>
          <w:bCs w:val="0"/>
          <w:color w:val="auto"/>
          <w:sz w:val="24"/>
          <w:highlight w:val="none"/>
          <w:shd w:val="clear" w:color="auto" w:fill="FFFFFF"/>
          <w:lang w:val="en-US" w:eastAsia="zh-CN"/>
        </w:rPr>
        <w:t>1、进度款，货物送达50%，达到付款条件起15个⼯作⽇内，⽀付合同总⾦额的50 .0%</w:t>
      </w:r>
    </w:p>
    <w:p w14:paraId="48EC5E01">
      <w:pPr>
        <w:tabs>
          <w:tab w:val="left" w:pos="3972"/>
        </w:tabs>
        <w:spacing w:line="440" w:lineRule="exact"/>
        <w:ind w:firstLine="482"/>
        <w:rPr>
          <w:rFonts w:hint="eastAsia" w:ascii="宋体" w:hAnsi="宋体" w:eastAsia="宋体" w:cs="宋体"/>
          <w:b w:val="0"/>
          <w:bCs w:val="0"/>
          <w:color w:val="auto"/>
          <w:sz w:val="24"/>
          <w:highlight w:val="none"/>
          <w:shd w:val="clear" w:color="auto" w:fill="FFFFFF"/>
          <w:lang w:val="en-US" w:eastAsia="zh-CN"/>
        </w:rPr>
      </w:pPr>
      <w:r>
        <w:rPr>
          <w:rFonts w:hint="eastAsia" w:ascii="宋体" w:hAnsi="宋体" w:eastAsia="宋体" w:cs="宋体"/>
          <w:b w:val="0"/>
          <w:bCs w:val="0"/>
          <w:color w:val="auto"/>
          <w:sz w:val="24"/>
          <w:highlight w:val="none"/>
          <w:shd w:val="clear" w:color="auto" w:fill="FFFFFF"/>
          <w:lang w:val="en-US" w:eastAsia="zh-CN"/>
        </w:rPr>
        <w:t>2、进度款，货物送达100%，达到付款条件起15个⼯作⽇内，⽀付合同总⾦额的50 .0%</w:t>
      </w:r>
    </w:p>
    <w:p w14:paraId="1F716DD7">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p>
    <w:p w14:paraId="16ECBD76">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户  名：</w:t>
      </w:r>
    </w:p>
    <w:p w14:paraId="7D471A90">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开户行：</w:t>
      </w:r>
    </w:p>
    <w:p w14:paraId="03FA823C">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账  号：</w:t>
      </w:r>
    </w:p>
    <w:p w14:paraId="4DC74EE0">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行  号：</w:t>
      </w:r>
    </w:p>
    <w:p w14:paraId="058485BC">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第四条  货物验收</w:t>
      </w:r>
    </w:p>
    <w:p w14:paraId="15AF0021">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1、乙方送货时，必须出具当天配送货物的检验合格证，确保向甲方提供的食材完全 符合国家食品卫生的有关规定。</w:t>
      </w:r>
    </w:p>
    <w:p w14:paraId="6D5D8CCC">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 甲方验收组成员与乙方配送员共同对所购食材的质量、数量进行核对验收，核对验收合格，在配送明细单上签字，并将相关票据、清单留存归档。验收中如出现质量问题，甲方有权拒收货物，乙方须无条件退货，并在规定时间内重新供货，由此产生的所有责任 和损失由乙方承担。</w:t>
      </w:r>
    </w:p>
    <w:p w14:paraId="053B9393">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为保障双方权益，甲方签收前应与乙方配送人员当面核对货品是否与订单一致，是否符合货物质量标准，在确认无误后再签收；若甲方授权将订单交由他人签收，签收人享有与甲方等同的权利，乙方将视为甲方本人签收。</w:t>
      </w:r>
    </w:p>
    <w:p w14:paraId="5E965766">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 甲方根据质量标准，由验收组共同验收，验收合格后履行入库手续。</w:t>
      </w:r>
    </w:p>
    <w:p w14:paraId="5498D17D">
      <w:pPr>
        <w:tabs>
          <w:tab w:val="left" w:pos="3972"/>
        </w:tabs>
        <w:spacing w:line="440" w:lineRule="exact"/>
        <w:rPr>
          <w:rFonts w:hint="eastAsia" w:ascii="宋体" w:hAnsi="宋体" w:eastAsia="宋体" w:cs="宋体"/>
          <w:b/>
          <w:bCs/>
          <w:color w:val="auto"/>
          <w:sz w:val="24"/>
          <w:highlight w:val="none"/>
          <w:shd w:val="clear" w:color="auto" w:fill="FFFFFF"/>
        </w:rPr>
      </w:pPr>
      <w:r>
        <w:rPr>
          <w:rFonts w:hint="eastAsia" w:ascii="宋体" w:hAnsi="宋体" w:eastAsia="宋体" w:cs="宋体"/>
          <w:b/>
          <w:bCs/>
          <w:color w:val="auto"/>
          <w:sz w:val="24"/>
          <w:highlight w:val="none"/>
          <w:shd w:val="clear" w:color="auto" w:fill="FFFFFF"/>
        </w:rPr>
        <w:t>第五条  货物质量标准要求</w:t>
      </w:r>
    </w:p>
    <w:p w14:paraId="6CE71B3F">
      <w:pPr>
        <w:tabs>
          <w:tab w:val="left" w:pos="3972"/>
        </w:tabs>
        <w:spacing w:line="440" w:lineRule="exact"/>
        <w:ind w:firstLine="482"/>
        <w:rPr>
          <w:rFonts w:hint="eastAsia" w:ascii="宋体" w:hAnsi="宋体" w:eastAsia="宋体" w:cs="宋体"/>
          <w:b w:val="0"/>
          <w:bCs w:val="0"/>
          <w:color w:val="auto"/>
          <w:sz w:val="24"/>
          <w:highlight w:val="none"/>
          <w:shd w:val="clear" w:color="auto" w:fill="FFFFFF"/>
          <w:lang w:eastAsia="zh-CN"/>
        </w:rPr>
      </w:pPr>
      <w:r>
        <w:rPr>
          <w:rFonts w:hint="eastAsia" w:ascii="宋体" w:hAnsi="宋体" w:eastAsia="宋体" w:cs="宋体"/>
          <w:b w:val="0"/>
          <w:bCs w:val="0"/>
          <w:color w:val="auto"/>
          <w:sz w:val="24"/>
          <w:highlight w:val="none"/>
          <w:shd w:val="clear" w:color="auto" w:fill="FFFFFF"/>
        </w:rPr>
        <w:t>乙方应按照《中华人民共和国食品卫生安全法》的规定，向甲方供应完全符合相应的</w:t>
      </w:r>
      <w:r>
        <w:rPr>
          <w:rFonts w:hint="eastAsia" w:ascii="宋体" w:hAnsi="宋体" w:cs="宋体"/>
          <w:b w:val="0"/>
          <w:bCs w:val="0"/>
          <w:color w:val="auto"/>
          <w:sz w:val="24"/>
          <w:highlight w:val="none"/>
          <w:shd w:val="clear" w:color="auto" w:fill="FFFFFF"/>
          <w:lang w:val="en-US" w:eastAsia="zh-CN"/>
        </w:rPr>
        <w:t>现行、最新</w:t>
      </w:r>
      <w:r>
        <w:rPr>
          <w:rFonts w:hint="eastAsia" w:ascii="宋体" w:hAnsi="宋体" w:eastAsia="宋体" w:cs="宋体"/>
          <w:b w:val="0"/>
          <w:bCs w:val="0"/>
          <w:color w:val="auto"/>
          <w:sz w:val="24"/>
          <w:highlight w:val="none"/>
          <w:shd w:val="clear" w:color="auto" w:fill="FFFFFF"/>
        </w:rPr>
        <w:t>食品安全国家标准要求的货品，并提供产品合格证，卫生许可证以及质检合格证等相关手续。并保证所供食材均符合国家卫生质量检验标准的正规产品，且完全符合甲方要求，不得出现过期霉变、以次充好等情况。</w:t>
      </w:r>
    </w:p>
    <w:p w14:paraId="63C32D59">
      <w:pPr>
        <w:tabs>
          <w:tab w:val="left" w:pos="3972"/>
        </w:tabs>
        <w:spacing w:line="440" w:lineRule="exact"/>
        <w:ind w:firstLine="482"/>
        <w:rPr>
          <w:rFonts w:hint="default" w:ascii="宋体" w:hAnsi="宋体" w:eastAsia="宋体" w:cs="宋体"/>
          <w:b/>
          <w:bCs/>
          <w:color w:val="auto"/>
          <w:sz w:val="24"/>
          <w:highlight w:val="none"/>
          <w:shd w:val="clear" w:color="auto" w:fill="FFFFFF"/>
          <w:lang w:val="en-US" w:eastAsia="zh-CN"/>
        </w:rPr>
      </w:pPr>
      <w:r>
        <w:rPr>
          <w:rFonts w:hint="eastAsia" w:ascii="宋体" w:hAnsi="宋体" w:cs="宋体"/>
          <w:b/>
          <w:bCs/>
          <w:color w:val="auto"/>
          <w:sz w:val="24"/>
          <w:highlight w:val="none"/>
          <w:shd w:val="clear" w:color="auto" w:fill="FFFFFF"/>
          <w:lang w:val="en-US" w:eastAsia="zh-CN"/>
        </w:rPr>
        <w:t>大米质量标准要求：</w:t>
      </w:r>
    </w:p>
    <w:p w14:paraId="67FEA0BF">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（1）大米执行标准：质量符合国家标准GB</w:t>
      </w:r>
      <w:r>
        <w:rPr>
          <w:rFonts w:hint="eastAsia" w:ascii="宋体" w:hAnsi="宋体" w:eastAsia="宋体" w:cs="宋体"/>
          <w:b w:val="0"/>
          <w:bCs w:val="0"/>
          <w:color w:val="auto"/>
          <w:sz w:val="24"/>
          <w:highlight w:val="none"/>
          <w:shd w:val="clear" w:color="auto" w:fill="FFFFFF"/>
          <w:lang w:val="en-US" w:eastAsia="zh-CN"/>
        </w:rPr>
        <w:t xml:space="preserve">/T </w:t>
      </w:r>
      <w:r>
        <w:rPr>
          <w:rFonts w:hint="eastAsia" w:ascii="宋体" w:hAnsi="宋体" w:eastAsia="宋体" w:cs="宋体"/>
          <w:b w:val="0"/>
          <w:bCs w:val="0"/>
          <w:color w:val="auto"/>
          <w:sz w:val="24"/>
          <w:highlight w:val="none"/>
          <w:shd w:val="clear" w:color="auto" w:fill="FFFFFF"/>
        </w:rPr>
        <w:t>1354</w:t>
      </w:r>
      <w:r>
        <w:rPr>
          <w:rFonts w:hint="eastAsia" w:ascii="宋体" w:hAnsi="宋体" w:eastAsia="宋体" w:cs="宋体"/>
          <w:b w:val="0"/>
          <w:bCs w:val="0"/>
          <w:color w:val="auto"/>
          <w:sz w:val="24"/>
          <w:highlight w:val="none"/>
          <w:shd w:val="clear" w:color="auto" w:fill="FFFFFF"/>
          <w:lang w:val="en-US" w:eastAsia="zh-CN"/>
        </w:rPr>
        <w:t>-2018</w:t>
      </w:r>
      <w:r>
        <w:rPr>
          <w:rFonts w:hint="eastAsia" w:ascii="宋体" w:hAnsi="宋体" w:eastAsia="宋体" w:cs="宋体"/>
          <w:b w:val="0"/>
          <w:bCs w:val="0"/>
          <w:color w:val="auto"/>
          <w:sz w:val="24"/>
          <w:highlight w:val="none"/>
          <w:shd w:val="clear" w:color="auto" w:fill="FFFFFF"/>
        </w:rPr>
        <w:t>标准，一级</w:t>
      </w:r>
      <w:r>
        <w:rPr>
          <w:rFonts w:hint="eastAsia" w:ascii="宋体" w:hAnsi="宋体" w:eastAsia="宋体" w:cs="宋体"/>
          <w:b w:val="0"/>
          <w:bCs w:val="0"/>
          <w:color w:val="auto"/>
          <w:sz w:val="24"/>
          <w:highlight w:val="none"/>
          <w:shd w:val="clear" w:color="auto" w:fill="FFFFFF"/>
          <w:lang w:eastAsia="zh-CN"/>
        </w:rPr>
        <w:t>粳</w:t>
      </w:r>
      <w:r>
        <w:rPr>
          <w:rFonts w:hint="eastAsia" w:ascii="宋体" w:hAnsi="宋体" w:eastAsia="宋体" w:cs="宋体"/>
          <w:b w:val="0"/>
          <w:bCs w:val="0"/>
          <w:color w:val="auto"/>
          <w:sz w:val="24"/>
          <w:highlight w:val="none"/>
          <w:shd w:val="clear" w:color="auto" w:fill="FFFFFF"/>
        </w:rPr>
        <w:t>米标准要求（须提供由国家指定质量检测机构出具的检验报告）。</w:t>
      </w:r>
    </w:p>
    <w:p w14:paraId="48FFE59B">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（2）质量要求：具有大米固有色泽与香味，无污染、虫害，色泽、气味、口味正常；无异味、霉味；无虫蛀、结块、挂丝或杂质等，符合国家粮食卫生标准。</w:t>
      </w:r>
    </w:p>
    <w:p w14:paraId="1DFF55E1">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（3）包装要求：</w:t>
      </w:r>
      <w:r>
        <w:rPr>
          <w:rFonts w:hint="eastAsia" w:ascii="宋体" w:hAnsi="宋体" w:eastAsia="宋体" w:cs="宋体"/>
          <w:b w:val="0"/>
          <w:bCs w:val="0"/>
          <w:color w:val="auto"/>
          <w:sz w:val="24"/>
          <w:highlight w:val="none"/>
          <w:shd w:val="clear" w:color="auto" w:fill="FFFFFF"/>
          <w:lang w:eastAsia="zh-CN"/>
        </w:rPr>
        <w:t>粳米</w:t>
      </w:r>
      <w:r>
        <w:rPr>
          <w:rFonts w:hint="eastAsia" w:ascii="宋体" w:hAnsi="宋体" w:eastAsia="宋体" w:cs="宋体"/>
          <w:b w:val="0"/>
          <w:bCs w:val="0"/>
          <w:color w:val="auto"/>
          <w:sz w:val="24"/>
          <w:highlight w:val="none"/>
          <w:shd w:val="clear" w:color="auto" w:fill="FFFFFF"/>
        </w:rPr>
        <w:t>25kg/袋，应符合《粮食销售包装》（GB/T17109）</w:t>
      </w:r>
      <w:r>
        <w:rPr>
          <w:rFonts w:hint="eastAsia" w:ascii="宋体" w:hAnsi="宋体" w:cs="宋体"/>
          <w:b w:val="0"/>
          <w:bCs w:val="0"/>
          <w:color w:val="auto"/>
          <w:sz w:val="24"/>
          <w:highlight w:val="none"/>
          <w:shd w:val="clear" w:color="auto" w:fill="FFFFFF"/>
          <w:lang w:val="en-US" w:eastAsia="zh-CN"/>
        </w:rPr>
        <w:t>及相关最新</w:t>
      </w:r>
      <w:r>
        <w:rPr>
          <w:rFonts w:hint="eastAsia" w:ascii="宋体" w:hAnsi="宋体" w:eastAsia="宋体" w:cs="宋体"/>
          <w:b w:val="0"/>
          <w:bCs w:val="0"/>
          <w:color w:val="auto"/>
          <w:sz w:val="24"/>
          <w:highlight w:val="none"/>
          <w:shd w:val="clear" w:color="auto" w:fill="FFFFFF"/>
        </w:rPr>
        <w:t>要求，包装袋清洁无污渍、无破损、无渗漏。</w:t>
      </w:r>
    </w:p>
    <w:p w14:paraId="22E0127E">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（4）标识要求：有生产许可证号，执行标准；标明产品名称、净含量、质量等级、生产企业名称、电话、地址、生产日期、保质期及营养成分表。</w:t>
      </w:r>
    </w:p>
    <w:p w14:paraId="724C5240">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（5）供货时剩余保质期不少于标注保质期三分之二。</w:t>
      </w:r>
    </w:p>
    <w:p w14:paraId="3F97371C">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lang w:eastAsia="zh-CN"/>
        </w:rPr>
        <w:t>（</w:t>
      </w:r>
      <w:r>
        <w:rPr>
          <w:rFonts w:hint="eastAsia" w:ascii="宋体" w:hAnsi="宋体" w:eastAsia="宋体" w:cs="宋体"/>
          <w:b w:val="0"/>
          <w:bCs w:val="0"/>
          <w:color w:val="auto"/>
          <w:sz w:val="24"/>
          <w:highlight w:val="none"/>
          <w:shd w:val="clear" w:color="auto" w:fill="FFFFFF"/>
          <w:lang w:val="en-US" w:eastAsia="zh-CN"/>
        </w:rPr>
        <w:t>6</w:t>
      </w:r>
      <w:r>
        <w:rPr>
          <w:rFonts w:hint="eastAsia" w:ascii="宋体" w:hAnsi="宋体" w:eastAsia="宋体" w:cs="宋体"/>
          <w:b w:val="0"/>
          <w:bCs w:val="0"/>
          <w:color w:val="auto"/>
          <w:sz w:val="24"/>
          <w:highlight w:val="none"/>
          <w:shd w:val="clear" w:color="auto" w:fill="FFFFFF"/>
          <w:lang w:eastAsia="zh-CN"/>
        </w:rPr>
        <w:t>）</w:t>
      </w:r>
      <w:r>
        <w:rPr>
          <w:rFonts w:hint="eastAsia" w:ascii="宋体" w:hAnsi="宋体" w:eastAsia="宋体" w:cs="宋体"/>
          <w:b w:val="0"/>
          <w:bCs w:val="0"/>
          <w:color w:val="auto"/>
          <w:sz w:val="24"/>
          <w:highlight w:val="none"/>
          <w:shd w:val="clear" w:color="auto" w:fill="FFFFFF"/>
        </w:rPr>
        <w:t>若发现食材腐败变质、生虫、不洁、混有异物或异常现象，均不得入库</w:t>
      </w:r>
      <w:r>
        <w:rPr>
          <w:rFonts w:hint="eastAsia" w:ascii="宋体" w:hAnsi="宋体" w:eastAsia="宋体" w:cs="宋体"/>
          <w:b w:val="0"/>
          <w:bCs w:val="0"/>
          <w:color w:val="auto"/>
          <w:sz w:val="24"/>
          <w:highlight w:val="none"/>
          <w:shd w:val="clear" w:color="auto" w:fill="FFFFFF"/>
          <w:lang w:eastAsia="zh-CN"/>
        </w:rPr>
        <w:t>。</w:t>
      </w:r>
    </w:p>
    <w:p w14:paraId="3E78B50D">
      <w:pPr>
        <w:tabs>
          <w:tab w:val="left" w:pos="3972"/>
        </w:tabs>
        <w:spacing w:line="440" w:lineRule="exact"/>
        <w:ind w:firstLine="482"/>
        <w:rPr>
          <w:rFonts w:hint="eastAsia" w:ascii="宋体" w:hAnsi="宋体" w:cs="宋体"/>
          <w:b/>
          <w:bCs/>
          <w:color w:val="auto"/>
          <w:sz w:val="24"/>
          <w:highlight w:val="none"/>
          <w:shd w:val="clear" w:color="auto" w:fill="FFFFFF"/>
          <w:lang w:val="en-US" w:eastAsia="zh-CN"/>
        </w:rPr>
      </w:pPr>
      <w:r>
        <w:rPr>
          <w:rFonts w:hint="eastAsia" w:ascii="宋体" w:hAnsi="宋体" w:cs="宋体"/>
          <w:b/>
          <w:bCs/>
          <w:color w:val="auto"/>
          <w:sz w:val="24"/>
          <w:highlight w:val="none"/>
          <w:shd w:val="clear" w:color="auto" w:fill="FFFFFF"/>
          <w:lang w:val="en-US" w:eastAsia="zh-CN"/>
        </w:rPr>
        <w:t>面粉质量标准要求：</w:t>
      </w:r>
    </w:p>
    <w:p w14:paraId="33B73AC6">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（1）面粉执行标准：质量符合国家标准 GB/T 1355-2021 精制粉标准要求（须提供由国家指定质量检测机构出具的检验报告）。</w:t>
      </w:r>
    </w:p>
    <w:p w14:paraId="574B56BD">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质量要求：无污染、虫害，色泽、气味、口味正常；无异味、霉味；无虫蛀、结块、挂丝或杂质异物；色泽呈白色或微黄色；外观呈细粉末状，无杂质，手指捻捏时无粗粒感，放开后不成团；具有面粉正常气味，无异味。符合国家粮食卫生标准。</w:t>
      </w:r>
    </w:p>
    <w:p w14:paraId="465B1AD5">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（3）包装要求：25kg/袋，应符合《粮食销售包装》（GB/T17109）</w:t>
      </w:r>
      <w:r>
        <w:rPr>
          <w:rFonts w:hint="eastAsia" w:ascii="宋体" w:hAnsi="宋体" w:cs="宋体"/>
          <w:b w:val="0"/>
          <w:bCs w:val="0"/>
          <w:color w:val="auto"/>
          <w:sz w:val="24"/>
          <w:highlight w:val="none"/>
          <w:shd w:val="clear" w:color="auto" w:fill="FFFFFF"/>
          <w:lang w:val="en-US" w:eastAsia="zh-CN"/>
        </w:rPr>
        <w:t>及相关最新</w:t>
      </w:r>
      <w:r>
        <w:rPr>
          <w:rFonts w:hint="eastAsia" w:ascii="宋体" w:hAnsi="宋体" w:eastAsia="宋体" w:cs="宋体"/>
          <w:b w:val="0"/>
          <w:bCs w:val="0"/>
          <w:color w:val="auto"/>
          <w:sz w:val="24"/>
          <w:highlight w:val="none"/>
          <w:shd w:val="clear" w:color="auto" w:fill="FFFFFF"/>
        </w:rPr>
        <w:t>要求，包装袋清洁无污渍，无破损、无渗漏。</w:t>
      </w:r>
    </w:p>
    <w:p w14:paraId="515F7081">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（4）标识要求：有生产许可证号，执行标准；标明产品名称、净含量、质量等级、生产企业名称、电话、地址、生产日期、保质期及营养成分表。</w:t>
      </w:r>
    </w:p>
    <w:p w14:paraId="52A3DCFB">
      <w:pPr>
        <w:tabs>
          <w:tab w:val="left" w:pos="3972"/>
        </w:tabs>
        <w:spacing w:line="440" w:lineRule="exact"/>
        <w:ind w:firstLine="482"/>
        <w:rPr>
          <w:rFonts w:hint="eastAsia" w:eastAsia="宋体"/>
          <w:color w:val="auto"/>
          <w:highlight w:val="none"/>
          <w:lang w:val="en-US" w:eastAsia="zh-CN"/>
        </w:rPr>
      </w:pPr>
      <w:r>
        <w:rPr>
          <w:rFonts w:hint="eastAsia" w:ascii="宋体" w:hAnsi="宋体" w:eastAsia="宋体" w:cs="宋体"/>
          <w:b w:val="0"/>
          <w:bCs w:val="0"/>
          <w:color w:val="auto"/>
          <w:sz w:val="24"/>
          <w:highlight w:val="none"/>
          <w:shd w:val="clear" w:color="auto" w:fill="FFFFFF"/>
        </w:rPr>
        <w:t>（5）供货时剩余保质期不少于标注保质期三分之二</w:t>
      </w:r>
      <w:r>
        <w:rPr>
          <w:rFonts w:hint="eastAsia" w:ascii="宋体" w:hAnsi="宋体" w:cs="宋体"/>
          <w:b w:val="0"/>
          <w:bCs w:val="0"/>
          <w:color w:val="auto"/>
          <w:sz w:val="24"/>
          <w:highlight w:val="none"/>
          <w:shd w:val="clear" w:color="auto" w:fill="FFFFFF"/>
          <w:lang w:eastAsia="zh-CN"/>
        </w:rPr>
        <w:t>。</w:t>
      </w:r>
    </w:p>
    <w:p w14:paraId="2B3E0DCA">
      <w:pPr>
        <w:tabs>
          <w:tab w:val="left" w:pos="3972"/>
        </w:tabs>
        <w:spacing w:line="440" w:lineRule="exact"/>
        <w:rPr>
          <w:rFonts w:hint="eastAsia" w:ascii="宋体" w:hAnsi="宋体" w:eastAsia="宋体" w:cs="宋体"/>
          <w:b/>
          <w:bCs/>
          <w:color w:val="auto"/>
          <w:sz w:val="24"/>
          <w:highlight w:val="none"/>
          <w:shd w:val="clear" w:color="auto" w:fill="FFFFFF"/>
        </w:rPr>
      </w:pPr>
      <w:r>
        <w:rPr>
          <w:rFonts w:hint="eastAsia" w:ascii="宋体" w:hAnsi="宋体" w:eastAsia="宋体" w:cs="宋体"/>
          <w:b/>
          <w:bCs/>
          <w:color w:val="auto"/>
          <w:sz w:val="24"/>
          <w:highlight w:val="none"/>
          <w:shd w:val="clear" w:color="auto" w:fill="FFFFFF"/>
        </w:rPr>
        <w:t>第六条  甲方权利及义务</w:t>
      </w:r>
    </w:p>
    <w:p w14:paraId="35E024A5">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1、提前向乙方报送采购订单，注明所需产品的种类、数量、配送日期、配送地点等内容。按需要求乙方进行日配送、周配送、月配送，确保食材新鲜。甲方有权根据实际需求量随时调整采购计划及供货时间段。</w:t>
      </w:r>
    </w:p>
    <w:p w14:paraId="1E418655">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 甲方收到货物后向乙方出具收货凭证，并以收货凭证作为双方唯一的结算依据。收获凭证应注明产品种类、单价、数量等结算数据。</w:t>
      </w:r>
    </w:p>
    <w:p w14:paraId="1C9C04F0">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3、按照合同约定甲方支付乙方合同费用。</w:t>
      </w:r>
    </w:p>
    <w:p w14:paraId="64F78F43">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4、甲方对采购产品的质量进行监督和检查。</w:t>
      </w:r>
    </w:p>
    <w:p w14:paraId="01B3ABFE">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5、由于甲方工作人员工作失误导致下单延误或不及时，或者由于甲方工作人员下单数量有误，下单品名有误，由此而引起的损失，乙方不承担损失。</w:t>
      </w:r>
    </w:p>
    <w:p w14:paraId="07F19954">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6、甲方食材询价小组对乙方供货价格进行监督。</w:t>
      </w:r>
    </w:p>
    <w:p w14:paraId="0BB7CCAE">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7、采购产品在验收时有不符合要求的，一律退回，乙方无条件重新更换配送货物，更换后仍不符合标准的，甲方有权向第三方进货，并由乙方承担甲方由此产生的费用及损失。</w:t>
      </w:r>
    </w:p>
    <w:p w14:paraId="06C05A38">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8、特殊情况发生产品紧缺或断货，甲方有权临时借调其它产品。如因乙方原因不能保证产品及时有效供应，或其它如产品发生质量问题或不良反应，甲方有权单方终止合同并不承担违约责任。</w:t>
      </w:r>
    </w:p>
    <w:p w14:paraId="37206775">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第七条  乙方权利及义务</w:t>
      </w:r>
    </w:p>
    <w:p w14:paraId="530D9369">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1、技术方案：有具体的配送管理制度和管理办法；制定合理、可行的项目实施方案 及各种突发情况 (市场供求变化、天气、车辆故障等) 的应急预案，能够在承诺的时间内按期交货，并按照甲方要求将产品运送至指定位置。</w:t>
      </w:r>
    </w:p>
    <w:p w14:paraId="6959006C">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2、质量保障：配送产品种类、品牌齐全，质量可靠。符合国家质量标准和食品卫生安全要求。</w:t>
      </w:r>
    </w:p>
    <w:p w14:paraId="0648589A">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3、确保供应：产品供应渠道正常、稳定且质量有保证，须备足货源，确保按甲方时限要求及时供货，无假货、次货, 不延误甲方工作。具备完善的管理制度流程，确保食品安全。供应商自备送货车 (冷藏或恒温) ，安排专人及时供货，装卸费、送货费用及运输安全由供货方承担；如遇甲方需要的小批量的紧急食材、紧急任务或加班备勤等突发状况，乙方须严格按照甲方要求，及时配送到位；乙方须如遇天气、堵车、车辆事故、市场断档等特殊情况无法按需供货，需要提前告知甲方并与甲方沟通解决方案，以便甲方调整清单。否则，视为延迟配送，须承担违约责任。</w:t>
      </w:r>
    </w:p>
    <w:p w14:paraId="01B1502A">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4、售后能力：满足用户的配送要求，承诺最短响应时间，对服务期内所提供产品食品安全、质量等方面具有详细的服务承诺及保证措施。服务承诺及保证措施完善、具体可行。</w:t>
      </w:r>
    </w:p>
    <w:p w14:paraId="769375D1">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5、乙方在送货期间应注意安全，不得损坏甲方设施，并保持现场清洁。</w:t>
      </w:r>
    </w:p>
    <w:p w14:paraId="19F7550E">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6、乙方应将所供应食材在甲方指定位置码放整齐。</w:t>
      </w:r>
    </w:p>
    <w:p w14:paraId="14B9F42C">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第八条 违约责任</w:t>
      </w:r>
    </w:p>
    <w:p w14:paraId="7340EC8E">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1、乙方未按甲方供货通知书确定的日期交货，应承担逾期交货的违约责任，每逾期一日，按逾期交货部分价款的 1‰向甲方支付违约金。逾期超过三日，甲方有权取消该批订货或解除合同。</w:t>
      </w:r>
    </w:p>
    <w:p w14:paraId="43B04008">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2、乙方在收取甲方款项之前应为甲方开具相同数额的发票，若乙方未按时开具发票，甲方有权拒绝或延期支付相应款项并不承担任何违约责任。</w:t>
      </w:r>
    </w:p>
    <w:p w14:paraId="4B0923C5">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3、乙方保证卖出货物系乙方有权销售的财产，如属乙方原因致货物质量及权利原因被执法部门没收查处，给甲方造成的损失部分，由乙方按甲方实际损失向甲方赔偿。</w:t>
      </w:r>
    </w:p>
    <w:p w14:paraId="76CD2116">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 甲方一旦发现乙方所供产品出现但不限于以下质量问题的，在收到甲方通知后 24 小时内没有弥补缺陷，甲方可采取必要的补救措施，但其风险和费用将由乙方承担。甲方有权从已供货款中扣回索赔金额，如果严重影响到甲方的正常工作秩序，甲方有权单方面立即解除合同。</w:t>
      </w:r>
    </w:p>
    <w:p w14:paraId="30E8E659">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 乙方向甲方提供的产品达不到本合同约定的质量标准；</w:t>
      </w:r>
    </w:p>
    <w:p w14:paraId="6EACC7C8">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食材腐败变质、油脂酸败、生虫、污秽不洁、混有异物或其它异常情况；含有毒、有害物质；含有致病性寄生虫、微生物或微生物含量超过国家限定标准；掺假、掺杂、伪造产品；用非食品原料加工，加入非食品用化学物质或者将非食品当作食品。</w:t>
      </w:r>
    </w:p>
    <w:p w14:paraId="3D47E6EE">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 乙方向甲方提供质量低下或者过期产品，不能及时退货或者换货；</w:t>
      </w:r>
    </w:p>
    <w:p w14:paraId="009E27CA">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 不经双方协商，乙方向甲方提供其他不符合合同规定的产品；</w:t>
      </w:r>
    </w:p>
    <w:p w14:paraId="72C0375C">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 乙方不能及时向甲方提供产品的检验合格证；</w:t>
      </w:r>
    </w:p>
    <w:p w14:paraId="77FED419">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(5) 乙方接到甲方通知后，未将原材料按时按要求配送到位，影响甲方服刑人员餐 厅正常开餐的，以当日需求计划总量两倍价款赔付当日损失，同时乙方应承担违约责任， 甲方可从其货款中扣除相应违约金额，一月内出现三次及以上的甲方可直接解除合同。</w:t>
      </w:r>
    </w:p>
    <w:p w14:paraId="02418E7C">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(6) 若乙方供货在地方质检部门或上级主管部门质量抽检不合格率达 5%，合同自动 解除。</w:t>
      </w:r>
    </w:p>
    <w:p w14:paraId="5AABF70B">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5、乙方供应的产品不符合《中华人民共和国食品卫生安全法》的规定标准和本合同 第五条货物质量标准的，甲方可立即解除本合同，乙方还应向甲方支付合同期内已供货总金额10%的违约金；如发生食物中毒等食源性疾病或其他伤害，与乙方所供货品相关，由乙方承担全部法律责任与经济损失,如甲方因此先行垫付费用，有权向乙方全部追偿。同时甲方有权向乙方主张已结算总金额 30%或损失 30%的违约金。</w:t>
      </w:r>
    </w:p>
    <w:p w14:paraId="39468356">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6、如因乙方原因不能保证产品及时有效供应，或其它如产品发生质量问题或不良反应，甲方有权单方终止合同并不承担违约责任。</w:t>
      </w:r>
    </w:p>
    <w:p w14:paraId="455F1EEB">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7、本合同履行期内，如发生不可抗力因素需解除供货合同 (国家政策变化， 甲方机构改制，或经营模式变化等)，导致本合同无法履行的，甲方有权单方面解除本合同，不承担任何违约责任，但需提前七日通知乙方。</w:t>
      </w:r>
    </w:p>
    <w:p w14:paraId="24450C1A">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8、 甲方一旦发现乙方所供产品如过期、假冒、伪劣、腐烂、发霉等质量问题，甲方有权要求乙方立即调换合格的产品，如乙方拒绝调换或者调换时间延误，不能符合甲方餐饮时间要求的，甲方有权在其他第三方采购，由此产生的第三方费用甲方有权在核算中直接予以扣除。合同期内发生该情况三次以上的，则甲方有权单方面解除本合同并不承担违约责任。</w:t>
      </w:r>
    </w:p>
    <w:p w14:paraId="1FE922C5">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9、乙方未按时足量向甲方供应产品的，甲方有权向其他第三方采购，乙方应向甲方支付其在第三方采购的货品金额。如果一个月内发生两次以上的，甲方有权解除本合同并不承担违约责任，乙方承担本月已供货物金额 10%的违约金。</w:t>
      </w:r>
    </w:p>
    <w:p w14:paraId="6A7F1EC9">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10、本合同期限内，除非甲方违约在先，乙方不得提前终止合同，否则，甲方有权要求乙方承担本季度已付货款金额 10%的违约金；若因乙方自身原因造成本合同解除或终止的，甲方有权扣除乙方全部货款，且乙方需赔偿甲方因此遭受的全部损失。</w:t>
      </w:r>
    </w:p>
    <w:p w14:paraId="6B2B980A">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11、乙方如逾期供货给甲方造成不良后果时，甲方有权终止与乙方的所有供货业务关系，并要求乙方承担赔偿责任。</w:t>
      </w:r>
    </w:p>
    <w:p w14:paraId="4749DC03">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12、如有一方违约，或未经守约方同意单方解除本合同的，违约一方应按本季度已付货款金额 10%向守约方支付违约金，并赔偿守约方因此遭受的全部损失包括但不限于守约方为维权所支出的差旅费、诉讼费、公证费、律师费等合理费用。</w:t>
      </w:r>
    </w:p>
    <w:p w14:paraId="35D8C3A9">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    解决合同纠纷方式</w:t>
      </w:r>
    </w:p>
    <w:p w14:paraId="3951E96B">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1、产生纠纷首先协商，争取自行友好解决。</w:t>
      </w:r>
    </w:p>
    <w:p w14:paraId="3D6F180F">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2、双方均有权向合同签订地有管辖权的人民法院提起民事诉讼。</w:t>
      </w:r>
    </w:p>
    <w:p w14:paraId="2B58B62B">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3、双方互相留样，如产品在保质期内发现质量问题甲方应在 24 小时内以书面形式通知乙方，双方共同提取样品到相关质检部门抽检，以质检结论为准，明确责任。逾期未提出书面通知视为甲方对产品质量无异议。</w:t>
      </w:r>
    </w:p>
    <w:p w14:paraId="401991A4">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第十条    其他</w:t>
      </w:r>
    </w:p>
    <w:p w14:paraId="73A52566">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1、本合同未尽事宜，须经双方共同协商，作出补充约定，签订的补充协议属本合同的组成部分，具有同等法律效力。</w:t>
      </w:r>
    </w:p>
    <w:p w14:paraId="35146A85">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2、本合同提供的产品销售价格如因市场因素发生较大变化，乙方应在决定作出后三日内通知甲方，甲方接到调价通知后，进行市场考察，双方协商后按新价格执行。</w:t>
      </w:r>
    </w:p>
    <w:p w14:paraId="26DD2262">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3、双方有关人员在履行合同中涉及到对方资料及信息负有保密责任，不得向任何人披露，正常履行本合同义务除外。</w:t>
      </w:r>
    </w:p>
    <w:p w14:paraId="12A13D03">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4、与履行合同有关的必要事项发生变化，应及时告知对方。</w:t>
      </w:r>
    </w:p>
    <w:p w14:paraId="3A208643">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5、本合同一式</w:t>
      </w:r>
      <w:r>
        <w:rPr>
          <w:rFonts w:hint="eastAsia" w:ascii="宋体" w:hAnsi="宋体" w:eastAsia="宋体" w:cs="宋体"/>
          <w:b w:val="0"/>
          <w:bCs w:val="0"/>
          <w:color w:val="auto"/>
          <w:sz w:val="24"/>
          <w:highlight w:val="none"/>
          <w:u w:val="single"/>
          <w:shd w:val="clear" w:color="auto" w:fill="FFFFFF"/>
          <w:lang w:val="en-US" w:eastAsia="zh-CN"/>
        </w:rPr>
        <w:t xml:space="preserve">    </w:t>
      </w:r>
      <w:r>
        <w:rPr>
          <w:rFonts w:hint="eastAsia" w:ascii="宋体" w:hAnsi="宋体" w:eastAsia="宋体" w:cs="宋体"/>
          <w:b w:val="0"/>
          <w:bCs w:val="0"/>
          <w:color w:val="auto"/>
          <w:sz w:val="24"/>
          <w:highlight w:val="none"/>
          <w:shd w:val="clear" w:color="auto" w:fill="FFFFFF"/>
        </w:rPr>
        <w:t>份，具有同等法律效力，甲乙双方各执</w:t>
      </w:r>
      <w:r>
        <w:rPr>
          <w:rFonts w:hint="eastAsia" w:ascii="宋体" w:hAnsi="宋体" w:eastAsia="宋体" w:cs="宋体"/>
          <w:b w:val="0"/>
          <w:bCs w:val="0"/>
          <w:color w:val="auto"/>
          <w:sz w:val="24"/>
          <w:highlight w:val="none"/>
          <w:u w:val="single"/>
          <w:shd w:val="clear" w:color="auto" w:fill="FFFFFF"/>
          <w:lang w:val="en-US" w:eastAsia="zh-CN"/>
        </w:rPr>
        <w:t xml:space="preserve">   </w:t>
      </w:r>
      <w:r>
        <w:rPr>
          <w:rFonts w:hint="eastAsia" w:ascii="宋体" w:hAnsi="宋体" w:eastAsia="宋体" w:cs="宋体"/>
          <w:b w:val="0"/>
          <w:bCs w:val="0"/>
          <w:color w:val="auto"/>
          <w:sz w:val="24"/>
          <w:highlight w:val="none"/>
          <w:shd w:val="clear" w:color="auto" w:fill="FFFFFF"/>
        </w:rPr>
        <w:t>份，一份鉴证人存档。</w:t>
      </w:r>
    </w:p>
    <w:p w14:paraId="12711FC6">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6、本合同自双方签字、盖章齐备之日生效。</w:t>
      </w:r>
    </w:p>
    <w:p w14:paraId="31D52A9B">
      <w:pPr>
        <w:tabs>
          <w:tab w:val="left" w:pos="3972"/>
        </w:tabs>
        <w:spacing w:line="440" w:lineRule="exact"/>
        <w:ind w:firstLine="482"/>
        <w:rPr>
          <w:rFonts w:hint="eastAsia" w:ascii="宋体" w:hAnsi="宋体" w:eastAsia="宋体" w:cs="宋体"/>
          <w:b w:val="0"/>
          <w:bCs w:val="0"/>
          <w:color w:val="auto"/>
          <w:sz w:val="24"/>
          <w:highlight w:val="none"/>
          <w:shd w:val="clear" w:color="auto" w:fill="FFFFFF"/>
        </w:rPr>
      </w:pPr>
      <w:r>
        <w:rPr>
          <w:rFonts w:hint="eastAsia" w:ascii="宋体" w:hAnsi="宋体" w:eastAsia="宋体" w:cs="宋体"/>
          <w:b w:val="0"/>
          <w:bCs w:val="0"/>
          <w:color w:val="auto"/>
          <w:sz w:val="24"/>
          <w:highlight w:val="none"/>
          <w:shd w:val="clear" w:color="auto" w:fill="FFFFFF"/>
        </w:rPr>
        <w:t>7、甲方收货后，应在具备食品存放条件场所置放货物， 以免在保质期内造成食品质量问题。</w:t>
      </w:r>
    </w:p>
    <w:tbl>
      <w:tblPr>
        <w:tblStyle w:val="4"/>
        <w:tblW w:w="4916" w:type="pct"/>
        <w:tblInd w:w="9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172"/>
        <w:gridCol w:w="4207"/>
      </w:tblGrid>
      <w:tr w14:paraId="7BFBD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489" w:type="pct"/>
            <w:noWrap/>
            <w:vAlign w:val="center"/>
          </w:tcPr>
          <w:p w14:paraId="2AF0F35C">
            <w:pPr>
              <w:tabs>
                <w:tab w:val="left" w:pos="347"/>
              </w:tabs>
              <w:autoSpaceDE w:val="0"/>
              <w:autoSpaceDN w:val="0"/>
              <w:adjustRightIn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甲  方</w:t>
            </w:r>
          </w:p>
        </w:tc>
        <w:tc>
          <w:tcPr>
            <w:tcW w:w="2510" w:type="pct"/>
            <w:noWrap/>
            <w:vAlign w:val="center"/>
          </w:tcPr>
          <w:p w14:paraId="655FF3A1">
            <w:pPr>
              <w:tabs>
                <w:tab w:val="left" w:pos="347"/>
              </w:tabs>
              <w:autoSpaceDE w:val="0"/>
              <w:autoSpaceDN w:val="0"/>
              <w:adjustRightIn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乙  方</w:t>
            </w:r>
          </w:p>
        </w:tc>
      </w:tr>
      <w:tr w14:paraId="6ED6A2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2489" w:type="pct"/>
            <w:noWrap/>
            <w:vAlign w:val="center"/>
          </w:tcPr>
          <w:p w14:paraId="0B580119">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 （公章）</w:t>
            </w:r>
          </w:p>
        </w:tc>
        <w:tc>
          <w:tcPr>
            <w:tcW w:w="2510" w:type="pct"/>
            <w:noWrap/>
            <w:vAlign w:val="center"/>
          </w:tcPr>
          <w:p w14:paraId="75921053">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（公章）</w:t>
            </w:r>
          </w:p>
        </w:tc>
      </w:tr>
      <w:tr w14:paraId="6EF3FB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2489" w:type="pct"/>
            <w:noWrap/>
            <w:vAlign w:val="center"/>
          </w:tcPr>
          <w:p w14:paraId="2670B90F">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地址：</w:t>
            </w:r>
          </w:p>
        </w:tc>
        <w:tc>
          <w:tcPr>
            <w:tcW w:w="2510" w:type="pct"/>
            <w:noWrap/>
            <w:vAlign w:val="top"/>
          </w:tcPr>
          <w:p w14:paraId="3F1A16EC">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地址：</w:t>
            </w:r>
          </w:p>
        </w:tc>
      </w:tr>
      <w:tr w14:paraId="4072B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489" w:type="pct"/>
            <w:noWrap/>
            <w:vAlign w:val="center"/>
          </w:tcPr>
          <w:p w14:paraId="65BE6AD5">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 xml:space="preserve">邮编： </w:t>
            </w:r>
          </w:p>
        </w:tc>
        <w:tc>
          <w:tcPr>
            <w:tcW w:w="2510" w:type="pct"/>
            <w:noWrap/>
            <w:vAlign w:val="center"/>
          </w:tcPr>
          <w:p w14:paraId="0BD2B541">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邮编：</w:t>
            </w:r>
          </w:p>
        </w:tc>
      </w:tr>
      <w:tr w14:paraId="2183E3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2489" w:type="pct"/>
            <w:noWrap/>
            <w:vAlign w:val="center"/>
          </w:tcPr>
          <w:p w14:paraId="7BA8EA72">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法定代表人：</w:t>
            </w:r>
          </w:p>
        </w:tc>
        <w:tc>
          <w:tcPr>
            <w:tcW w:w="2510" w:type="pct"/>
            <w:noWrap/>
            <w:vAlign w:val="center"/>
          </w:tcPr>
          <w:p w14:paraId="6C165411">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法定代表人：</w:t>
            </w:r>
          </w:p>
        </w:tc>
      </w:tr>
      <w:tr w14:paraId="5F28AB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489" w:type="pct"/>
            <w:noWrap/>
            <w:vAlign w:val="center"/>
          </w:tcPr>
          <w:p w14:paraId="3B201306">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负责人：</w:t>
            </w:r>
          </w:p>
        </w:tc>
        <w:tc>
          <w:tcPr>
            <w:tcW w:w="2510" w:type="pct"/>
            <w:noWrap/>
            <w:vAlign w:val="center"/>
          </w:tcPr>
          <w:p w14:paraId="4D538742">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负责人：</w:t>
            </w:r>
          </w:p>
        </w:tc>
      </w:tr>
      <w:tr w14:paraId="0424CA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2489" w:type="pct"/>
            <w:noWrap/>
            <w:vAlign w:val="center"/>
          </w:tcPr>
          <w:p w14:paraId="3F8B63F4">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电话：</w:t>
            </w:r>
          </w:p>
        </w:tc>
        <w:tc>
          <w:tcPr>
            <w:tcW w:w="2510" w:type="pct"/>
            <w:noWrap/>
            <w:vAlign w:val="center"/>
          </w:tcPr>
          <w:p w14:paraId="65D1769B">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电话：</w:t>
            </w:r>
          </w:p>
        </w:tc>
      </w:tr>
      <w:tr w14:paraId="4712E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89" w:type="pct"/>
            <w:noWrap/>
            <w:vAlign w:val="center"/>
          </w:tcPr>
          <w:p w14:paraId="76B92427">
            <w:pPr>
              <w:tabs>
                <w:tab w:val="left" w:pos="347"/>
              </w:tabs>
              <w:autoSpaceDE w:val="0"/>
              <w:autoSpaceDN w:val="0"/>
              <w:adjustRightInd w:val="0"/>
              <w:spacing w:line="360" w:lineRule="auto"/>
              <w:rPr>
                <w:rFonts w:hint="eastAsia" w:ascii="宋体" w:hAnsi="宋体" w:cs="宋体"/>
                <w:bCs/>
                <w:color w:val="auto"/>
                <w:sz w:val="24"/>
                <w:highlight w:val="none"/>
              </w:rPr>
            </w:pPr>
          </w:p>
        </w:tc>
        <w:tc>
          <w:tcPr>
            <w:tcW w:w="2510" w:type="pct"/>
            <w:noWrap/>
            <w:vAlign w:val="top"/>
          </w:tcPr>
          <w:p w14:paraId="030E0DE8">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开户银行：</w:t>
            </w:r>
          </w:p>
        </w:tc>
      </w:tr>
      <w:tr w14:paraId="6AC208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489" w:type="pct"/>
            <w:noWrap/>
            <w:vAlign w:val="center"/>
          </w:tcPr>
          <w:p w14:paraId="161A1A6C">
            <w:pPr>
              <w:tabs>
                <w:tab w:val="left" w:pos="347"/>
              </w:tabs>
              <w:autoSpaceDE w:val="0"/>
              <w:autoSpaceDN w:val="0"/>
              <w:adjustRightInd w:val="0"/>
              <w:spacing w:line="360" w:lineRule="auto"/>
              <w:rPr>
                <w:rFonts w:hint="eastAsia" w:ascii="宋体" w:hAnsi="宋体" w:cs="宋体"/>
                <w:bCs/>
                <w:color w:val="auto"/>
                <w:sz w:val="24"/>
                <w:highlight w:val="none"/>
              </w:rPr>
            </w:pPr>
          </w:p>
        </w:tc>
        <w:tc>
          <w:tcPr>
            <w:tcW w:w="2510" w:type="pct"/>
            <w:noWrap/>
            <w:vAlign w:val="center"/>
          </w:tcPr>
          <w:p w14:paraId="384651CE">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账号：</w:t>
            </w:r>
          </w:p>
        </w:tc>
      </w:tr>
      <w:tr w14:paraId="67540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89" w:type="pct"/>
            <w:noWrap/>
            <w:vAlign w:val="center"/>
          </w:tcPr>
          <w:p w14:paraId="4093B27D">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日期：   年   月   日</w:t>
            </w:r>
          </w:p>
        </w:tc>
        <w:tc>
          <w:tcPr>
            <w:tcW w:w="2510" w:type="pct"/>
            <w:noWrap/>
            <w:vAlign w:val="center"/>
          </w:tcPr>
          <w:p w14:paraId="247711D3">
            <w:pPr>
              <w:tabs>
                <w:tab w:val="left" w:pos="347"/>
              </w:tabs>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日期：   年   月   日</w:t>
            </w:r>
          </w:p>
        </w:tc>
      </w:tr>
    </w:tbl>
    <w:p w14:paraId="79013C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054E88"/>
    <w:rsid w:val="36CF3E6C"/>
    <w:rsid w:val="4305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4660</Words>
  <Characters>4769</Characters>
  <Lines>0</Lines>
  <Paragraphs>0</Paragraphs>
  <TotalTime>5</TotalTime>
  <ScaleCrop>false</ScaleCrop>
  <LinksUpToDate>false</LinksUpToDate>
  <CharactersWithSpaces>4945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2026-05-20T08:19:00Z</dcterms:created>
  <dc:creator>不敗的意志</dc:creator>
  <cp:lastModifiedBy>不敗的意志</cp:lastModifiedBy>
  <dcterms:modified xsi:type="dcterms:W3CDTF">2026-05-21T02:12:16Z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7965BDA284E847CEB813E1FEF93ED90A_11</vt:lpwstr>
  </property>
  <property fmtid="{D5CDD505-2E9C-101B-9397-08002B2CF9AE}" pid="4" name="KSOTemplateDocerSaveRecord">
    <vt:lpwstr>eyJoZGlkIjoiNjBjMzM4YmM1NjM1ZTdjNDA2OWNlNGU5NTU3OTNlNzAiLCJ1c2VySWQiOiI2MzYyOTEzMzIifQ==</vt:lpwstr>
  </property>
</Properties>
</file>