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991350">
      <w:pPr>
        <w:pStyle w:val="4"/>
        <w:jc w:val="center"/>
        <w:outlineLvl w:val="0"/>
        <w:rPr>
          <w:sz w:val="32"/>
          <w:szCs w:val="32"/>
        </w:rPr>
      </w:pPr>
      <w:r>
        <w:rPr>
          <w:rFonts w:ascii="仿宋_GB2312" w:hAnsi="仿宋_GB2312" w:eastAsia="仿宋_GB2312" w:cs="仿宋_GB2312"/>
          <w:b/>
          <w:sz w:val="32"/>
          <w:szCs w:val="32"/>
        </w:rPr>
        <w:t>采购需求</w:t>
      </w:r>
    </w:p>
    <w:p w14:paraId="6FBB6D8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2"/>
        <w:rPr>
          <w:sz w:val="21"/>
          <w:szCs w:val="21"/>
        </w:rPr>
      </w:pPr>
      <w:r>
        <w:rPr>
          <w:rFonts w:ascii="仿宋_GB2312" w:hAnsi="仿宋_GB2312" w:eastAsia="仿宋_GB2312" w:cs="仿宋_GB2312"/>
          <w:b/>
          <w:sz w:val="21"/>
          <w:szCs w:val="21"/>
        </w:rPr>
        <w:t>一、项目总体情况</w:t>
      </w:r>
    </w:p>
    <w:p w14:paraId="4FA6737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eastAsia="仿宋_GB2312"/>
          <w:sz w:val="21"/>
          <w:szCs w:val="21"/>
          <w:lang w:eastAsia="zh-CN"/>
        </w:rPr>
      </w:pPr>
      <w:r>
        <w:rPr>
          <w:rFonts w:ascii="仿宋_GB2312" w:hAnsi="仿宋_GB2312" w:eastAsia="仿宋_GB2312" w:cs="仿宋_GB2312"/>
          <w:sz w:val="21"/>
          <w:szCs w:val="21"/>
        </w:rPr>
        <w:t>（一）项目名称：</w:t>
      </w:r>
      <w:r>
        <w:rPr>
          <w:rFonts w:hint="eastAsia" w:ascii="仿宋_GB2312" w:hAnsi="仿宋_GB2312" w:eastAsia="仿宋_GB2312" w:cs="仿宋_GB2312"/>
          <w:sz w:val="21"/>
          <w:szCs w:val="21"/>
          <w:lang w:eastAsia="zh-CN"/>
        </w:rPr>
        <w:t>西安监狱数智机器人升级改造</w:t>
      </w:r>
    </w:p>
    <w:p w14:paraId="7587C12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（二）项目所属年度：2026年</w:t>
      </w:r>
    </w:p>
    <w:p w14:paraId="5036221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color w:val="auto"/>
          <w:sz w:val="21"/>
          <w:szCs w:val="21"/>
        </w:rPr>
      </w:pPr>
      <w:r>
        <w:rPr>
          <w:rFonts w:ascii="仿宋_GB2312" w:hAnsi="仿宋_GB2312" w:eastAsia="仿宋_GB2312" w:cs="仿宋_GB2312"/>
          <w:color w:val="auto"/>
          <w:sz w:val="21"/>
          <w:szCs w:val="21"/>
        </w:rPr>
        <w:t>（三）项目所属分类：服务</w:t>
      </w:r>
    </w:p>
    <w:p w14:paraId="4E467BE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仿宋_GB2312" w:hAnsi="仿宋_GB2312" w:eastAsia="仿宋_GB2312" w:cs="仿宋_GB2312"/>
          <w:color w:val="auto"/>
          <w:sz w:val="21"/>
          <w:szCs w:val="21"/>
        </w:rPr>
      </w:pPr>
      <w:r>
        <w:rPr>
          <w:rFonts w:ascii="仿宋_GB2312" w:hAnsi="仿宋_GB2312" w:eastAsia="仿宋_GB2312" w:cs="仿宋_GB2312"/>
          <w:color w:val="auto"/>
          <w:sz w:val="21"/>
          <w:szCs w:val="21"/>
        </w:rPr>
        <w:t>（四）预算金额（元）：</w:t>
      </w:r>
      <w:r>
        <w:rPr>
          <w:rFonts w:hint="eastAsia" w:ascii="仿宋_GB2312" w:hAnsi="仿宋_GB2312" w:eastAsia="仿宋_GB2312" w:cs="仿宋_GB2312"/>
          <w:color w:val="auto"/>
          <w:sz w:val="21"/>
          <w:szCs w:val="21"/>
          <w:lang w:val="en-US" w:eastAsia="zh-CN"/>
        </w:rPr>
        <w:t>496</w:t>
      </w:r>
      <w:r>
        <w:rPr>
          <w:rFonts w:hint="eastAsia" w:ascii="仿宋_GB2312" w:hAnsi="仿宋_GB2312" w:eastAsia="仿宋_GB2312" w:cs="仿宋_GB2312"/>
          <w:color w:val="auto"/>
          <w:sz w:val="21"/>
          <w:szCs w:val="21"/>
          <w:lang w:eastAsia="zh-CN"/>
        </w:rPr>
        <w:t>,00</w:t>
      </w:r>
      <w:r>
        <w:rPr>
          <w:rFonts w:hint="eastAsia" w:ascii="仿宋_GB2312" w:hAnsi="仿宋_GB2312" w:eastAsia="仿宋_GB2312" w:cs="仿宋_GB2312"/>
          <w:color w:val="auto"/>
          <w:sz w:val="21"/>
          <w:szCs w:val="21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sz w:val="21"/>
          <w:szCs w:val="21"/>
          <w:lang w:eastAsia="zh-CN"/>
        </w:rPr>
        <w:t>.00</w:t>
      </w:r>
      <w:r>
        <w:rPr>
          <w:rFonts w:ascii="仿宋_GB2312" w:hAnsi="仿宋_GB2312" w:eastAsia="仿宋_GB2312" w:cs="仿宋_GB2312"/>
          <w:color w:val="auto"/>
          <w:sz w:val="21"/>
          <w:szCs w:val="21"/>
        </w:rPr>
        <w:t>元，大写（人民币）：</w:t>
      </w:r>
      <w:r>
        <w:rPr>
          <w:rFonts w:hint="eastAsia" w:ascii="仿宋_GB2312" w:hAnsi="仿宋_GB2312" w:eastAsia="仿宋_GB2312" w:cs="仿宋_GB2312"/>
          <w:color w:val="auto"/>
          <w:sz w:val="21"/>
          <w:szCs w:val="21"/>
          <w:lang w:val="en-US" w:eastAsia="zh-CN"/>
        </w:rPr>
        <w:t>肆拾玖万陆仟零壹元整</w:t>
      </w:r>
    </w:p>
    <w:p w14:paraId="6228195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仿宋_GB2312" w:hAnsi="仿宋_GB2312" w:eastAsia="仿宋_GB2312" w:cs="仿宋_GB2312"/>
          <w:color w:val="auto"/>
          <w:sz w:val="21"/>
          <w:szCs w:val="21"/>
          <w:lang w:eastAsia="zh-CN"/>
        </w:rPr>
      </w:pPr>
      <w:r>
        <w:rPr>
          <w:rFonts w:ascii="仿宋_GB2312" w:hAnsi="仿宋_GB2312" w:eastAsia="仿宋_GB2312" w:cs="仿宋_GB2312"/>
          <w:color w:val="auto"/>
          <w:sz w:val="21"/>
          <w:szCs w:val="21"/>
        </w:rPr>
        <w:t>（五）项目概况：</w:t>
      </w:r>
      <w:r>
        <w:rPr>
          <w:rFonts w:hint="eastAsia" w:ascii="仿宋_GB2312" w:hAnsi="仿宋_GB2312" w:eastAsia="仿宋_GB2312" w:cs="仿宋_GB2312"/>
          <w:color w:val="auto"/>
          <w:sz w:val="21"/>
          <w:szCs w:val="21"/>
        </w:rPr>
        <w:t>我单位采购数智机器人升级改造所需软硬件一批，用于在现有巡逻机器人基础上，进行研发测试和实战化部署。</w:t>
      </w:r>
    </w:p>
    <w:p w14:paraId="708684A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（六）本项目是否有为采购项目提供整体设计、规范编制或者项目管理、监理、检测等服务的供应商：否</w:t>
      </w:r>
    </w:p>
    <w:p w14:paraId="4DA7F24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2"/>
        <w:rPr>
          <w:sz w:val="21"/>
          <w:szCs w:val="21"/>
        </w:rPr>
      </w:pPr>
      <w:r>
        <w:rPr>
          <w:rFonts w:ascii="仿宋_GB2312" w:hAnsi="仿宋_GB2312" w:eastAsia="仿宋_GB2312" w:cs="仿宋_GB2312"/>
          <w:b/>
          <w:sz w:val="21"/>
          <w:szCs w:val="21"/>
        </w:rPr>
        <w:t>二、项目需求调查情况</w:t>
      </w:r>
    </w:p>
    <w:p w14:paraId="51F6642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仿宋_GB2312" w:hAnsi="仿宋_GB2312" w:eastAsia="仿宋_GB2312" w:cs="仿宋_GB2312"/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依据《政府采购需求管理办法》的规定，本项目不需要需求调查，具体情况如下：</w:t>
      </w:r>
    </w:p>
    <w:p w14:paraId="241FB7D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仿宋_GB2312" w:hAnsi="仿宋_GB2312" w:eastAsia="仿宋_GB2312" w:cs="仿宋_GB2312"/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（一）需求调查方式</w:t>
      </w:r>
    </w:p>
    <w:p w14:paraId="028889A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仿宋_GB2312" w:hAnsi="仿宋_GB2312" w:eastAsia="仿宋_GB2312" w:cs="仿宋_GB2312"/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（二）需求调查对象</w:t>
      </w:r>
    </w:p>
    <w:p w14:paraId="72D2FB9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仿宋_GB2312" w:hAnsi="仿宋_GB2312" w:eastAsia="仿宋_GB2312" w:cs="仿宋_GB2312"/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（三）需求调查结果</w:t>
      </w:r>
    </w:p>
    <w:p w14:paraId="10247C4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仿宋_GB2312" w:hAnsi="仿宋_GB2312" w:eastAsia="仿宋_GB2312" w:cs="仿宋_GB2312"/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1.相关产业发展情况</w:t>
      </w:r>
    </w:p>
    <w:p w14:paraId="47F7C41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仿宋_GB2312" w:hAnsi="仿宋_GB2312" w:eastAsia="仿宋_GB2312" w:cs="仿宋_GB2312"/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2.市场供给情况</w:t>
      </w:r>
    </w:p>
    <w:p w14:paraId="21FE2F6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仿宋_GB2312" w:hAnsi="仿宋_GB2312" w:eastAsia="仿宋_GB2312" w:cs="仿宋_GB2312"/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3.同类采购项目历史成交信息情况</w:t>
      </w:r>
    </w:p>
    <w:p w14:paraId="0339181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仿宋_GB2312" w:hAnsi="仿宋_GB2312" w:eastAsia="仿宋_GB2312" w:cs="仿宋_GB2312"/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4.可能涉及的运行维护、升级更新、备品备件、耗材等后续采购情况</w:t>
      </w:r>
    </w:p>
    <w:p w14:paraId="4621EE7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仿宋_GB2312" w:hAnsi="仿宋_GB2312" w:eastAsia="仿宋_GB2312" w:cs="仿宋_GB2312"/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5.其他相关情况</w:t>
      </w:r>
    </w:p>
    <w:p w14:paraId="052D34C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2"/>
        <w:rPr>
          <w:rFonts w:ascii="仿宋_GB2312" w:hAnsi="仿宋_GB2312" w:eastAsia="仿宋_GB2312" w:cs="仿宋_GB2312"/>
          <w:b/>
          <w:sz w:val="21"/>
          <w:szCs w:val="21"/>
        </w:rPr>
      </w:pPr>
      <w:r>
        <w:rPr>
          <w:rFonts w:ascii="仿宋_GB2312" w:hAnsi="仿宋_GB2312" w:eastAsia="仿宋_GB2312" w:cs="仿宋_GB2312"/>
          <w:b/>
          <w:sz w:val="21"/>
          <w:szCs w:val="21"/>
        </w:rPr>
        <w:t>三、项目采购实施计划</w:t>
      </w:r>
    </w:p>
    <w:p w14:paraId="5F6B666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（一）采购组织形式：部门集中采购</w:t>
      </w:r>
    </w:p>
    <w:p w14:paraId="0376BE2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（二）采购方式：竞争性磋商</w:t>
      </w:r>
    </w:p>
    <w:p w14:paraId="708A33C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（三）本项目是否单位自行组织采购：否</w:t>
      </w:r>
    </w:p>
    <w:p w14:paraId="714289C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（四）采购包划分：分包采购</w:t>
      </w:r>
    </w:p>
    <w:p w14:paraId="7101350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（五）执行政府采购促进中小企业发展的相关政策</w:t>
      </w:r>
    </w:p>
    <w:p w14:paraId="0093F4B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color w:val="auto"/>
          <w:sz w:val="21"/>
          <w:szCs w:val="21"/>
        </w:rPr>
      </w:pPr>
      <w:r>
        <w:rPr>
          <w:rFonts w:ascii="仿宋_GB2312" w:hAnsi="仿宋_GB2312" w:eastAsia="仿宋_GB2312" w:cs="仿宋_GB2312"/>
          <w:color w:val="auto"/>
          <w:sz w:val="21"/>
          <w:szCs w:val="21"/>
        </w:rPr>
        <w:t>1.</w:t>
      </w:r>
      <w:r>
        <w:rPr>
          <w:rFonts w:hint="eastAsia" w:ascii="仿宋_GB2312" w:hAnsi="仿宋_GB2312" w:eastAsia="仿宋_GB2312" w:cs="仿宋_GB2312"/>
          <w:color w:val="auto"/>
          <w:sz w:val="21"/>
          <w:szCs w:val="21"/>
          <w:lang w:val="en-US" w:eastAsia="zh-CN"/>
        </w:rPr>
        <w:t>非</w:t>
      </w:r>
      <w:r>
        <w:rPr>
          <w:rFonts w:ascii="仿宋_GB2312" w:hAnsi="仿宋_GB2312" w:eastAsia="仿宋_GB2312" w:cs="仿宋_GB2312"/>
          <w:color w:val="auto"/>
          <w:sz w:val="21"/>
          <w:szCs w:val="21"/>
        </w:rPr>
        <w:t>专门面向中小企业采购</w:t>
      </w:r>
    </w:p>
    <w:p w14:paraId="6750258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i/>
          <w:sz w:val="21"/>
          <w:szCs w:val="21"/>
        </w:rPr>
        <w:t>注：监狱企业和残疾人福利单位视同小微企业。</w:t>
      </w:r>
    </w:p>
    <w:p w14:paraId="69E4589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（六）是否采购环境标识产品：否</w:t>
      </w:r>
    </w:p>
    <w:p w14:paraId="7483C6F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（七）是否采购节能产品：否</w:t>
      </w:r>
    </w:p>
    <w:p w14:paraId="43FDADD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（八）项目的采购标的是否包含进口产品：否</w:t>
      </w:r>
    </w:p>
    <w:p w14:paraId="4F50E63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eastAsia="仿宋_GB2312"/>
          <w:sz w:val="21"/>
          <w:szCs w:val="21"/>
          <w:lang w:eastAsia="zh-CN"/>
        </w:rPr>
      </w:pPr>
      <w:r>
        <w:rPr>
          <w:rFonts w:ascii="仿宋_GB2312" w:hAnsi="仿宋_GB2312" w:eastAsia="仿宋_GB2312" w:cs="仿宋_GB2312"/>
          <w:sz w:val="21"/>
          <w:szCs w:val="21"/>
        </w:rPr>
        <w:t>（九）采购标的是否属于政府购买服务：</w:t>
      </w:r>
      <w:r>
        <w:rPr>
          <w:rFonts w:hint="eastAsia" w:ascii="仿宋_GB2312" w:hAnsi="仿宋_GB2312" w:eastAsia="仿宋_GB2312" w:cs="仿宋_GB2312"/>
          <w:sz w:val="21"/>
          <w:szCs w:val="21"/>
          <w:lang w:eastAsia="zh-CN"/>
        </w:rPr>
        <w:t>是</w:t>
      </w:r>
    </w:p>
    <w:p w14:paraId="132E775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（十）是否属于政务信息系统项目：否</w:t>
      </w:r>
    </w:p>
    <w:p w14:paraId="6256A1C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（十一）是否属于高校、科研院所的科研仪器设备采购：否</w:t>
      </w:r>
    </w:p>
    <w:p w14:paraId="511E601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（十二）是否属于一签多年项目：否</w:t>
      </w:r>
    </w:p>
    <w:p w14:paraId="2FB1AD8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b/>
          <w:sz w:val="21"/>
          <w:szCs w:val="21"/>
        </w:rPr>
        <w:t>四、项目需求</w:t>
      </w:r>
    </w:p>
    <w:tbl>
      <w:tblPr>
        <w:tblStyle w:val="2"/>
        <w:tblW w:w="5000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1BAE05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top"/>
          </w:tcPr>
          <w:p w14:paraId="216FF5C3">
            <w:pPr>
              <w:pStyle w:val="4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技术参数与性能指标</w:t>
            </w:r>
          </w:p>
        </w:tc>
      </w:tr>
      <w:tr w14:paraId="70D7FE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center"/>
          </w:tcPr>
          <w:tbl>
            <w:tblPr>
              <w:tblStyle w:val="2"/>
              <w:tblW w:w="8522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02"/>
              <w:gridCol w:w="1320"/>
              <w:gridCol w:w="5615"/>
              <w:gridCol w:w="885"/>
            </w:tblGrid>
            <w:tr w14:paraId="4907372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58" w:hRule="atLeast"/>
                <w:tblHeader/>
                <w:jc w:val="center"/>
              </w:trPr>
              <w:tc>
                <w:tcPr>
                  <w:tcW w:w="702" w:type="dxa"/>
                  <w:noWrap w:val="0"/>
                  <w:vAlign w:val="center"/>
                </w:tcPr>
                <w:p w14:paraId="7FA4F57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jc w:val="center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bCs/>
                      <w:sz w:val="21"/>
                      <w:szCs w:val="21"/>
                    </w:rPr>
                  </w:pPr>
                  <w:bookmarkStart w:id="0" w:name="_Toc5419"/>
                  <w:bookmarkStart w:id="1" w:name="_Toc9691"/>
                  <w:bookmarkStart w:id="2" w:name="_Toc29620"/>
                  <w:bookmarkStart w:id="3" w:name="_Toc28001"/>
                  <w:bookmarkStart w:id="4" w:name="_Toc1936"/>
                  <w:bookmarkStart w:id="5" w:name="_Toc4782"/>
                  <w:bookmarkStart w:id="6" w:name="_Toc10829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bCs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1320" w:type="dxa"/>
                  <w:noWrap w:val="0"/>
                  <w:vAlign w:val="center"/>
                </w:tcPr>
                <w:p w14:paraId="38C3919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jc w:val="center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bCs/>
                      <w:sz w:val="21"/>
                      <w:szCs w:val="21"/>
                    </w:rPr>
                    <w:t>名称</w:t>
                  </w:r>
                </w:p>
              </w:tc>
              <w:tc>
                <w:tcPr>
                  <w:tcW w:w="5615" w:type="dxa"/>
                  <w:noWrap w:val="0"/>
                  <w:vAlign w:val="center"/>
                </w:tcPr>
                <w:p w14:paraId="7839DD2D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jc w:val="center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bCs/>
                      <w:sz w:val="21"/>
                      <w:szCs w:val="21"/>
                    </w:rPr>
                    <w:t>功能要求及技术参数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 w14:paraId="70440538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jc w:val="center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bCs/>
                      <w:sz w:val="21"/>
                      <w:szCs w:val="21"/>
                    </w:rPr>
                    <w:t>数量</w:t>
                  </w:r>
                </w:p>
              </w:tc>
            </w:tr>
            <w:tr w14:paraId="698090B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  <w:jc w:val="center"/>
              </w:trPr>
              <w:tc>
                <w:tcPr>
                  <w:tcW w:w="8522" w:type="dxa"/>
                  <w:gridSpan w:val="4"/>
                  <w:noWrap w:val="0"/>
                  <w:vAlign w:val="center"/>
                </w:tcPr>
                <w:p w14:paraId="5C18B6F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jc w:val="center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bookmarkStart w:id="7" w:name="_Hlk229297309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  <w:lang w:val="en-US" w:eastAsia="zh-CN"/>
                    </w:rPr>
                    <w:t>一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  <w:lang w:eastAsia="zh-CN"/>
                    </w:rPr>
                    <w:t>）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软件</w:t>
                  </w:r>
                </w:p>
              </w:tc>
            </w:tr>
            <w:bookmarkEnd w:id="7"/>
            <w:tr w14:paraId="1D9E59E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2" w:type="dxa"/>
                  <w:noWrap w:val="0"/>
                  <w:vAlign w:val="center"/>
                </w:tcPr>
                <w:p w14:paraId="5ACA8AE8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1320" w:type="dxa"/>
                  <w:noWrap w:val="0"/>
                  <w:vAlign w:val="center"/>
                </w:tcPr>
                <w:p w14:paraId="0F8F236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身份识别</w:t>
                  </w:r>
                </w:p>
              </w:tc>
              <w:tc>
                <w:tcPr>
                  <w:tcW w:w="5615" w:type="dxa"/>
                  <w:noWrap w:val="0"/>
                  <w:vAlign w:val="center"/>
                </w:tcPr>
                <w:p w14:paraId="705797B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ind w:leftChars="0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bookmarkStart w:id="8" w:name="OLE_LINK44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  <w:lang w:val="en-US" w:eastAsia="zh-CN"/>
                    </w:rPr>
                    <w:t>1、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核心要求</w:t>
                  </w:r>
                </w:p>
                <w:p w14:paraId="2C85441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bCs/>
                      <w:sz w:val="21"/>
                      <w:szCs w:val="21"/>
                    </w:rPr>
                    <w:t>★软件知识产权归业主，免费提供模型及源代码；</w:t>
                  </w:r>
                </w:p>
                <w:p w14:paraId="39A8592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bCs/>
                      <w:sz w:val="21"/>
                      <w:szCs w:val="21"/>
                    </w:rPr>
                    <w:t>★软件可在边缘计算设备上进行非嵌入式部署；</w:t>
                  </w:r>
                </w:p>
                <w:p w14:paraId="0D8C4FA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bookmarkStart w:id="9" w:name="OLE_LINK4"/>
                  <w:bookmarkStart w:id="10" w:name="OLE_LINK6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2、基本要求</w:t>
                  </w:r>
                  <w:bookmarkEnd w:id="9"/>
                  <w:bookmarkEnd w:id="10"/>
                </w:p>
                <w:p w14:paraId="380C12AA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在原设备基础上，通过新增2套摄像机、1 套满足本地AI推理要求的边缘计算设备及相关辅助设备和材料，形成独立于原有设备的体系，</w:t>
                  </w:r>
                  <w:bookmarkStart w:id="11" w:name="OLE_LINK87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应用大模型将AI识别、边缘计算、机电控制进行融合，实现全天候、低延迟、高可靠的智能监管与预警</w:t>
                  </w:r>
                  <w:bookmarkEnd w:id="11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；</w:t>
                  </w:r>
                  <w:bookmarkStart w:id="12" w:name="OLE_LINK62"/>
                  <w:bookmarkStart w:id="13" w:name="OLE_LINK42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轻量化部署，自动挖掘低置信度难例，支持后期增量训练及热更新；需完全离线依托边缘计算设备进行推理，可实时进行检测与分类，具备多目标跟踪判断身份、运动状态与轨迹的能力，检测模式可自动随机切换。输出管理者、被管理者、第三方的判定结果并依据需求触发报警等联动机制。</w:t>
                  </w:r>
                </w:p>
                <w:bookmarkEnd w:id="12"/>
                <w:bookmarkEnd w:id="13"/>
                <w:p w14:paraId="4FDE95A3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3、功能要求</w:t>
                  </w:r>
                </w:p>
                <w:p w14:paraId="2E652E4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bookmarkStart w:id="14" w:name="OLE_LINK91"/>
                  <w:bookmarkStart w:id="15" w:name="OLE_LINK63"/>
                  <w:bookmarkStart w:id="16" w:name="OLE_LINK64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满足在室内、室外、白天、夜间等多场景、多气象条件下，</w:t>
                  </w:r>
                  <w:bookmarkEnd w:id="14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实现在运动状态条件下图像采集、识别及处置的全部需求。</w:t>
                  </w:r>
                  <w:bookmarkEnd w:id="15"/>
                  <w:bookmarkEnd w:id="16"/>
                </w:p>
                <w:p w14:paraId="54884EB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4、</w:t>
                  </w:r>
                  <w:bookmarkStart w:id="17" w:name="OLE_LINK90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识别要求</w:t>
                  </w:r>
                  <w:bookmarkEnd w:id="17"/>
                </w:p>
                <w:p w14:paraId="654462D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bookmarkStart w:id="18" w:name="OLE_LINK1"/>
                  <w:bookmarkStart w:id="19" w:name="OLE_LINK9"/>
                  <w:bookmarkStart w:id="20" w:name="OLE_LINK56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实现运动状态、完全离线</w:t>
                  </w:r>
                  <w:bookmarkEnd w:id="18"/>
                  <w:bookmarkEnd w:id="19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条件下，对管理者、被管理者、第三方人员的区分与识别，并做出相应的响应；</w:t>
                  </w:r>
                  <w:bookmarkEnd w:id="20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可实现对指定区域人员的识别与区分，并做出响应；可实现对指定区域人员人脸的比对识别，并做出相应的响应；</w:t>
                  </w:r>
                  <w:bookmarkStart w:id="21" w:name="OLE_LINK17"/>
                  <w:bookmarkStart w:id="22" w:name="OLE_LINK16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可实现</w:t>
                  </w:r>
                  <w:bookmarkStart w:id="23" w:name="OLE_LINK85"/>
                  <w:bookmarkStart w:id="24" w:name="OLE_LINK84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对吸烟行为及火源进行区分识别与响应。</w:t>
                  </w:r>
                  <w:bookmarkEnd w:id="21"/>
                  <w:bookmarkEnd w:id="22"/>
                  <w:bookmarkEnd w:id="23"/>
                  <w:bookmarkEnd w:id="24"/>
                </w:p>
                <w:p w14:paraId="20AF55A4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可对图像输出的人员边界框、业务类别、服装分类阈值、人形检测阈值及当前光照级别等参数进行设置与调整。</w:t>
                  </w:r>
                </w:p>
                <w:p w14:paraId="78703A7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在人员主体高度不低于画面高度20%、身体可见面积不低于70%、单人遮挡比例不高于30%的条件下，白天人形检出率不低于80%，夜间/低照度（画面平均亮度不低于15）人形检出率不低于65%。在上述成像条件下，管理者、被管理者、第三方/未知三类业务结果的宏平均准确率白天不低于60%，夜间/低照度不低于50%；其中管理者召回率白天不低于60%，夜间/低照度不低于50%；相同人员在同一连续视频中的重复帧只按1个事件统计，同一画面中的人员检测结果不设置固定数量上限；不同摄像机分别维护帧计数、上一帧分类结果、报警防抖状态和重复报警抑制状态，并使用统一报警规则。</w:t>
                  </w:r>
                </w:p>
                <w:p w14:paraId="3653D09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基于指定的相关室内外区域，可以选择并设置相应的识别规则与报警处置联动机制；相同摄像机、相同报警类型默认启动重复抑制机制，重复抑制机制的抑制时间可调。</w:t>
                  </w:r>
                </w:p>
                <w:p w14:paraId="7252DC7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5、报警触发要求</w:t>
                  </w:r>
                </w:p>
                <w:p w14:paraId="4300F0E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可基于管理者、被管理者身份及相应的的场景，依据管理的要求触发报警；可基于白天及夜间等不同时间段及相应的管理要求触发报警；可对吸烟行为进行警告，可对火源进行识别并报警。</w:t>
                  </w:r>
                </w:p>
                <w:p w14:paraId="6D6FC9B3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6、报警推送与消警</w:t>
                  </w:r>
                </w:p>
                <w:p w14:paraId="7E9BF4D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报警信息推送需辅以报警触发现场图片≥3帧，需对接甲方现有平台，实现报警信息、消警信息的推送与接收；</w:t>
                  </w:r>
                  <w:bookmarkStart w:id="25" w:name="OLE_LINK37"/>
                  <w:bookmarkStart w:id="26" w:name="OLE_LINK36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信息需包含报警标识、类型、级别、时间及摄像机名称、摄像机编号、位置等信息</w:t>
                  </w:r>
                  <w:bookmarkEnd w:id="25"/>
                  <w:bookmarkEnd w:id="26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并可进行本地报警历史查询。</w:t>
                  </w:r>
                </w:p>
                <w:p w14:paraId="5F88EBD4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7、报警与控制系统要求</w:t>
                  </w:r>
                </w:p>
                <w:p w14:paraId="36A1177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bookmarkStart w:id="27" w:name="OLE_LINK38"/>
                  <w:bookmarkStart w:id="28" w:name="OLE_LINK39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 xml:space="preserve">检测到高风险隐患，依据预设规则触发联动，可实现现场与指挥中心的全双工通话（喊话）、启动软件调控的强光爆闪装置、启动软件调控的警笛（含语音警告），并随消警指令关闭，消警后处置结果写入运行日志。 </w:t>
                  </w:r>
                </w:p>
                <w:bookmarkEnd w:id="27"/>
                <w:bookmarkEnd w:id="28"/>
                <w:p w14:paraId="294835D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8、运行维护与安全</w:t>
                  </w:r>
                </w:p>
                <w:p w14:paraId="704D64F4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报警记录使用本地数据库，支持按时间、摄像机和报警级别查询，服务重启后记录应保留；系统管理接口支持多方式访问鉴权、请求完整性校验和请求有效期校验，无权限、校验失败或超出有效期的请求应被拒绝，未配置安全认证信息时应给出安全告警；提供摄像机连接状态、实际采样帧率、丢帧数、推理平均时延和报警统计查询功能；主服务界面可以显示运行状态、启动时间、摄像机模块状态、推理统计、报警统计、联动状态和待消警数量</w:t>
                  </w:r>
                  <w:bookmarkEnd w:id="8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。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 w14:paraId="2FC7982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1项</w:t>
                  </w:r>
                </w:p>
              </w:tc>
            </w:tr>
            <w:tr w14:paraId="4730B21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2" w:type="dxa"/>
                  <w:noWrap w:val="0"/>
                  <w:vAlign w:val="center"/>
                </w:tcPr>
                <w:p w14:paraId="650FA24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1320" w:type="dxa"/>
                  <w:noWrap w:val="0"/>
                  <w:vAlign w:val="center"/>
                </w:tcPr>
                <w:p w14:paraId="7529B3B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bookmarkStart w:id="29" w:name="OLE_LINK57"/>
                  <w:bookmarkStart w:id="30" w:name="OLE_LINK48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语音唤醒</w:t>
                  </w:r>
                  <w:bookmarkEnd w:id="29"/>
                  <w:bookmarkEnd w:id="30"/>
                </w:p>
              </w:tc>
              <w:tc>
                <w:tcPr>
                  <w:tcW w:w="5615" w:type="dxa"/>
                  <w:noWrap w:val="0"/>
                  <w:vAlign w:val="center"/>
                </w:tcPr>
                <w:p w14:paraId="5510E01A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bookmarkStart w:id="31" w:name="OLE_LINK70"/>
                  <w:bookmarkStart w:id="32" w:name="OLE_LINK71"/>
                  <w:bookmarkStart w:id="33" w:name="OLE_LINK72"/>
                  <w:bookmarkStart w:id="34" w:name="OLE_LINK73"/>
                  <w:bookmarkStart w:id="35" w:name="OLE_LINK5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1、智能识别检测</w:t>
                  </w:r>
                </w:p>
                <w:bookmarkEnd w:id="31"/>
                <w:bookmarkEnd w:id="32"/>
                <w:p w14:paraId="37A238F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bookmarkStart w:id="36" w:name="OLE_LINK77"/>
                  <w:bookmarkStart w:id="37" w:name="OLE_LINK25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应用多模态感知技术，可准确识别周边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FF0000"/>
                      <w:sz w:val="21"/>
                      <w:szCs w:val="21"/>
                      <w:lang w:eastAsia="zh-CN"/>
                    </w:rPr>
                    <w:t>≥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5米以上范围内的授权操控人员，确认是授权操控人员时，语音唤醒功能开启。</w:t>
                  </w:r>
                  <w:bookmarkEnd w:id="33"/>
                  <w:bookmarkEnd w:id="34"/>
                  <w:bookmarkStart w:id="38" w:name="OLE_LINK74"/>
                  <w:bookmarkStart w:id="39" w:name="OLE_LINK75"/>
                </w:p>
                <w:bookmarkEnd w:id="36"/>
                <w:bookmarkEnd w:id="37"/>
                <w:p w14:paraId="66B9863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ind w:leftChars="0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  <w:lang w:val="en-US" w:eastAsia="zh-CN"/>
                    </w:rPr>
                    <w:t>2、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语音感知</w:t>
                  </w:r>
                </w:p>
                <w:p w14:paraId="4B83E39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000000"/>
                      <w:sz w:val="21"/>
                      <w:szCs w:val="21"/>
                    </w:rPr>
                    <w:t>语音识别距离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FF0000"/>
                      <w:sz w:val="21"/>
                      <w:szCs w:val="21"/>
                      <w:lang w:eastAsia="zh-CN"/>
                    </w:rPr>
                    <w:t>≥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000000"/>
                      <w:sz w:val="21"/>
                      <w:szCs w:val="21"/>
                    </w:rPr>
                    <w:t>5米以上，水平360°全向拾音。</w:t>
                  </w:r>
                </w:p>
                <w:bookmarkEnd w:id="38"/>
                <w:bookmarkEnd w:id="39"/>
                <w:p w14:paraId="2E6589ED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bookmarkStart w:id="40" w:name="OLE_LINK76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3、</w:t>
                  </w:r>
                  <w:bookmarkEnd w:id="35"/>
                  <w:bookmarkEnd w:id="40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语音唤醒功能</w:t>
                  </w:r>
                </w:p>
                <w:p w14:paraId="472F7F93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响应时间：≤1秒，误唤醒率：&lt;1次/24小时，唤醒词条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FF0000"/>
                      <w:sz w:val="21"/>
                      <w:szCs w:val="21"/>
                      <w:lang w:eastAsia="zh-CN"/>
                    </w:rPr>
                    <w:t>≥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10组，词条内容可依据需求更改，支持后期唤醒词条数量可扩容至100组；需满足唤醒后的语音应答功能及相关状态的控制能力。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 w14:paraId="666A5C84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1项</w:t>
                  </w:r>
                </w:p>
              </w:tc>
            </w:tr>
            <w:tr w14:paraId="76A9051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2" w:type="dxa"/>
                  <w:noWrap w:val="0"/>
                  <w:vAlign w:val="center"/>
                </w:tcPr>
                <w:p w14:paraId="58EB8A6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1320" w:type="dxa"/>
                  <w:noWrap w:val="0"/>
                  <w:vAlign w:val="center"/>
                </w:tcPr>
                <w:p w14:paraId="4A66430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bookmarkStart w:id="41" w:name="OLE_LINK58"/>
                  <w:bookmarkStart w:id="42" w:name="OLE_LINK49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语音播报</w:t>
                  </w:r>
                  <w:bookmarkEnd w:id="41"/>
                  <w:bookmarkEnd w:id="42"/>
                </w:p>
              </w:tc>
              <w:tc>
                <w:tcPr>
                  <w:tcW w:w="5615" w:type="dxa"/>
                  <w:noWrap w:val="0"/>
                  <w:vAlign w:val="center"/>
                </w:tcPr>
                <w:p w14:paraId="2D25B0C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bookmarkStart w:id="43" w:name="OLE_LINK68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1、</w:t>
                  </w:r>
                  <w:bookmarkStart w:id="44" w:name="OLE_LINK79"/>
                  <w:bookmarkStart w:id="45" w:name="OLE_LINK78"/>
                  <w:bookmarkStart w:id="46" w:name="OLE_LINK50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定点讲解功能</w:t>
                  </w:r>
                  <w:bookmarkEnd w:id="44"/>
                  <w:bookmarkEnd w:id="45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 xml:space="preserve"> </w:t>
                  </w:r>
                </w:p>
                <w:p w14:paraId="7AD5D81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支持自定义设置多于3条不同参观讲解路线，多于15个以上的讲解点位识别能力，定位精度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FF0000"/>
                      <w:sz w:val="21"/>
                      <w:szCs w:val="21"/>
                      <w:lang w:eastAsia="zh-CN"/>
                    </w:rPr>
                    <w:t>≤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1米；在规划的讲解路线中，可依据场景位置自动触发语音讲解并播放相应的讲解内容，讲解内容20组。</w:t>
                  </w:r>
                  <w:bookmarkEnd w:id="43"/>
                  <w:bookmarkStart w:id="47" w:name="OLE_LINK69"/>
                </w:p>
                <w:p w14:paraId="06526423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2、语音视频播放功能</w:t>
                  </w:r>
                </w:p>
                <w:p w14:paraId="0927D16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满足对MP3、WAV、WMA、FLAC、APE 、MP4、AVI、WMV等格式音视频文件的播放，具备TTS功能，同时需满足语音唤醒词条的应答及报警信息的播报，有源扬声器≥60W。</w:t>
                  </w:r>
                </w:p>
                <w:bookmarkEnd w:id="47"/>
                <w:p w14:paraId="6B61CB3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bookmarkStart w:id="48" w:name="OLE_LINK8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3、管理功能</w:t>
                  </w:r>
                </w:p>
                <w:p w14:paraId="1CC7263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支持自动识别本地及U盘播放文件，支持通过配套的键鼠一体外接设备，对讲解词、参观路线、问答知识库、音视频资料的便捷编辑，支持自定义讲解内容，支持音频和文本文件与对应播放地点、应答内容的管理功能，自动识别本地及U盘播放文件，语速调节：0.5倍-2.0倍，音调调节：±20%。</w:t>
                  </w:r>
                  <w:bookmarkEnd w:id="46"/>
                  <w:bookmarkEnd w:id="48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，支持顺序播放、循环播放、暂停、重复、跳点讲解等操作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 w14:paraId="4C11630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1项</w:t>
                  </w:r>
                </w:p>
              </w:tc>
            </w:tr>
            <w:tr w14:paraId="0355EC9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2" w:type="dxa"/>
                  <w:noWrap w:val="0"/>
                  <w:vAlign w:val="center"/>
                </w:tcPr>
                <w:p w14:paraId="5A23DC9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1320" w:type="dxa"/>
                  <w:noWrap w:val="0"/>
                  <w:vAlign w:val="center"/>
                </w:tcPr>
                <w:p w14:paraId="6719BF5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bookmarkStart w:id="49" w:name="OLE_LINK51"/>
                  <w:bookmarkStart w:id="50" w:name="OLE_LINK59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人员伴随</w:t>
                  </w:r>
                  <w:bookmarkEnd w:id="49"/>
                  <w:bookmarkEnd w:id="50"/>
                </w:p>
              </w:tc>
              <w:tc>
                <w:tcPr>
                  <w:tcW w:w="5615" w:type="dxa"/>
                  <w:noWrap w:val="0"/>
                  <w:vAlign w:val="center"/>
                </w:tcPr>
                <w:p w14:paraId="3593CD4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bookmarkStart w:id="51" w:name="OLE_LINK65"/>
                  <w:bookmarkStart w:id="52" w:name="OLE_LINK52"/>
                  <w:bookmarkStart w:id="53" w:name="OLE_LINK23"/>
                  <w:bookmarkStart w:id="54" w:name="OLE_LINK24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1、智能识别功能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 xml:space="preserve"> </w:t>
                  </w:r>
                </w:p>
                <w:p w14:paraId="56F0DF1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应用多模态感知技术，可准确识别周边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FF0000"/>
                      <w:sz w:val="21"/>
                      <w:szCs w:val="21"/>
                      <w:lang w:eastAsia="zh-CN"/>
                    </w:rPr>
                    <w:t>≥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5米以上范围内需要伴随的人员，确认是授权需伴随人员后，伴随功能开启。在光线不佳、有遮挡、地形复杂等环境下，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  <w:lang w:eastAsia="zh-CN"/>
                    </w:rPr>
                    <w:t>须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具备在短暂丢失目标后迅速重新锁定目标的能力。</w:t>
                  </w:r>
                </w:p>
                <w:bookmarkEnd w:id="51"/>
                <w:p w14:paraId="133FDE5D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bookmarkStart w:id="55" w:name="OLE_LINK66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2、人员伴随</w:t>
                  </w:r>
                </w:p>
                <w:p w14:paraId="2D7769F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伴随距离：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0000FF"/>
                      <w:sz w:val="21"/>
                      <w:szCs w:val="21"/>
                      <w:lang w:eastAsia="zh-CN"/>
                    </w:rPr>
                    <w:t>≥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2米，在执行规划路线的伴随过程中，可以进行定点讲解，需要临时变更讲解路线，可通过语音指令，自动切换为随机伴随模式。</w:t>
                  </w:r>
                </w:p>
                <w:bookmarkEnd w:id="55"/>
                <w:p w14:paraId="0A85562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bookmarkStart w:id="56" w:name="OLE_LINK67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3、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ab/>
                  </w:r>
                  <w:bookmarkStart w:id="57" w:name="OLE_LINK103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伴随及执行</w:t>
                  </w:r>
                  <w:bookmarkEnd w:id="57"/>
                </w:p>
                <w:p w14:paraId="28DA95D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可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  <w:lang w:eastAsia="zh-CN"/>
                    </w:rPr>
                    <w:t>接收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并执行语音指令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FF0000"/>
                      <w:sz w:val="21"/>
                      <w:szCs w:val="21"/>
                      <w:lang w:eastAsia="zh-CN"/>
                    </w:rPr>
                    <w:t>≥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10条，可依据本地知识库回答简单提问，响应时间：≤150ms</w:t>
                  </w:r>
                  <w:bookmarkEnd w:id="52"/>
                  <w:bookmarkEnd w:id="53"/>
                  <w:bookmarkEnd w:id="54"/>
                  <w:bookmarkEnd w:id="56"/>
                </w:p>
              </w:tc>
              <w:tc>
                <w:tcPr>
                  <w:tcW w:w="885" w:type="dxa"/>
                  <w:noWrap w:val="0"/>
                  <w:vAlign w:val="center"/>
                </w:tcPr>
                <w:p w14:paraId="46F2B53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1项</w:t>
                  </w:r>
                </w:p>
              </w:tc>
            </w:tr>
            <w:tr w14:paraId="006D860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2" w:type="dxa"/>
                  <w:noWrap w:val="0"/>
                  <w:vAlign w:val="center"/>
                </w:tcPr>
                <w:p w14:paraId="226403B4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5</w:t>
                  </w:r>
                </w:p>
              </w:tc>
              <w:tc>
                <w:tcPr>
                  <w:tcW w:w="1320" w:type="dxa"/>
                  <w:noWrap w:val="0"/>
                  <w:vAlign w:val="center"/>
                </w:tcPr>
                <w:p w14:paraId="7525C8E3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bookmarkStart w:id="58" w:name="OLE_LINK53"/>
                  <w:bookmarkStart w:id="59" w:name="OLE_LINK60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送餐引导</w:t>
                  </w:r>
                  <w:bookmarkEnd w:id="58"/>
                  <w:bookmarkEnd w:id="59"/>
                </w:p>
              </w:tc>
              <w:tc>
                <w:tcPr>
                  <w:tcW w:w="5615" w:type="dxa"/>
                  <w:noWrap w:val="0"/>
                  <w:vAlign w:val="center"/>
                </w:tcPr>
                <w:p w14:paraId="3C5FEDF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bookmarkStart w:id="60" w:name="OLE_LINK54"/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1、跟随功能</w:t>
                  </w:r>
                </w:p>
                <w:p w14:paraId="46B84AF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实现在巡逻机器人的引领下，</w:t>
                  </w:r>
                  <w:bookmarkStart w:id="61" w:name="OLE_LINK18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完成相关区域的送餐与餐具回收的无人化转运。</w:t>
                  </w:r>
                  <w:bookmarkEnd w:id="61"/>
                </w:p>
                <w:p w14:paraId="0E29E92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2、转运功能</w:t>
                  </w:r>
                </w:p>
                <w:p w14:paraId="330BCBB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bookmarkStart w:id="62" w:name="OLE_LINK61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可实现对多台套设备的跟随引导及组队跟随引导</w:t>
                  </w:r>
                  <w:bookmarkEnd w:id="62"/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，具备语音、物理按键共存的使用功能；每次引导任务，可同时完成≥800人份的餐食与餐具的转运需求，具备除下雪、路面结冰、大雨等极端天气外，完成送餐与餐具回收转运工作的能力。</w:t>
                  </w:r>
                </w:p>
                <w:p w14:paraId="2C6C2EC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3、系统与安全</w:t>
                  </w:r>
                </w:p>
                <w:p w14:paraId="5F4B608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具备智能引导、故障诊断功能，具备遮阳、遮雨及夜间照明设施。防护等级：≥IP65，工作环境温度-20℃-60℃。</w:t>
                  </w:r>
                  <w:bookmarkEnd w:id="60"/>
                </w:p>
                <w:p w14:paraId="0912689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4、拓展功能</w:t>
                  </w:r>
                </w:p>
                <w:p w14:paraId="7849265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通过模块化结构设计，可以跟随巡逻机器人，进行必要的其它物料运输。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 w14:paraId="0587A74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sz w:val="21"/>
                      <w:szCs w:val="21"/>
                    </w:rPr>
                    <w:t>1套</w:t>
                  </w:r>
                </w:p>
              </w:tc>
            </w:tr>
            <w:tr w14:paraId="1CA8F30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  <w:jc w:val="center"/>
              </w:trPr>
              <w:tc>
                <w:tcPr>
                  <w:tcW w:w="8522" w:type="dxa"/>
                  <w:gridSpan w:val="4"/>
                  <w:noWrap w:val="0"/>
                  <w:vAlign w:val="center"/>
                </w:tcPr>
                <w:p w14:paraId="482BE698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jc w:val="center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  <w:lang w:val="en-US" w:eastAsia="zh-CN"/>
                    </w:rPr>
                    <w:t>二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  <w:lang w:eastAsia="zh-CN"/>
                    </w:rPr>
                    <w:t>）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sz w:val="21"/>
                      <w:szCs w:val="21"/>
                    </w:rPr>
                    <w:t>硬件</w:t>
                  </w:r>
                </w:p>
              </w:tc>
            </w:tr>
            <w:tr w14:paraId="14105A3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2" w:type="dxa"/>
                  <w:noWrap w:val="0"/>
                  <w:vAlign w:val="center"/>
                </w:tcPr>
                <w:p w14:paraId="19B144D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jc w:val="center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1320" w:type="dxa"/>
                  <w:noWrap w:val="0"/>
                  <w:vAlign w:val="center"/>
                </w:tcPr>
                <w:p w14:paraId="60311F2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color w:val="auto"/>
                      <w:sz w:val="21"/>
                      <w:szCs w:val="21"/>
                    </w:rPr>
                    <w:t>边缘计算或其它设备</w:t>
                  </w:r>
                </w:p>
              </w:tc>
              <w:tc>
                <w:tcPr>
                  <w:tcW w:w="5615" w:type="dxa"/>
                  <w:noWrap w:val="0"/>
                  <w:vAlign w:val="center"/>
                </w:tcPr>
                <w:p w14:paraId="035DF41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▲AI算力：≥100 TOPS INT8（或提供同等算力方案，允许通过多卡/多模组集群方式实现）；</w:t>
                  </w:r>
                </w:p>
                <w:p w14:paraId="4BBF8E3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▲内存配置：标配≥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  <w:lang w:val="en-US" w:eastAsia="zh-CN"/>
                    </w:rPr>
                    <w:t>32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GB，支持扩展至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  <w:lang w:val="en-US" w:eastAsia="zh-CN"/>
                    </w:rPr>
                    <w:t>64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GB及以上（或预留内存升级空间）；</w:t>
                  </w:r>
                </w:p>
                <w:p w14:paraId="7B8CA5F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扩展能力：支持PCIe扩展（兼容x4/x8通道）或具备M.2/USB 3.0等高速扩展接口，用于接入附加算力卡。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 w14:paraId="70E0B183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一套</w:t>
                  </w:r>
                </w:p>
              </w:tc>
            </w:tr>
            <w:tr w14:paraId="5D55F10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2" w:type="dxa"/>
                  <w:noWrap w:val="0"/>
                  <w:vAlign w:val="center"/>
                </w:tcPr>
                <w:p w14:paraId="1958D4D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jc w:val="center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1320" w:type="dxa"/>
                  <w:noWrap w:val="0"/>
                  <w:vAlign w:val="center"/>
                </w:tcPr>
                <w:p w14:paraId="34D2C77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color w:val="auto"/>
                      <w:sz w:val="21"/>
                      <w:szCs w:val="21"/>
                    </w:rPr>
                    <w:t>摄像机</w:t>
                  </w:r>
                </w:p>
              </w:tc>
              <w:tc>
                <w:tcPr>
                  <w:tcW w:w="5615" w:type="dxa"/>
                  <w:noWrap w:val="0"/>
                  <w:vAlign w:val="center"/>
                </w:tcPr>
                <w:p w14:paraId="0C17D813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color w:val="auto"/>
                      <w:sz w:val="21"/>
                      <w:szCs w:val="21"/>
                    </w:rPr>
                    <w:t xml:space="preserve">主要参数： </w:t>
                  </w:r>
                </w:p>
                <w:p w14:paraId="7E177B7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▲像素≥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  <w:lang w:val="en-US" w:eastAsia="zh-CN"/>
                    </w:rPr>
                    <w:t>4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00万；</w:t>
                  </w:r>
                </w:p>
                <w:p w14:paraId="6191AF3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支持电动变焦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  <w:lang w:val="en-US" w:eastAsia="zh-CN"/>
                    </w:rPr>
                    <w:t>功能;</w:t>
                  </w:r>
                </w:p>
                <w:p w14:paraId="16E2A6F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▲动态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  <w:lang w:val="en-US" w:eastAsia="zh-CN"/>
                    </w:rPr>
                    <w:t>范围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≥1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  <w:lang w:val="en-US" w:eastAsia="zh-CN"/>
                    </w:rPr>
                    <w:t>0</w:t>
                  </w: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0dB。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 w14:paraId="2805689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2台</w:t>
                  </w:r>
                </w:p>
              </w:tc>
            </w:tr>
            <w:tr w14:paraId="3DCD044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2" w:type="dxa"/>
                  <w:noWrap w:val="0"/>
                  <w:vAlign w:val="center"/>
                </w:tcPr>
                <w:p w14:paraId="55CC420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jc w:val="center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bookmarkStart w:id="63" w:name="_Hlk229919103"/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1320" w:type="dxa"/>
                  <w:noWrap w:val="0"/>
                  <w:vAlign w:val="center"/>
                </w:tcPr>
                <w:p w14:paraId="655754CD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b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b/>
                      <w:color w:val="auto"/>
                      <w:sz w:val="21"/>
                      <w:szCs w:val="21"/>
                    </w:rPr>
                    <w:t>硬盘</w:t>
                  </w:r>
                </w:p>
              </w:tc>
              <w:tc>
                <w:tcPr>
                  <w:tcW w:w="5615" w:type="dxa"/>
                  <w:noWrap w:val="0"/>
                  <w:vAlign w:val="center"/>
                </w:tcPr>
                <w:p w14:paraId="35CF73B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▲硬盘容量：≥2000GB</w:t>
                  </w:r>
                </w:p>
                <w:p w14:paraId="3967FBA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 xml:space="preserve">硬盘尺寸：3.5英寸 </w:t>
                  </w:r>
                </w:p>
                <w:p w14:paraId="4C40D21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 xml:space="preserve">▲缓存：≥32MB </w:t>
                  </w:r>
                </w:p>
                <w:p w14:paraId="3D842F0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 xml:space="preserve">▲转速：≥7200rpm </w:t>
                  </w:r>
                </w:p>
                <w:p w14:paraId="0ECD2FA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 xml:space="preserve">接口类型：SATA3.0以上 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 w14:paraId="1C396118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</w:pPr>
                  <w:r>
                    <w:rPr>
                      <w:rFonts w:hint="eastAsia" w:ascii="方正仿宋_GB18030" w:hAnsi="方正仿宋_GB18030" w:eastAsia="方正仿宋_GB18030" w:cs="方正仿宋_GB18030"/>
                      <w:color w:val="auto"/>
                      <w:sz w:val="21"/>
                      <w:szCs w:val="21"/>
                    </w:rPr>
                    <w:t>1块</w:t>
                  </w:r>
                </w:p>
              </w:tc>
            </w:t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63"/>
          </w:tbl>
          <w:p w14:paraId="1E33BF4E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20" w:firstLineChars="200"/>
              <w:jc w:val="left"/>
              <w:textAlignment w:val="auto"/>
              <w:rPr>
                <w:sz w:val="21"/>
                <w:szCs w:val="21"/>
              </w:rPr>
            </w:pPr>
          </w:p>
        </w:tc>
      </w:tr>
    </w:tbl>
    <w:p w14:paraId="5B4BDB30">
      <w:pPr>
        <w:pStyle w:val="4"/>
        <w:rPr>
          <w:rFonts w:hint="eastAsia"/>
          <w:sz w:val="21"/>
          <w:szCs w:val="21"/>
          <w:lang w:val="en-US" w:eastAsia="zh-Hans"/>
        </w:rPr>
      </w:pPr>
      <w:bookmarkStart w:id="64" w:name="_GoBack"/>
      <w:bookmarkEnd w:id="6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5DF6C8A6-9BA2-4B12-A126-506693A1B095}"/>
  </w:font>
  <w:font w:name="方正仿宋_GB18030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66E349EF-8057-48A6-8EDA-1D3B267A28B0}"/>
  </w:font>
  <w:font w:name="WPSEMBED2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7577FFE"/>
    <w:rsid w:val="08253634"/>
    <w:rsid w:val="0EC84449"/>
    <w:rsid w:val="16691AFB"/>
    <w:rsid w:val="177F50ED"/>
    <w:rsid w:val="19C3016D"/>
    <w:rsid w:val="19C841FB"/>
    <w:rsid w:val="1BF025D7"/>
    <w:rsid w:val="1E1F4A34"/>
    <w:rsid w:val="20737F2B"/>
    <w:rsid w:val="22627F65"/>
    <w:rsid w:val="24787FC4"/>
    <w:rsid w:val="25DF27B9"/>
    <w:rsid w:val="2C9F197B"/>
    <w:rsid w:val="2D1728EF"/>
    <w:rsid w:val="2D93612D"/>
    <w:rsid w:val="2DD61AEF"/>
    <w:rsid w:val="315F16D9"/>
    <w:rsid w:val="37C02775"/>
    <w:rsid w:val="3E410AE4"/>
    <w:rsid w:val="41C77552"/>
    <w:rsid w:val="53B52B8D"/>
    <w:rsid w:val="5AFA4D7A"/>
    <w:rsid w:val="631303F2"/>
    <w:rsid w:val="6432791E"/>
    <w:rsid w:val="69BA6F6D"/>
    <w:rsid w:val="77F79321"/>
    <w:rsid w:val="7C5533D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5">
    <w:name w:val="font51"/>
    <w:basedOn w:val="3"/>
    <w:qFormat/>
    <w:uiPriority w:val="0"/>
    <w:rPr>
      <w:rFonts w:hint="default" w:ascii="仿宋_GB2312" w:eastAsia="仿宋_GB2312" w:cs="仿宋_GB2312"/>
      <w:color w:val="0000FF"/>
      <w:sz w:val="18"/>
      <w:szCs w:val="18"/>
      <w:u w:val="none"/>
    </w:rPr>
  </w:style>
  <w:style w:type="character" w:customStyle="1" w:styleId="6">
    <w:name w:val="font41"/>
    <w:basedOn w:val="3"/>
    <w:qFormat/>
    <w:uiPriority w:val="0"/>
    <w:rPr>
      <w:rFonts w:hint="default" w:ascii="仿宋_GB2312" w:eastAsia="仿宋_GB2312" w:cs="仿宋_GB2312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3495</Words>
  <Characters>3684</Characters>
  <Lines>0</Lines>
  <Paragraphs>0</Paragraphs>
  <TotalTime>161</TotalTime>
  <ScaleCrop>false</ScaleCrop>
  <LinksUpToDate>false</LinksUpToDate>
  <CharactersWithSpaces>3698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不敗的意志</cp:lastModifiedBy>
  <dcterms:modified xsi:type="dcterms:W3CDTF">2026-08-20T07:04:25Z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eyJoZGlkIjoiNjBjMzM4YmM1NjM1ZTdjNDA2OWNlNGU5NTU3OTNlNzAiLCJ1c2VySWQiOiI2MzYyOTEzMzIifQ==</vt:lpwstr>
  </property>
  <property fmtid="{D5CDD505-2E9C-101B-9397-08002B2CF9AE}" pid="4" name="ICV">
    <vt:lpwstr>4071765EB5284A46BA21265894D11F0A</vt:lpwstr>
  </property>
</Properties>
</file>