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版本号：SXDY-2026-30820260817001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亭子村基础设施提升改造项目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SXDY-2026-308</w:t>
      </w:r>
      <w:r>
        <w:br/>
      </w:r>
      <w:r>
        <w:br/>
      </w:r>
      <w:r>
        <w:br/>
      </w:r>
    </w:p>
    <w:p>
      <w:pPr>
        <w:pStyle w:val="null3"/>
        <w:jc w:val="center"/>
        <w:outlineLvl w:val="2"/>
      </w:pPr>
      <w:r>
        <w:rPr>
          <w:rFonts w:ascii="仿宋_GB2312" w:hAnsi="仿宋_GB2312" w:cs="仿宋_GB2312" w:eastAsia="仿宋_GB2312"/>
          <w:sz w:val="28"/>
          <w:b/>
        </w:rPr>
        <w:t>华阴市岳庙街道办事处</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华阴市岳庙街道办事处</w:t>
      </w:r>
      <w:r>
        <w:rPr>
          <w:rFonts w:ascii="仿宋_GB2312" w:hAnsi="仿宋_GB2312" w:cs="仿宋_GB2312" w:eastAsia="仿宋_GB2312"/>
        </w:rPr>
        <w:t>委托，拟对</w:t>
      </w:r>
      <w:r>
        <w:rPr>
          <w:rFonts w:ascii="仿宋_GB2312" w:hAnsi="仿宋_GB2312" w:cs="仿宋_GB2312" w:eastAsia="仿宋_GB2312"/>
        </w:rPr>
        <w:t>亭子村基础设施提升改造项目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SXDY-2026-308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亭子村基础设施提升改造项目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主要建设内容为土建工 程、给排水工程、路灯安装等，包括建筑工程及安装工程，具体内容详见工程量清单。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采购包1（亭子村基础设施提升改造项目）：属于专门面向中小企业采购。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法定代表人身份证明或法定代表人授权委托书：供应商应授权合法的人员参加采购全过程，法定代表人直接参加的须提交其身份证原件及法定代表人证明书，法定代表人授权代表参加采购的，须出具法定代表人授权书及被授权人身份证；</w:t>
      </w:r>
    </w:p>
    <w:p>
      <w:pPr>
        <w:pStyle w:val="null3"/>
      </w:pPr>
      <w:r>
        <w:rPr>
          <w:rFonts w:ascii="仿宋_GB2312" w:hAnsi="仿宋_GB2312" w:cs="仿宋_GB2312" w:eastAsia="仿宋_GB2312"/>
        </w:rPr>
        <w:t>3、财务状况报告：提供2025年度经审计的财务报告或开标前六个月内其基本账户银行出具的资信证明或财政部门认可的政府采购专业担保机构出具的担保函；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4、履行合同所必需的设备和专业技术能力：提供具有履行合同所必需的设备和专业技术能力的承诺</w:t>
      </w:r>
    </w:p>
    <w:p>
      <w:pPr>
        <w:pStyle w:val="null3"/>
      </w:pPr>
      <w:r>
        <w:rPr>
          <w:rFonts w:ascii="仿宋_GB2312" w:hAnsi="仿宋_GB2312" w:cs="仿宋_GB2312" w:eastAsia="仿宋_GB2312"/>
        </w:rPr>
        <w:t>5、社会保障资金缴纳证明：提供供应商近一年任意一个月的社会保障资金缴存单据或社保机构开具的社会保险参保缴费情况证明；依法不需要缴纳社会保障资金的应提供相关文件证明；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6、税收缴纳证明：提供供应商近一年已缴纳任意一个月完税凭证或税务机关开具的完税证明（任意税种）；依法免税的应提供相关文件证明；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誉要求：供应商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p>
      <w:pPr>
        <w:pStyle w:val="null3"/>
      </w:pPr>
      <w:r>
        <w:rPr>
          <w:rFonts w:ascii="仿宋_GB2312" w:hAnsi="仿宋_GB2312" w:cs="仿宋_GB2312" w:eastAsia="仿宋_GB2312"/>
        </w:rPr>
        <w:t>8、无重大违法记录声明：供应商须出具参加采购活动前三年内，在经营活动中没有重大违法记录声明原件；</w:t>
      </w:r>
    </w:p>
    <w:p>
      <w:pPr>
        <w:pStyle w:val="null3"/>
      </w:pPr>
      <w:r>
        <w:rPr>
          <w:rFonts w:ascii="仿宋_GB2312" w:hAnsi="仿宋_GB2312" w:cs="仿宋_GB2312" w:eastAsia="仿宋_GB2312"/>
        </w:rPr>
        <w:t>9、企业资质：须具备市政公用工程施工总承包二级（含二级）以上资质，建设行政主管部门颁发的有效的安全生产许可证；</w:t>
      </w:r>
    </w:p>
    <w:p>
      <w:pPr>
        <w:pStyle w:val="null3"/>
      </w:pPr>
      <w:r>
        <w:rPr>
          <w:rFonts w:ascii="仿宋_GB2312" w:hAnsi="仿宋_GB2312" w:cs="仿宋_GB2312" w:eastAsia="仿宋_GB2312"/>
        </w:rPr>
        <w:t>10、项目经理：拟派项目经理须为本单位注册人员，持有市政公用工程二级（含二级）以上注册建造师证书，具有行政主管部门颁发的安全生产考核合格证，且无在建项目（提供无在建项目承诺书）。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华阴市岳庙街道办事处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陕西省渭南市华阴市岳庙东街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牛华云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13891469923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西安市雁塔区西三爻村长丰园小区I区1幢C单元11层1110室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武紫艺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17609244531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何涛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采购包1：2,781,126.62元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代理服务费收费标准：参照国家计委关于《招标代理服务收费管理暂行办法》（计价格[2002]1980号）及国家发展改革委《关于进一步放开建设项目专业服务价格的通知》（发改价格[2015]299号）文件计取。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华阴市岳庙街道办事处</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华阴市岳庙街道办事处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华阴市岳庙街道办事处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依据招标文件、合同、图纸及国家现行工程规范，工程质量达到合格。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联系人：武紫艺</w:t>
      </w:r>
    </w:p>
    <w:p>
      <w:pPr>
        <w:pStyle w:val="null3"/>
      </w:pPr>
      <w:r>
        <w:rPr>
          <w:rFonts w:ascii="仿宋_GB2312" w:hAnsi="仿宋_GB2312" w:cs="仿宋_GB2312" w:eastAsia="仿宋_GB2312"/>
        </w:rPr>
        <w:t>联系电话：17609244531</w:t>
      </w:r>
    </w:p>
    <w:p>
      <w:pPr>
        <w:pStyle w:val="null3"/>
      </w:pPr>
      <w:r>
        <w:rPr>
          <w:rFonts w:ascii="仿宋_GB2312" w:hAnsi="仿宋_GB2312" w:cs="仿宋_GB2312" w:eastAsia="仿宋_GB2312"/>
        </w:rPr>
        <w:t>地址：西安市雁塔区西三爻村长丰园小区I区1幢C单元11层1110室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2,781,126.62</w:t>
      </w:r>
    </w:p>
    <w:p>
      <w:pPr>
        <w:pStyle w:val="null3"/>
      </w:pPr>
      <w:r>
        <w:rPr>
          <w:rFonts w:ascii="仿宋_GB2312" w:hAnsi="仿宋_GB2312" w:cs="仿宋_GB2312" w:eastAsia="仿宋_GB2312"/>
        </w:rPr>
        <w:t>采购包最高限价（元）: 2,781,126.62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亭子村基础设施提升改造项目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2,781,126.62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标的名称：亭子村基础设施提升改造项目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一、项目概况</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1）项目名称：亭子村基础设施提升改造项目</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2）工程内容：主要建设内容为土建工 程、给排水工程、路灯安装等，包括建筑工程及安装工程。</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3）工期：自合同签订之日起150日历天。</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4）工程地点：华阴市岳庙办亭子村。</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5）质量要求：符合国家现行有关施工质量验收规范要求“合格”标准。</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 xml:space="preserve">6）质保期： </w:t>
            </w:r>
            <w:r>
              <w:rPr>
                <w:rFonts w:ascii="仿宋_GB2312" w:hAnsi="仿宋_GB2312" w:cs="仿宋_GB2312" w:eastAsia="仿宋_GB2312"/>
                <w:sz w:val="28"/>
              </w:rPr>
              <w:t>自竣工验收合格之日起</w:t>
            </w:r>
            <w:r>
              <w:rPr>
                <w:rFonts w:ascii="仿宋_GB2312" w:hAnsi="仿宋_GB2312" w:cs="仿宋_GB2312" w:eastAsia="仿宋_GB2312"/>
                <w:sz w:val="28"/>
              </w:rPr>
              <w:t>一</w:t>
            </w:r>
            <w:r>
              <w:rPr>
                <w:rFonts w:ascii="仿宋_GB2312" w:hAnsi="仿宋_GB2312" w:cs="仿宋_GB2312" w:eastAsia="仿宋_GB2312"/>
                <w:sz w:val="28"/>
              </w:rPr>
              <w:t>年</w:t>
            </w:r>
          </w:p>
          <w:p>
            <w:pPr>
              <w:pStyle w:val="null3"/>
              <w:jc w:val="both"/>
            </w:pPr>
            <w:r>
              <w:rPr>
                <w:rFonts w:ascii="仿宋_GB2312" w:hAnsi="仿宋_GB2312" w:cs="仿宋_GB2312" w:eastAsia="仿宋_GB2312"/>
                <w:sz w:val="28"/>
                <w:b/>
              </w:rPr>
              <w:t>二、编制依据</w:t>
            </w:r>
          </w:p>
          <w:p>
            <w:pPr>
              <w:pStyle w:val="null3"/>
              <w:jc w:val="both"/>
            </w:pPr>
            <w:r>
              <w:rPr>
                <w:rFonts w:ascii="仿宋_GB2312" w:hAnsi="仿宋_GB2312" w:cs="仿宋_GB2312" w:eastAsia="仿宋_GB2312"/>
                <w:sz w:val="28"/>
              </w:rPr>
              <w:t>1、陕西省建设工程费用规则(2025)、陕西省房屋建筑与装饰工程基价表(2025)、陕西省房屋建筑与装饰工程消耗量定额(2025)、陕西省园林绿化工程基价表(2025)、陕西省园林绿化工程消耗量定额(2025)、陕西省通用安装工程基价表(2025)、陕西省通用安装工程消耗量定额(2025)、陕西省建设工程施工机械台班费用定额(2025)、陕西省建设工程施工仪器仪表台班费用定额(2025)及其相关配套费用定额及相配套的参考费率；</w:t>
            </w:r>
          </w:p>
          <w:p>
            <w:pPr>
              <w:pStyle w:val="null3"/>
              <w:jc w:val="both"/>
            </w:pPr>
            <w:r>
              <w:rPr>
                <w:rFonts w:ascii="仿宋_GB2312" w:hAnsi="仿宋_GB2312" w:cs="仿宋_GB2312" w:eastAsia="仿宋_GB2312"/>
                <w:sz w:val="28"/>
              </w:rPr>
              <w:t>2、现行相关的专业工程施工质量验收规范、标准、规定，以及正常的施工方法、施工工艺等；</w:t>
            </w:r>
          </w:p>
          <w:p>
            <w:pPr>
              <w:pStyle w:val="null3"/>
              <w:jc w:val="both"/>
            </w:pPr>
            <w:r>
              <w:rPr>
                <w:rFonts w:ascii="仿宋_GB2312" w:hAnsi="仿宋_GB2312" w:cs="仿宋_GB2312" w:eastAsia="仿宋_GB2312"/>
                <w:sz w:val="28"/>
              </w:rPr>
              <w:t>3、陕建发〔2020〕1097号文件，《关于建筑施工安全生产责任保险费用计价的通知》；</w:t>
            </w:r>
          </w:p>
          <w:p>
            <w:pPr>
              <w:pStyle w:val="null3"/>
              <w:jc w:val="both"/>
            </w:pPr>
            <w:r>
              <w:rPr>
                <w:rFonts w:ascii="仿宋_GB2312" w:hAnsi="仿宋_GB2312" w:cs="仿宋_GB2312" w:eastAsia="仿宋_GB2312"/>
                <w:sz w:val="28"/>
              </w:rPr>
              <w:t>4、陕建发〔2021〕1021号文件《关于全省统一停止收缴建筑业劳保费用的通知》；</w:t>
            </w:r>
          </w:p>
          <w:p>
            <w:pPr>
              <w:pStyle w:val="null3"/>
              <w:jc w:val="both"/>
            </w:pPr>
            <w:r>
              <w:rPr>
                <w:rFonts w:ascii="仿宋_GB2312" w:hAnsi="仿宋_GB2312" w:cs="仿宋_GB2312" w:eastAsia="仿宋_GB2312"/>
                <w:sz w:val="28"/>
              </w:rPr>
              <w:t>5、材料价主要依据渭南信息价(2026年第二期)、陕西专业测定价(2026年5月)并结合现行市场价；</w:t>
            </w:r>
          </w:p>
          <w:p>
            <w:pPr>
              <w:pStyle w:val="null3"/>
              <w:jc w:val="both"/>
            </w:pPr>
            <w:r>
              <w:rPr>
                <w:rFonts w:ascii="仿宋_GB2312" w:hAnsi="仿宋_GB2312" w:cs="仿宋_GB2312" w:eastAsia="仿宋_GB2312"/>
                <w:sz w:val="28"/>
              </w:rPr>
              <w:t>6、其他相关资料。</w:t>
            </w:r>
          </w:p>
          <w:p>
            <w:pPr>
              <w:pStyle w:val="null3"/>
              <w:ind w:right="-30"/>
              <w:jc w:val="both"/>
            </w:pPr>
            <w:r>
              <w:rPr>
                <w:rFonts w:ascii="仿宋_GB2312" w:hAnsi="仿宋_GB2312" w:cs="仿宋_GB2312" w:eastAsia="仿宋_GB2312"/>
                <w:sz w:val="28"/>
                <w:b/>
              </w:rPr>
              <w:t>三</w:t>
            </w:r>
            <w:r>
              <w:rPr>
                <w:rFonts w:ascii="仿宋_GB2312" w:hAnsi="仿宋_GB2312" w:cs="仿宋_GB2312" w:eastAsia="仿宋_GB2312"/>
                <w:sz w:val="28"/>
                <w:b/>
              </w:rPr>
              <w:t>、其他说明</w:t>
            </w:r>
          </w:p>
          <w:p>
            <w:pPr>
              <w:pStyle w:val="null3"/>
              <w:jc w:val="both"/>
            </w:pPr>
            <w:r>
              <w:rPr>
                <w:rFonts w:ascii="仿宋_GB2312" w:hAnsi="仿宋_GB2312" w:cs="仿宋_GB2312" w:eastAsia="仿宋_GB2312"/>
                <w:sz w:val="28"/>
              </w:rPr>
              <w:t>1、本工程造价为含劳保统筹含税造价；</w:t>
            </w:r>
          </w:p>
          <w:p>
            <w:pPr>
              <w:pStyle w:val="null3"/>
              <w:jc w:val="both"/>
            </w:pPr>
            <w:r>
              <w:rPr>
                <w:rFonts w:ascii="仿宋_GB2312" w:hAnsi="仿宋_GB2312" w:cs="仿宋_GB2312" w:eastAsia="仿宋_GB2312"/>
                <w:sz w:val="28"/>
              </w:rPr>
              <w:t>2、计价软件及取费程序执行广联达云计价平台GCCP7.0中的清单计价模式。</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2.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须具备市政公用工程施工总承包二级（含二级）以上资质，建设行政主管部门颁发的有效的安全生产许可证；</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拟派项目经理须为本单位注册人员，持有市政公用工程二级（含二级）以上注册建造师证书，具有行政主管部门颁发的安全生产考核合格证，且无在建项目（提供无在建项目承诺书）。</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只能有一个有效报价，不得提交选择性报价，且报价总价不超出最高限价。</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响应文件的签字、盖章符合采购文件要求。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满足采购文件中要求的工期</w:t>
            </w:r>
          </w:p>
        </w:tc>
        <w:tc>
          <w:tcPr>
            <w:tcW w:type="dxa" w:w="1661"/>
          </w:tcPr>
          <w:p>
            <w:pPr>
              <w:pStyle w:val="null3"/>
            </w:pPr>
            <w:r>
              <w:rPr>
                <w:rFonts w:ascii="仿宋_GB2312" w:hAnsi="仿宋_GB2312" w:cs="仿宋_GB2312" w:eastAsia="仿宋_GB2312"/>
              </w:rPr>
              <w:t>技术服务合同条款及其他商务要求应答表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满足采购文件的其他内容并符合国家相关法律法规的规定。</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二、评审标准 1、完整性：方案必须全面，对评审内容中的各项要求有详细描述； 2、可实施性：切合本项目实际情况，提出步骤清晰、合理的方案；3、针对性：方案能够紧扣项目实际情况，内容科学合理。三、赋分标准：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1、完整性：方案必须全面，对评审内容中的各项要求有详细描述；2、可实施性：切合本项目实际情况，提出步骤清晰、合理的方案； 3、针对性：方案能够紧扣项目实际情况，内容科学合理。 三、赋分标准：技术方案各部分内容全面详细、阐述条理清晰详尽、符合本项目采购需求得9分，每缺一项内容扣3分，评审内容有瑕疵的根据情况扣分，扣完为止。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供应商针对本项目编制完善的质量保证措施，内容包含：①质量目标管理体系②施工质量的检验制度③确保质量的技术组织措施④施工质量控制措施。二、评审标准 1、完整性：方案必须全面，对评审内容中的各项要求有详细描述； 2、可实施性：切合本项目实际情况，提出步骤清晰、合理的方案； 3、针对性：方案能够紧扣项目实际情况，内容科学合理。 三、赋分标准 保证措施各部分内容全面详细、阐述条理清晰详尽、符合本项目采购需求得8分，每缺一项内容扣2分，评审内容有瑕疵的根据情况扣分，扣完为止。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供应商针对本项目编制完整的安全文明施工措施，内容包含：①安全文明生产管理制度②安全文明施工措施③安全应急预案④安全生产教育。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3、针对性：方案能够紧扣项目实际情况，内容科学合理。三、赋分标准 各项措施各部分内容全面详细、阐述条理清晰详尽、符合本项目采购需求得8分，每缺一项内容扣2分，评审内容有瑕疵的根据情况扣分，扣完为止。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供应商针对本项目编制完善的施工进度计划，内容包含：①施工进度计划横道图②进度计划保证措施③工期保证措施。二、评审标准 1、完整性：方案必须全面，对评审内容中的各项要求有详细描述； 2、可实施性：切合本项目实际情况，提出步骤清晰、合理的方案； 3、针对性：方案能够紧扣项目实际情况，内容科学合理。 三、赋分标准 各部分内容全面详细、阐述条理清晰详尽、符合本项目采购需求得6分，每缺一项内容扣2分，评审内容有瑕疵的根据情况扣分，扣完为止。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1、完整性：方案必须全面，对评审内容中的各项要求有详细描述；2、可实施性：切合本项目实际情况，提出步骤清晰、合理的方案； 3、针对性：方案能够紧扣项目实际情况，内容科学合理。 三、赋分标准 各部分内容全面详细、阐述条理清晰详尽、符合本项目采购需求得5分，每缺一项内容扣2.5分，评审内容有瑕疵的根据情况扣分，扣完为止。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 各部分内容全面详细、阐述条理清晰详尽、符合本项目采购需求得8分，每缺一项内容扣4分，评审内容有瑕疵的根据情况扣分，扣完为止。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一、评审内容 根据供应商的服务能力、服务体系 、服务范围以及故障解决方案、响应时间、应急处理方案、售后方案以及工程保修承诺书等。二、评审标准 1、完整性：内容必须全面，对评审内容中的各项要求有详细描述； 2、可实施性：切合本项目实际情况，提出步骤清晰、合理的方案； 3、针对性：方案能够紧扣项目实际情况，内容科学合理。三、赋分标准 各部分内容全面详细、阐述条理清晰详尽、符合本项目采购需求得2分，评审内容有瑕疵的根据情况扣分，扣完为止。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 2021年8月至今（以合同签订日期为准）具有类似项目业绩的，每有 1 项计1 分，最多得5分；未提供不计分。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满足采购文件要求且最终报价最低的供应商的价格为评标基准价，其价格得分为满分。其他供应商的价格得分统一按照下列公式计算： 评标报价得分=（评标基准价/最终评标报价）*价格分值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