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版本号：RH采字【20260606】号20260811002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绿波带和特勤系统集成服务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RH采字【20260606】号</w:t>
      </w:r>
      <w:r>
        <w:br/>
      </w:r>
      <w:r>
        <w:br/>
      </w:r>
      <w:r>
        <w:br/>
      </w:r>
    </w:p>
    <w:p>
      <w:pPr>
        <w:pStyle w:val="null3"/>
        <w:jc w:val="center"/>
        <w:outlineLvl w:val="2"/>
      </w:pPr>
      <w:r>
        <w:rPr>
          <w:rFonts w:ascii="仿宋_GB2312" w:hAnsi="仿宋_GB2312" w:cs="仿宋_GB2312" w:eastAsia="仿宋_GB2312"/>
          <w:sz w:val="28"/>
          <w:b/>
        </w:rPr>
        <w:t>蒲城县公安局交通管理大队</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蒲城县公安局交通管理大队</w:t>
      </w:r>
      <w:r>
        <w:rPr>
          <w:rFonts w:ascii="仿宋_GB2312" w:hAnsi="仿宋_GB2312" w:cs="仿宋_GB2312" w:eastAsia="仿宋_GB2312"/>
        </w:rPr>
        <w:t>委托，拟对</w:t>
      </w:r>
      <w:r>
        <w:rPr>
          <w:rFonts w:ascii="仿宋_GB2312" w:hAnsi="仿宋_GB2312" w:cs="仿宋_GB2312" w:eastAsia="仿宋_GB2312"/>
        </w:rPr>
        <w:t>绿波带和特勤系统集成服务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RH采字【20260606】号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绿波带和特勤系统集成服务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交通综合管控应用平台升级服务、绿波带及特勤管理硬件环境集成服务，具体内容详见招标文件。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其他组织或自然人，提供合法有效的统一社会信用代码营业执照（事业单位提供事业单位法人证书，自然人提供身份证明，分公司提供总公司合法有效授权）；供应商需在项目电子化交易系统中按要求上传相应证明文件并进行电子签章；</w:t>
      </w:r>
    </w:p>
    <w:p>
      <w:pPr>
        <w:pStyle w:val="null3"/>
      </w:pPr>
      <w:r>
        <w:rPr>
          <w:rFonts w:ascii="仿宋_GB2312" w:hAnsi="仿宋_GB2312" w:cs="仿宋_GB2312" w:eastAsia="仿宋_GB2312"/>
        </w:rPr>
        <w:t>2、财务状况：法人提供经审计的2025年度完整的财务报告，应满足以下要求：须提供会计师事务所出具的审计报告复印件,复印件至少须包括报告正文、资产负债表、现金流量表、利润表、附注和会计师事务所营业执照、事务所执业证书、会计师注册证书，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p>
      <w:pPr>
        <w:pStyle w:val="null3"/>
      </w:pPr>
      <w:r>
        <w:rPr>
          <w:rFonts w:ascii="仿宋_GB2312" w:hAnsi="仿宋_GB2312" w:cs="仿宋_GB2312" w:eastAsia="仿宋_GB2312"/>
        </w:rPr>
        <w:t>3、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4、税收缴纳证明：截止投标时间前六个月内任意一个月的纳税证明或完税证明（个人所得税除外的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5、信用主体查询及声明：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6、提供具有履行本项目合同所必需的设备和专业能力的承诺：提供具有履行本项目合同所必需的设备和专业能力的承诺；供应商需在项目电子化交易系统中按要求上传相应证明文件并进行电子签章。</w:t>
      </w:r>
    </w:p>
    <w:p>
      <w:pPr>
        <w:pStyle w:val="null3"/>
      </w:pPr>
      <w:r>
        <w:rPr>
          <w:rFonts w:ascii="仿宋_GB2312" w:hAnsi="仿宋_GB2312" w:cs="仿宋_GB2312" w:eastAsia="仿宋_GB2312"/>
        </w:rPr>
        <w:t>7、声明函：本项目不接受联合体投标；单位负责人为同一人或者存在控股、管理关系的不同单位，不得参加同一项目的投标；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蒲城县公安局交通管理大队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蒲城县东风街东段9号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15929676843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 刘菲、李瑜、张丰利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采购包1：2,796,865.69元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在领取《中标通知书》之前，向采购代理机构一次付清招标代理服务费。采购代理服务费的金额参照原计价格[2002]1980号文件、发改价格[2011]534号文件的规定，以中标价为基数,计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蒲城县公安局交通管理大队</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蒲城县公安局交通管理大队</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蒲城县公安局交通管理大队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联系人：石雨鑫</w:t>
      </w:r>
    </w:p>
    <w:p>
      <w:pPr>
        <w:pStyle w:val="null3"/>
      </w:pPr>
      <w:r>
        <w:rPr>
          <w:rFonts w:ascii="仿宋_GB2312" w:hAnsi="仿宋_GB2312" w:cs="仿宋_GB2312" w:eastAsia="仿宋_GB2312"/>
        </w:rPr>
        <w:t>联系电话：029-89550806</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交通综合管控应用平台升级服务、绿波带及特勤管理硬件环境集成服务，具体内容详见招标文件。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2,796,865.69</w:t>
      </w:r>
    </w:p>
    <w:p>
      <w:pPr>
        <w:pStyle w:val="null3"/>
      </w:pPr>
      <w:r>
        <w:rPr>
          <w:rFonts w:ascii="仿宋_GB2312" w:hAnsi="仿宋_GB2312" w:cs="仿宋_GB2312" w:eastAsia="仿宋_GB2312"/>
        </w:rPr>
        <w:t>采购包最高限价（元）: 2,796,865.69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交通综合管控应用平台升级服务、绿波带及特勤管理硬件环境集成服务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2,796,865.69</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标的名称：交通综合管控应用平台升级服务、绿波带及特勤管理硬件环境集成服务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rPr>
              <w:t>应用平台现状：现有平台为海康威视</w:t>
            </w:r>
            <w:r>
              <w:rPr>
                <w:rFonts w:ascii="仿宋_GB2312" w:hAnsi="仿宋_GB2312" w:cs="仿宋_GB2312" w:eastAsia="仿宋_GB2312"/>
                <w:sz w:val="28"/>
              </w:rPr>
              <w:t>Infovision TPC Express交通综合管控平台V1.1.0；平台具备视频接入管理1500路、卡口接入管理1000路、信号机接入管理8路、视频数据级联、车辆智能应用、违法管理、智慧信控管理等应用模块，视频图片存储容量3000TB；</w:t>
            </w:r>
          </w:p>
          <w:p>
            <w:pPr>
              <w:pStyle w:val="null3"/>
              <w:jc w:val="left"/>
            </w:pPr>
            <w:r>
              <w:rPr>
                <w:rFonts w:ascii="仿宋_GB2312" w:hAnsi="仿宋_GB2312" w:cs="仿宋_GB2312" w:eastAsia="仿宋_GB2312"/>
                <w:sz w:val="28"/>
              </w:rPr>
              <w:t>本次项目交通综合管控应用平台升级服务需再现有系统基础上进行扩展升级，新增设备接入现有存储设备统一存储管理；</w:t>
            </w:r>
          </w:p>
          <w:p>
            <w:pPr>
              <w:pStyle w:val="null3"/>
              <w:jc w:val="left"/>
            </w:pPr>
            <w:r>
              <w:rPr>
                <w:rFonts w:ascii="仿宋_GB2312" w:hAnsi="仿宋_GB2312" w:cs="仿宋_GB2312" w:eastAsia="仿宋_GB2312"/>
                <w:sz w:val="28"/>
              </w:rPr>
              <w:t>升级服务需与现有软件平台无缝对接。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30"/>
              </w:rPr>
              <w:t>技术要求</w:t>
            </w:r>
          </w:p>
          <w:tbl>
            <w:tblPr>
              <w:tblInd w:type="dxa" w:w="135"/>
              <w:tblBorders>
                <w:top w:val="none" w:color="000000" w:sz="4"/>
                <w:left w:val="none" w:color="000000" w:sz="4"/>
                <w:bottom w:val="none" w:color="000000" w:sz="4"/>
                <w:right w:val="none" w:color="000000" w:sz="4"/>
                <w:insideH w:val="none"/>
                <w:insideV w:val="none"/>
              </w:tblBorders>
            </w:tblPr>
            <w:tblGrid>
              <w:gridCol w:w="204"/>
              <w:gridCol w:w="369"/>
              <w:gridCol w:w="1353"/>
              <w:gridCol w:w="157"/>
              <w:gridCol w:w="192"/>
              <w:gridCol w:w="271"/>
            </w:tblGrid>
            <w:tr>
              <w:tc>
                <w:tcPr>
                  <w:tcW w:type="dxa" w:w="2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35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功能需求</w:t>
                  </w:r>
                </w:p>
              </w:tc>
              <w:tc>
                <w:tcPr>
                  <w:tcW w:type="dxa" w:w="1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7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2546"/>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一、交通综合管控应用平台升级服务</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本级监控通道数</w:t>
                  </w:r>
                </w:p>
              </w:tc>
              <w:tc>
                <w:tcPr>
                  <w:tcW w:type="dxa" w:w="135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新增对视频设备的接入通道数进行管理</w:t>
                  </w:r>
                </w:p>
              </w:tc>
              <w:tc>
                <w:tcPr>
                  <w:tcW w:type="dxa" w:w="1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w:t>
                  </w:r>
                </w:p>
              </w:tc>
              <w:tc>
                <w:tcPr>
                  <w:tcW w:type="dxa" w:w="19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27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本级车道接入数</w:t>
                  </w:r>
                </w:p>
              </w:tc>
              <w:tc>
                <w:tcPr>
                  <w:tcW w:type="dxa" w:w="13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新增对卡口、电警、违停球等设备的接入车道数进行管理</w:t>
                  </w:r>
                </w:p>
              </w:tc>
              <w:tc>
                <w:tcPr>
                  <w:tcW w:type="dxa" w:w="1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w:t>
                  </w:r>
                </w:p>
              </w:tc>
              <w:tc>
                <w:tcPr>
                  <w:tcW w:type="dxa" w:w="1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信号机接入数</w:t>
                  </w:r>
                </w:p>
              </w:tc>
              <w:tc>
                <w:tcPr>
                  <w:tcW w:type="dxa" w:w="13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新增信号机接入管理授权</w:t>
                  </w:r>
                </w:p>
              </w:tc>
              <w:tc>
                <w:tcPr>
                  <w:tcW w:type="dxa" w:w="1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w:t>
                  </w:r>
                </w:p>
              </w:tc>
              <w:tc>
                <w:tcPr>
                  <w:tcW w:type="dxa" w:w="1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交通事件管理</w:t>
                  </w:r>
                </w:p>
              </w:tc>
              <w:tc>
                <w:tcPr>
                  <w:tcW w:type="dxa" w:w="13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1、交通事件查询：应满足按卡口、方向、事件类型（拥堵、变道、机占非、烟雾、黑名单数据、超速、路障、施工、停车、压线、掉头、逆行、行人、抛撒物等）、时间段进行交通事件查询。</w:t>
                  </w:r>
                  <w:r>
                    <w:br/>
                  </w:r>
                  <w:r>
                    <w:rPr>
                      <w:rFonts w:ascii="仿宋_GB2312" w:hAnsi="仿宋_GB2312" w:cs="仿宋_GB2312" w:eastAsia="仿宋_GB2312"/>
                      <w:sz w:val="21"/>
                      <w:color w:val="000000"/>
                    </w:rPr>
                    <w:t>2、交通事件统计：应满足按事件类型，包括交通事故、侧方位停车、停车、压线、变道、抛洒物、拥堵、掉头、施工、机占非、行人、超速、路障、逆行和黑名单数据等，统计生成交通事件年报表、月报表、日报表，满足以柱状图或表格展示统计结果，并导出数据。</w:t>
                  </w:r>
                  <w:r>
                    <w:br/>
                  </w:r>
                  <w:r>
                    <w:rPr>
                      <w:rFonts w:ascii="仿宋_GB2312" w:hAnsi="仿宋_GB2312" w:cs="仿宋_GB2312" w:eastAsia="仿宋_GB2312"/>
                      <w:sz w:val="21"/>
                      <w:color w:val="000000"/>
                    </w:rPr>
                    <w:t>3、交通状态查询：应满足按卡口、方向、交通状态（拥挤、堵塞、畅通）和时间段进行查询。</w:t>
                  </w:r>
                  <w:r>
                    <w:br/>
                  </w:r>
                  <w:r>
                    <w:rPr>
                      <w:rFonts w:ascii="仿宋_GB2312" w:hAnsi="仿宋_GB2312" w:cs="仿宋_GB2312" w:eastAsia="仿宋_GB2312"/>
                      <w:sz w:val="21"/>
                      <w:color w:val="000000"/>
                    </w:rPr>
                    <w:t>4、交通参数统计：交通参数统计应满足按卡口、统计类型（车道速度、车头时距、车头间距、空间占有率、时间占有率、小型车数量、中型车数量、大型车数量、重型车数量、车辆总数量等）、时间段进行统计并生成年报表、月报表、日报表。</w:t>
                  </w:r>
                </w:p>
              </w:tc>
              <w:tc>
                <w:tcPr>
                  <w:tcW w:type="dxa" w:w="1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智慧信控管理</w:t>
                  </w:r>
                </w:p>
              </w:tc>
              <w:tc>
                <w:tcPr>
                  <w:tcW w:type="dxa" w:w="13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1、应满足针对多个信控路口的运行状态进行监控，可以满足 1,4,9,16分割画面预览。</w:t>
                  </w:r>
                  <w:r>
                    <w:br/>
                  </w:r>
                  <w:r>
                    <w:rPr>
                      <w:rFonts w:ascii="仿宋_GB2312" w:hAnsi="仿宋_GB2312" w:cs="仿宋_GB2312" w:eastAsia="仿宋_GB2312"/>
                      <w:sz w:val="21"/>
                      <w:color w:val="000000"/>
                    </w:rPr>
                    <w:t>2、应满足信号机路口和监控设备的关联，实现同时查看实时信号灯放行状态和路口运行情况的需求。</w:t>
                  </w:r>
                  <w:r>
                    <w:br/>
                  </w:r>
                  <w:r>
                    <w:rPr>
                      <w:rFonts w:ascii="仿宋_GB2312" w:hAnsi="仿宋_GB2312" w:cs="仿宋_GB2312" w:eastAsia="仿宋_GB2312"/>
                      <w:sz w:val="21"/>
                      <w:color w:val="000000"/>
                    </w:rPr>
                    <w:t>3、应满足对信号机进行批量分组控制和历史运行方案查询功能。</w:t>
                  </w:r>
                  <w:r>
                    <w:br/>
                  </w:r>
                  <w:r>
                    <w:rPr>
                      <w:rFonts w:ascii="仿宋_GB2312" w:hAnsi="仿宋_GB2312" w:cs="仿宋_GB2312" w:eastAsia="仿宋_GB2312"/>
                      <w:sz w:val="21"/>
                      <w:color w:val="000000"/>
                    </w:rPr>
                    <w:t>4、路口运行监测（检测器故障、灯控板故障、通道故障、数据诊断故障）进行查询导出。</w:t>
                  </w:r>
                </w:p>
              </w:tc>
              <w:tc>
                <w:tcPr>
                  <w:tcW w:type="dxa" w:w="1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绿波带应用</w:t>
                  </w:r>
                </w:p>
              </w:tc>
              <w:tc>
                <w:tcPr>
                  <w:tcW w:type="dxa" w:w="13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1、绿波带管理：应满足绿波带的增删改及列表展示。</w:t>
                  </w:r>
                  <w:r>
                    <w:br/>
                  </w:r>
                  <w:r>
                    <w:rPr>
                      <w:rFonts w:ascii="仿宋_GB2312" w:hAnsi="仿宋_GB2312" w:cs="仿宋_GB2312" w:eastAsia="仿宋_GB2312"/>
                      <w:sz w:val="21"/>
                      <w:color w:val="000000"/>
                    </w:rPr>
                    <w:t>2、绿波带监控：应满足展示实时干线指标和时距图。</w:t>
                  </w:r>
                  <w:r>
                    <w:br/>
                  </w:r>
                  <w:r>
                    <w:rPr>
                      <w:rFonts w:ascii="仿宋_GB2312" w:hAnsi="仿宋_GB2312" w:cs="仿宋_GB2312" w:eastAsia="仿宋_GB2312"/>
                      <w:sz w:val="21"/>
                      <w:color w:val="000000"/>
                    </w:rPr>
                    <w:t>3、绿波故障监测：对平台配置的以及算法引擎自动规划的绿波进行故障监测，展示绿波的状态（方案生成成功、失败、方案下发成功、失败、降级）。</w:t>
                  </w:r>
                  <w:r>
                    <w:br/>
                  </w:r>
                  <w:r>
                    <w:rPr>
                      <w:rFonts w:ascii="仿宋_GB2312" w:hAnsi="仿宋_GB2312" w:cs="仿宋_GB2312" w:eastAsia="仿宋_GB2312"/>
                      <w:sz w:val="21"/>
                      <w:color w:val="000000"/>
                    </w:rPr>
                    <w:t>4、绿波带演练APP：应满足对绿波带的效果通过APP进行跟踪演练得到指标，观察绿波带的效果。</w:t>
                  </w:r>
                </w:p>
              </w:tc>
              <w:tc>
                <w:tcPr>
                  <w:tcW w:type="dxa" w:w="1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1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车辆畅行保障应用</w:t>
                  </w:r>
                </w:p>
              </w:tc>
              <w:tc>
                <w:tcPr>
                  <w:tcW w:type="dxa" w:w="13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1、含有自动特勤、手动特勤等信号控制业务功能。应满足自动特勤、手动特勤配置、执行及监控。</w:t>
                  </w:r>
                  <w:r>
                    <w:br/>
                  </w:r>
                  <w:r>
                    <w:rPr>
                      <w:rFonts w:ascii="仿宋_GB2312" w:hAnsi="仿宋_GB2312" w:cs="仿宋_GB2312" w:eastAsia="仿宋_GB2312"/>
                      <w:sz w:val="21"/>
                      <w:color w:val="000000"/>
                    </w:rPr>
                    <w:t>2、应满足通过手机端APP进行特勤任务管理和监控</w:t>
                  </w:r>
                </w:p>
              </w:tc>
              <w:tc>
                <w:tcPr>
                  <w:tcW w:type="dxa" w:w="1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交通特勤任务保障</w:t>
                  </w:r>
                </w:p>
              </w:tc>
              <w:tc>
                <w:tcPr>
                  <w:tcW w:type="dxa" w:w="13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跨镜追踪：应满足视频感知车辆位置，实现车辆跨镜头追踪，无源定位保障重点车辆安全，在电子地图上展示车辆实时位置、车辆速度和规划线路信息、线路中所有信号机状态及车辆到下一个路口的距离，实现全局信息掌控。</w:t>
                  </w:r>
                  <w:r>
                    <w:br/>
                  </w:r>
                  <w:r>
                    <w:rPr>
                      <w:rFonts w:ascii="仿宋_GB2312" w:hAnsi="仿宋_GB2312" w:cs="仿宋_GB2312" w:eastAsia="仿宋_GB2312"/>
                      <w:sz w:val="21"/>
                      <w:color w:val="000000"/>
                    </w:rPr>
                    <w:t>2、高点联动：需满足与AR结合实现全局与特写多视角展示，AR高点全局视角、网络高速智能球机细节跟踪。</w:t>
                  </w:r>
                  <w:r>
                    <w:br/>
                  </w:r>
                  <w:r>
                    <w:rPr>
                      <w:rFonts w:ascii="仿宋_GB2312" w:hAnsi="仿宋_GB2312" w:cs="仿宋_GB2312" w:eastAsia="仿宋_GB2312"/>
                      <w:sz w:val="21"/>
                      <w:color w:val="000000"/>
                    </w:rPr>
                    <w:t>3、目标布控：应满足车牌模糊布控和实时下发，满足临时保障需求。</w:t>
                  </w:r>
                  <w:r>
                    <w:br/>
                  </w:r>
                  <w:r>
                    <w:rPr>
                      <w:rFonts w:ascii="仿宋_GB2312" w:hAnsi="仿宋_GB2312" w:cs="仿宋_GB2312" w:eastAsia="仿宋_GB2312"/>
                      <w:sz w:val="21"/>
                      <w:color w:val="000000"/>
                    </w:rPr>
                    <w:t>4、信控联动：应满足与信控打通，实现对重点车辆的全程绿波通行。</w:t>
                  </w:r>
                </w:p>
              </w:tc>
              <w:tc>
                <w:tcPr>
                  <w:tcW w:type="dxa" w:w="1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6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车辆视频接力应用</w:t>
                  </w:r>
                </w:p>
              </w:tc>
              <w:tc>
                <w:tcPr>
                  <w:tcW w:type="dxa" w:w="135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1、安保路线设计：应满足规划安保路线，自动识别目标车辆并实时跟踪，可在全景画面与二维地图中同步追踪展示。</w:t>
                  </w:r>
                  <w:r>
                    <w:br/>
                  </w:r>
                  <w:r>
                    <w:rPr>
                      <w:rFonts w:ascii="仿宋_GB2312" w:hAnsi="仿宋_GB2312" w:cs="仿宋_GB2312" w:eastAsia="仿宋_GB2312"/>
                      <w:sz w:val="21"/>
                      <w:color w:val="000000"/>
                    </w:rPr>
                    <w:t>2、安保任务管理：应满足在制定安保线路预案，通过系统创建安保任务，基于路网数据与推荐算法自动规划或手动绘制安保路线，并关联安保路线上的监控设备、警力资源、信控设备等，制定安保任务及安保路线。</w:t>
                  </w:r>
                  <w:r>
                    <w:br/>
                  </w:r>
                  <w:r>
                    <w:rPr>
                      <w:rFonts w:ascii="仿宋_GB2312" w:hAnsi="仿宋_GB2312" w:cs="仿宋_GB2312" w:eastAsia="仿宋_GB2312"/>
                      <w:sz w:val="21"/>
                      <w:color w:val="000000"/>
                    </w:rPr>
                    <w:t>3、安保任务及线路监控：应满足以列表形式展示所有的安保任务及对应的安保线路，展示任务及线路的详情，可开启和关闭安保线路运行。应满足在二维地图上展示所有的线路及运行状态，满足二维地图以第一视角实时动态展示选中的线路的起点、终点、路线上的视频监控资源与目标车辆实时位置。满足对目标车辆进行布控与识别跟踪，在目标车辆行驶过程中，将目标车辆空间位置的轨迹展示在二维地图上。</w:t>
                  </w:r>
                  <w:r>
                    <w:br/>
                  </w:r>
                  <w:r>
                    <w:rPr>
                      <w:rFonts w:ascii="仿宋_GB2312" w:hAnsi="仿宋_GB2312" w:cs="仿宋_GB2312" w:eastAsia="仿宋_GB2312"/>
                      <w:sz w:val="21"/>
                      <w:color w:val="000000"/>
                    </w:rPr>
                    <w:t>4、车辆视频接力跟踪: 应满足安保线路上网络高速智能感知球机对目标车辆进行跟随布控，并保持目标车辆在视频画面中间，当目标车辆进入下一个设备的监控范围时，该设备视频画面自动归正，下一的监控点设备跟随目标车辆，系统界面左侧与右侧视频画面分别为车辆已经经过的画面和车辆即将达到的摄像机画面。</w:t>
                  </w:r>
                  <w:r>
                    <w:br/>
                  </w:r>
                  <w:r>
                    <w:rPr>
                      <w:rFonts w:ascii="仿宋_GB2312" w:hAnsi="仿宋_GB2312" w:cs="仿宋_GB2312" w:eastAsia="仿宋_GB2312"/>
                      <w:sz w:val="21"/>
                      <w:color w:val="000000"/>
                    </w:rPr>
                    <w:t>5、安保线路通行:应满足根据目标车辆实时位置联动信号对信号机的自动控制，系统可根据目标车辆位置自动执行路口的信号控制预案，目标车辆通过后，自动恢复原有信号控制方案。</w:t>
                  </w:r>
                  <w:r>
                    <w:br/>
                  </w:r>
                  <w:r>
                    <w:rPr>
                      <w:rFonts w:ascii="仿宋_GB2312" w:hAnsi="仿宋_GB2312" w:cs="仿宋_GB2312" w:eastAsia="仿宋_GB2312"/>
                      <w:sz w:val="21"/>
                      <w:color w:val="000000"/>
                    </w:rPr>
                    <w:t>6、AR全景追踪: 应满足与高点视频联动，可将目标车辆在高点视频画面上以车辆标签形式展示，车牌标签跟随车辆实际位置实时更新，当车辆从第一个高点全景摄像机的可视范围行进到第二个高点全景摄像机可视范围时，高点视频画面自动切换。</w:t>
                  </w:r>
                </w:p>
              </w:tc>
              <w:tc>
                <w:tcPr>
                  <w:tcW w:type="dxa" w:w="15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4"/>
                  <w:vMerge/>
                  <w:tcBorders>
                    <w:top w:val="non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1353"/>
                  <w:vMerge/>
                  <w:tcBorders>
                    <w:top w:val="none" w:color="000000" w:sz="4"/>
                    <w:left w:val="non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192"/>
                  <w:vMerge/>
                  <w:tcBorders>
                    <w:top w:val="none" w:color="000000" w:sz="4"/>
                    <w:left w:val="none" w:color="000000" w:sz="4"/>
                    <w:bottom w:val="single" w:color="000000" w:sz="4"/>
                    <w:right w:val="single" w:color="000000" w:sz="4"/>
                  </w:tcBorders>
                </w:tcPr>
                <w:p/>
              </w:tc>
              <w:tc>
                <w:tcPr>
                  <w:tcW w:type="dxa" w:w="271"/>
                  <w:vMerge/>
                  <w:tcBorders>
                    <w:top w:val="none" w:color="000000" w:sz="4"/>
                    <w:left w:val="none" w:color="000000" w:sz="4"/>
                    <w:bottom w:val="single" w:color="000000" w:sz="4"/>
                    <w:right w:val="single" w:color="000000" w:sz="4"/>
                  </w:tcBorders>
                </w:tc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信控优化服务</w:t>
                  </w:r>
                </w:p>
              </w:tc>
              <w:tc>
                <w:tcPr>
                  <w:tcW w:type="dxa" w:w="13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1、通过对路段通行条件、交通运营特征等现场情况调研，对具备协调条件的路段制定协调方案，进行方案下发和测试，减少路段停车次数，从而提高车辆行驶流畅性。</w:t>
                  </w:r>
                  <w:r>
                    <w:br/>
                  </w:r>
                  <w:r>
                    <w:rPr>
                      <w:rFonts w:ascii="仿宋_GB2312" w:hAnsi="仿宋_GB2312" w:cs="仿宋_GB2312" w:eastAsia="仿宋_GB2312"/>
                      <w:sz w:val="21"/>
                      <w:color w:val="000000"/>
                    </w:rPr>
                    <w:t>2、提供培训、咨询、现场重难点调优服务，以及服务期内的远程支撑服务，辅助客户完成配时优化服务。</w:t>
                  </w:r>
                </w:p>
              </w:tc>
              <w:tc>
                <w:tcPr>
                  <w:tcW w:type="dxa" w:w="1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系统集成服务</w:t>
                  </w:r>
                </w:p>
              </w:tc>
              <w:tc>
                <w:tcPr>
                  <w:tcW w:type="dxa" w:w="13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软件安装调试，软件操作人员现场培训，特勤预案设计等；</w:t>
                  </w:r>
                </w:p>
              </w:tc>
              <w:tc>
                <w:tcPr>
                  <w:tcW w:type="dxa" w:w="1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546"/>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二、绿波带及特勤管理硬件环境集成服务</w:t>
                  </w:r>
                </w:p>
              </w:tc>
            </w:tr>
            <w:tr>
              <w:tc>
                <w:tcPr>
                  <w:tcW w:type="dxa" w:w="2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6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雷达视频车检器</w:t>
                  </w:r>
                </w:p>
              </w:tc>
              <w:tc>
                <w:tcPr>
                  <w:tcW w:type="dxa" w:w="1353"/>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1、应满足在视频画面上实时叠加显示检测目标信息，包括目标ID、目标类型、目标置信度、目标滞留时间、目标长度、宽度、高度。</w:t>
                  </w:r>
                  <w:r>
                    <w:br/>
                  </w:r>
                  <w:r>
                    <w:rPr>
                      <w:rFonts w:ascii="仿宋_GB2312" w:hAnsi="仿宋_GB2312" w:cs="仿宋_GB2312" w:eastAsia="仿宋_GB2312"/>
                      <w:sz w:val="21"/>
                      <w:color w:val="000000"/>
                    </w:rPr>
                    <w:t>2、应满足检测目标的历史行驶轨迹可在视频上叠加，叠加的目标轨迹数≥50条，同时满足在设备WEB界面查看目标行驶轨迹。</w:t>
                  </w:r>
                  <w:r>
                    <w:br/>
                  </w:r>
                  <w:r>
                    <w:rPr>
                      <w:rFonts w:ascii="仿宋_GB2312" w:hAnsi="仿宋_GB2312" w:cs="仿宋_GB2312" w:eastAsia="仿宋_GB2312"/>
                      <w:sz w:val="21"/>
                      <w:color w:val="000000"/>
                    </w:rPr>
                    <w:t>3、实时状态监测功能检查：应满足雷达、视频、主控等核心模块的实时状态监测，检测到异常时记录日志信息，并且存储到设备EMMC中，满足记录日志条数≥10000条。</w:t>
                  </w:r>
                  <w:r>
                    <w:br/>
                  </w:r>
                  <w:r>
                    <w:rPr>
                      <w:rFonts w:ascii="仿宋_GB2312" w:hAnsi="仿宋_GB2312" w:cs="仿宋_GB2312" w:eastAsia="仿宋_GB2312"/>
                      <w:sz w:val="21"/>
                      <w:color w:val="000000"/>
                    </w:rPr>
                    <w:t>▲4、应满足摄像机镜头异常检测，可检测镜头起雾或脏污、场景变更、镜头遮挡、画面模糊并能够实时给出报警信息。</w:t>
                  </w:r>
                  <w:r>
                    <w:br/>
                  </w:r>
                  <w:r>
                    <w:rPr>
                      <w:rFonts w:ascii="仿宋_GB2312" w:hAnsi="仿宋_GB2312" w:cs="仿宋_GB2312" w:eastAsia="仿宋_GB2312"/>
                      <w:sz w:val="21"/>
                      <w:color w:val="000000"/>
                    </w:rPr>
                    <w:t>5、设备具备视频测速功能，视频测速与雷达测速的误差≤2km/h。</w:t>
                  </w:r>
                  <w:r>
                    <w:br/>
                  </w:r>
                  <w:r>
                    <w:rPr>
                      <w:rFonts w:ascii="仿宋_GB2312" w:hAnsi="仿宋_GB2312" w:cs="仿宋_GB2312" w:eastAsia="仿宋_GB2312"/>
                      <w:sz w:val="21"/>
                      <w:color w:val="000000"/>
                    </w:rPr>
                    <w:t>6、设备应满足包括运矿车、铲车、皮卡车、挖掘车、钻眼台车、三轮车等车辆目标类型检测，车型分类检测准确率≥90%；同时满足分车型的车流量统计，车流量统计的车型检测准确率≥95%。</w:t>
                  </w:r>
                  <w:r>
                    <w:br/>
                  </w:r>
                  <w:r>
                    <w:rPr>
                      <w:rFonts w:ascii="仿宋_GB2312" w:hAnsi="仿宋_GB2312" w:cs="仿宋_GB2312" w:eastAsia="仿宋_GB2312"/>
                      <w:sz w:val="21"/>
                      <w:color w:val="000000"/>
                    </w:rPr>
                    <w:t>7、应满足自定义区域车辆数检测，满足绘制任意区域检测当前区域的车辆数据。</w:t>
                  </w:r>
                  <w:r>
                    <w:br/>
                  </w:r>
                  <w:r>
                    <w:rPr>
                      <w:rFonts w:ascii="仿宋_GB2312" w:hAnsi="仿宋_GB2312" w:cs="仿宋_GB2312" w:eastAsia="仿宋_GB2312"/>
                      <w:sz w:val="21"/>
                      <w:color w:val="000000"/>
                    </w:rPr>
                    <w:t>8、应满足切换纯雷达流量检测模式，在视频异常遮挡的情况下，输出车流量，排队，区域车辆数。</w:t>
                  </w:r>
                  <w:r>
                    <w:br/>
                  </w:r>
                  <w:r>
                    <w:rPr>
                      <w:rFonts w:ascii="仿宋_GB2312" w:hAnsi="仿宋_GB2312" w:cs="仿宋_GB2312" w:eastAsia="仿宋_GB2312"/>
                      <w:sz w:val="21"/>
                      <w:color w:val="000000"/>
                    </w:rPr>
                    <w:t>9、应满足分车道、分车型实时展示通过靠近图像下边缘的虚拟线圈检测的车辆信息，包括车头间距、时距、车型、瞬时速度、车辆方向、转向信息、排队长度、拥堵情况等信息。</w:t>
                  </w:r>
                  <w:r>
                    <w:br/>
                  </w:r>
                  <w:r>
                    <w:rPr>
                      <w:rFonts w:ascii="仿宋_GB2312" w:hAnsi="仿宋_GB2312" w:cs="仿宋_GB2312" w:eastAsia="仿宋_GB2312"/>
                      <w:sz w:val="21"/>
                      <w:color w:val="000000"/>
                    </w:rPr>
                    <w:t>10、应满足统计固定行车方向（来向/去向）单独车道车流量；可统计一段时间内的车辆信息包括断面流量、空间占有率、时间占有率、平均速度、平均时距、平均间距、平均延误、到达流量、排队长度、平均停车次数。</w:t>
                  </w:r>
                  <w:r>
                    <w:br/>
                  </w:r>
                  <w:r>
                    <w:rPr>
                      <w:rFonts w:ascii="仿宋_GB2312" w:hAnsi="仿宋_GB2312" w:cs="仿宋_GB2312" w:eastAsia="仿宋_GB2312"/>
                      <w:sz w:val="21"/>
                      <w:color w:val="000000"/>
                    </w:rPr>
                    <w:t>11、应满足视频上生成车道线后配置给雷达，实现雷达车道线自动配置并显示。</w:t>
                  </w:r>
                  <w:r>
                    <w:br/>
                  </w:r>
                  <w:r>
                    <w:rPr>
                      <w:rFonts w:ascii="仿宋_GB2312" w:hAnsi="仿宋_GB2312" w:cs="仿宋_GB2312" w:eastAsia="仿宋_GB2312"/>
                      <w:sz w:val="21"/>
                      <w:color w:val="000000"/>
                    </w:rPr>
                    <w:t xml:space="preserve">▲12、应满足雷视融合自动标定功能，通过智能视频分析设备与毫米波雷达的协同工作，自动完成坐标标定，建立映射关系。                                                                                           </w:t>
                  </w:r>
                  <w:r>
                    <w:br/>
                  </w:r>
                  <w:r>
                    <w:rPr>
                      <w:rFonts w:ascii="仿宋_GB2312" w:hAnsi="仿宋_GB2312" w:cs="仿宋_GB2312" w:eastAsia="仿宋_GB2312"/>
                      <w:sz w:val="21"/>
                      <w:color w:val="000000"/>
                    </w:rPr>
                    <w:t>13、配套横杆安装支架</w:t>
                  </w:r>
                </w:p>
              </w:tc>
              <w:tc>
                <w:tcPr>
                  <w:tcW w:type="dxa" w:w="157"/>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7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4"/>
                  <w:vMerge/>
                  <w:tcBorders>
                    <w:top w:val="none" w:color="000000" w:sz="4"/>
                    <w:left w:val="single" w:color="000000" w:sz="4"/>
                    <w:bottom w:val="single" w:color="000000" w:sz="4"/>
                    <w:right w:val="single" w:color="000000" w:sz="4"/>
                  </w:tcBorders>
                </w:tcPr>
                <w:p/>
              </w:tc>
              <w:tc>
                <w:tcPr>
                  <w:tcW w:type="dxa" w:w="369"/>
                  <w:vMerge/>
                  <w:tcBorders>
                    <w:top w:val="single" w:color="000000" w:sz="4"/>
                    <w:left w:val="none" w:color="000000" w:sz="4"/>
                    <w:bottom w:val="single" w:color="000000" w:sz="4"/>
                    <w:right w:val="single" w:color="000000" w:sz="4"/>
                  </w:tcBorders>
                </w:tcPr>
                <w:p/>
              </w:tc>
              <w:tc>
                <w:tcPr>
                  <w:tcW w:type="dxa" w:w="1353"/>
                  <w:vMerge/>
                  <w:tcBorders>
                    <w:top w:val="single" w:color="000000" w:sz="4"/>
                    <w:left w:val="non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c>
                <w:tcPr>
                  <w:tcW w:type="dxa" w:w="192"/>
                  <w:vMerge/>
                  <w:tcBorders>
                    <w:top w:val="single" w:color="000000" w:sz="4"/>
                    <w:left w:val="none" w:color="000000" w:sz="4"/>
                    <w:bottom w:val="single" w:color="000000" w:sz="4"/>
                    <w:right w:val="single" w:color="000000" w:sz="4"/>
                  </w:tcBorders>
                </w:tcPr>
                <w:p/>
              </w:tc>
              <w:tc>
                <w:tcPr>
                  <w:tcW w:type="dxa" w:w="271"/>
                  <w:vMerge/>
                  <w:tcBorders>
                    <w:top w:val="single" w:color="000000" w:sz="4"/>
                    <w:left w:val="none" w:color="000000" w:sz="4"/>
                    <w:bottom w:val="single" w:color="000000" w:sz="4"/>
                    <w:right w:val="single" w:color="000000" w:sz="4"/>
                  </w:tcBorders>
                </w:tc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布控跟踪摄像机</w:t>
                  </w:r>
                </w:p>
              </w:tc>
              <w:tc>
                <w:tcPr>
                  <w:tcW w:type="dxa" w:w="13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1、摄像机内置≥2个镜头，可输出≥1路全景视频图像和1路细节视频图像；细节通道、全景通道视频图像分辨率：≥2688×1520。</w:t>
                  </w:r>
                  <w:r>
                    <w:br/>
                  </w:r>
                  <w:r>
                    <w:rPr>
                      <w:rFonts w:ascii="仿宋_GB2312" w:hAnsi="仿宋_GB2312" w:cs="仿宋_GB2312" w:eastAsia="仿宋_GB2312"/>
                      <w:sz w:val="21"/>
                      <w:color w:val="000000"/>
                    </w:rPr>
                    <w:t>2、内置≥2颗GPU芯片。</w:t>
                  </w:r>
                  <w:r>
                    <w:br/>
                  </w:r>
                  <w:r>
                    <w:rPr>
                      <w:rFonts w:ascii="仿宋_GB2312" w:hAnsi="仿宋_GB2312" w:cs="仿宋_GB2312" w:eastAsia="仿宋_GB2312"/>
                      <w:sz w:val="21"/>
                      <w:color w:val="000000"/>
                    </w:rPr>
                    <w:t>3、支持≥40倍光学变倍，镜头最大焦距≥240mm。</w:t>
                  </w:r>
                  <w:r>
                    <w:br/>
                  </w:r>
                  <w:r>
                    <w:rPr>
                      <w:rFonts w:ascii="仿宋_GB2312" w:hAnsi="仿宋_GB2312" w:cs="仿宋_GB2312" w:eastAsia="仿宋_GB2312"/>
                      <w:sz w:val="21"/>
                      <w:color w:val="000000"/>
                    </w:rPr>
                    <w:t>4、▲开启混合目标检测模式后，设备可同时对行人、非机动车、机动车进行检测、跟踪、抓拍，满足人脸与人体，车牌与车辆的关联显示。</w:t>
                  </w:r>
                  <w:r>
                    <w:br/>
                  </w:r>
                  <w:r>
                    <w:rPr>
                      <w:rFonts w:ascii="仿宋_GB2312" w:hAnsi="仿宋_GB2312" w:cs="仿宋_GB2312" w:eastAsia="仿宋_GB2312"/>
                      <w:sz w:val="21"/>
                      <w:color w:val="000000"/>
                    </w:rPr>
                    <w:t>5、▲满足AR标签管理功能，可添加≥500个标签。满足AR标签联动查看功能。</w:t>
                  </w:r>
                  <w:r>
                    <w:br/>
                  </w:r>
                  <w:r>
                    <w:rPr>
                      <w:rFonts w:ascii="仿宋_GB2312" w:hAnsi="仿宋_GB2312" w:cs="仿宋_GB2312" w:eastAsia="仿宋_GB2312"/>
                      <w:sz w:val="21"/>
                      <w:color w:val="000000"/>
                    </w:rPr>
                    <w:t>6、当有停车、逆行、压线、变道、掉头、机动车占用非机动车道现象被触发时，设备可分别发出不同的语音提示。</w:t>
                  </w:r>
                  <w:r>
                    <w:br/>
                  </w:r>
                  <w:r>
                    <w:rPr>
                      <w:rFonts w:ascii="仿宋_GB2312" w:hAnsi="仿宋_GB2312" w:cs="仿宋_GB2312" w:eastAsia="仿宋_GB2312"/>
                      <w:sz w:val="21"/>
                      <w:color w:val="000000"/>
                    </w:rPr>
                    <w:t>7、★满足人员布控功能和车辆布控跟踪功能。</w:t>
                  </w:r>
                  <w:r>
                    <w:br/>
                  </w:r>
                  <w:r>
                    <w:rPr>
                      <w:rFonts w:ascii="仿宋_GB2312" w:hAnsi="仿宋_GB2312" w:cs="仿宋_GB2312" w:eastAsia="仿宋_GB2312"/>
                      <w:sz w:val="21"/>
                      <w:color w:val="000000"/>
                    </w:rPr>
                    <w:t>8、▲智能行为侦测事件上报的抓图应满足叠加规则区域和目标框：可配置报警抓图叠加目标信息及规则信息，可开启及关闭。可设置预览画面是否叠加显示规则区域框及告警提示信息。                                            9、配套安装支架</w:t>
                  </w:r>
                </w:p>
              </w:tc>
              <w:tc>
                <w:tcPr>
                  <w:tcW w:type="dxa" w:w="1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核心产品</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智能联网信号控制主机</w:t>
                  </w:r>
                </w:p>
              </w:tc>
              <w:tc>
                <w:tcPr>
                  <w:tcW w:type="dxa" w:w="13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1、应接入交通管控应用平台，实时接收电子警察前端采集到的到达离开时间、车型、车牌、统计车道级和转向级交通流量数据，并应用于信号机协调控制。</w:t>
                  </w:r>
                  <w:r>
                    <w:br/>
                  </w:r>
                  <w:r>
                    <w:rPr>
                      <w:rFonts w:ascii="仿宋_GB2312" w:hAnsi="仿宋_GB2312" w:cs="仿宋_GB2312" w:eastAsia="仿宋_GB2312"/>
                      <w:sz w:val="21"/>
                      <w:color w:val="000000"/>
                    </w:rPr>
                    <w:t>2、▲满足接入视频车检器数据，可按固定间隔或信控周期获取每个车道的流量、平均车速、平均车头时距、时间占有率、排队长度数据。</w:t>
                  </w:r>
                  <w:r>
                    <w:br/>
                  </w:r>
                  <w:r>
                    <w:rPr>
                      <w:rFonts w:ascii="仿宋_GB2312" w:hAnsi="仿宋_GB2312" w:cs="仿宋_GB2312" w:eastAsia="仿宋_GB2312"/>
                      <w:sz w:val="21"/>
                      <w:color w:val="000000"/>
                    </w:rPr>
                    <w:t>3、满足无缆线绿波协调控制功能，可利用信号机自身的时钟、通过设定相位差实现不同路口之间的离线协调，且满足自动按照时间段切换协调方案。</w:t>
                  </w:r>
                  <w:r>
                    <w:br/>
                  </w:r>
                  <w:r>
                    <w:rPr>
                      <w:rFonts w:ascii="仿宋_GB2312" w:hAnsi="仿宋_GB2312" w:cs="仿宋_GB2312" w:eastAsia="仿宋_GB2312"/>
                      <w:sz w:val="21"/>
                      <w:color w:val="000000"/>
                    </w:rPr>
                    <w:t>4、应满足自适应感应控制，在自适应感应控制方案中，动态调整最大绿时长。</w:t>
                  </w:r>
                  <w:r>
                    <w:br/>
                  </w:r>
                  <w:r>
                    <w:rPr>
                      <w:rFonts w:ascii="仿宋_GB2312" w:hAnsi="仿宋_GB2312" w:cs="仿宋_GB2312" w:eastAsia="仿宋_GB2312"/>
                      <w:sz w:val="21"/>
                      <w:color w:val="000000"/>
                    </w:rPr>
                    <w:t>5、应满足潮汐车道控制功能，可按参数配置（执行时段、潮汐车道通行方向、清空时间）完成潮汐车道方向定时切换，可人工实时切换方案，可进行潮汐车道状态监控。</w:t>
                  </w:r>
                  <w:r>
                    <w:br/>
                  </w:r>
                  <w:r>
                    <w:rPr>
                      <w:rFonts w:ascii="仿宋_GB2312" w:hAnsi="仿宋_GB2312" w:cs="仿宋_GB2312" w:eastAsia="仿宋_GB2312"/>
                      <w:sz w:val="21"/>
                      <w:color w:val="000000"/>
                    </w:rPr>
                    <w:t>6、▲信号机支持同一时段表中环模式方案和相位阶段模式方案的切换，该功能下控制模式支持定周期控制、协调控制和感应控制。</w:t>
                  </w:r>
                  <w:r>
                    <w:br/>
                  </w:r>
                  <w:r>
                    <w:rPr>
                      <w:rFonts w:ascii="仿宋_GB2312" w:hAnsi="仿宋_GB2312" w:cs="仿宋_GB2312" w:eastAsia="仿宋_GB2312"/>
                      <w:sz w:val="21"/>
                      <w:color w:val="000000"/>
                    </w:rPr>
                    <w:t>7、信号机可以对当前周期中正在放行和未放行的阶段执行延长时间、缩减时间、插入阶段等操作。</w:t>
                  </w:r>
                </w:p>
              </w:tc>
              <w:tc>
                <w:tcPr>
                  <w:tcW w:type="dxa" w:w="1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交换机</w:t>
                  </w:r>
                </w:p>
              </w:tc>
              <w:tc>
                <w:tcPr>
                  <w:tcW w:type="dxa" w:w="13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≥8个千兆电口，≥2个千兆光口。</w:t>
                  </w:r>
                </w:p>
              </w:tc>
              <w:tc>
                <w:tcPr>
                  <w:tcW w:type="dxa" w:w="1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交通诱导发布屏</w:t>
                  </w:r>
                </w:p>
              </w:tc>
              <w:tc>
                <w:tcPr>
                  <w:tcW w:type="dxa" w:w="13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1、屏幕的尺寸:≥1280（W） mm × 960（H） mm;</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:≥256 × 192;像素间距：≤8mm；</w:t>
                  </w:r>
                  <w:r>
                    <w:br/>
                  </w:r>
                  <w:r>
                    <w:rPr>
                      <w:rFonts w:ascii="仿宋_GB2312" w:hAnsi="仿宋_GB2312" w:cs="仿宋_GB2312" w:eastAsia="仿宋_GB2312"/>
                      <w:sz w:val="21"/>
                      <w:color w:val="000000"/>
                    </w:rPr>
                    <w:t>2、支持后台编辑文字内容发布信息；应满足通过文字发布交通诱导信息，含控制系统（网络接入后台控制系统，提供网络及电源连接线）、安装配套设施等；</w:t>
                  </w:r>
                </w:p>
              </w:tc>
              <w:tc>
                <w:tcPr>
                  <w:tcW w:type="dxa" w:w="1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立杆</w:t>
                  </w:r>
                </w:p>
              </w:tc>
              <w:tc>
                <w:tcPr>
                  <w:tcW w:type="dxa" w:w="13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八棱杆，含地笼、杆件、横臂及套设施，高度</w:t>
                  </w:r>
                  <w:r>
                    <w:rPr>
                      <w:rFonts w:ascii="仿宋_GB2312" w:hAnsi="仿宋_GB2312" w:cs="仿宋_GB2312" w:eastAsia="仿宋_GB2312"/>
                      <w:sz w:val="21"/>
                      <w:color w:val="000000"/>
                    </w:rPr>
                    <w:t>≥7米，横臂≥7米；</w:t>
                  </w:r>
                  <w:r>
                    <w:br/>
                  </w:r>
                  <w:r>
                    <w:rPr>
                      <w:rFonts w:ascii="仿宋_GB2312" w:hAnsi="仿宋_GB2312" w:cs="仿宋_GB2312" w:eastAsia="仿宋_GB2312"/>
                      <w:sz w:val="21"/>
                      <w:color w:val="000000"/>
                    </w:rPr>
                    <w:t>2、立杆：管径180mm-240mm，壁厚≥6mm;横臂：管径100-180,壁厚≥4mm;</w:t>
                  </w:r>
                </w:p>
              </w:tc>
              <w:tc>
                <w:tcPr>
                  <w:tcW w:type="dxa" w:w="1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辅材及安装调测</w:t>
                  </w:r>
                </w:p>
              </w:tc>
              <w:tc>
                <w:tcPr>
                  <w:tcW w:type="dxa" w:w="13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光纤、网线、电源线等辅材，含路面开挖恢复、管线敷设、原有信号机拆除、设备安装调试等</w:t>
                  </w:r>
                </w:p>
              </w:tc>
              <w:tc>
                <w:tcPr>
                  <w:tcW w:type="dxa" w:w="1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1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6条路段各1批</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集成服务</w:t>
                  </w:r>
                </w:p>
              </w:tc>
              <w:tc>
                <w:tcPr>
                  <w:tcW w:type="dxa" w:w="13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项目规划设计，软硬件集成调测</w:t>
                  </w:r>
                </w:p>
              </w:tc>
              <w:tc>
                <w:tcPr>
                  <w:tcW w:type="dxa" w:w="1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6条路段各1项</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8"/>
              </w:rPr>
              <w:t>商务要求：</w:t>
            </w:r>
          </w:p>
          <w:p>
            <w:pPr>
              <w:pStyle w:val="null3"/>
            </w:pPr>
            <w:r>
              <w:rPr>
                <w:rFonts w:ascii="仿宋_GB2312" w:hAnsi="仿宋_GB2312" w:cs="仿宋_GB2312" w:eastAsia="仿宋_GB2312"/>
                <w:sz w:val="28"/>
              </w:rPr>
              <w:t>1.交货时间：接采购人书面通知后100个日历日完成供货。</w:t>
            </w:r>
          </w:p>
          <w:p>
            <w:pPr>
              <w:pStyle w:val="null3"/>
            </w:pPr>
            <w:r>
              <w:rPr>
                <w:rFonts w:ascii="仿宋_GB2312" w:hAnsi="仿宋_GB2312" w:cs="仿宋_GB2312" w:eastAsia="仿宋_GB2312"/>
                <w:sz w:val="28"/>
              </w:rPr>
              <w:t>2.质保期：2年，本项目所有货物质量必须符合国家有关规范和相关政策。所有货物必须是未使用过的新货物，质量优良、渠道正当。质保期出现的质量问题由投标人负责解决并承担所有费用。</w:t>
            </w:r>
          </w:p>
          <w:p>
            <w:pPr>
              <w:pStyle w:val="null3"/>
            </w:pPr>
            <w:r>
              <w:rPr>
                <w:rFonts w:ascii="仿宋_GB2312" w:hAnsi="仿宋_GB2312" w:cs="仿宋_GB2312" w:eastAsia="仿宋_GB2312"/>
                <w:sz w:val="28"/>
              </w:rPr>
              <w:t>3.付款方式：合同签订后，甲方向乙方支付合同总价的20%；设备运抵甲方指定地点现场安装调试完成并经甲方初步验收合格后，支付合同总金额的35.00%；最终验收合格之后，支付合同总金额的40.00%；剩余合同总价款的5%质保期满无遗留问题后，在无索赔争议的情况下支付乙方。乙方应在每次甲方付款前，向甲方开具合法有效的发票。</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接采购人书面通知后100个日历日完成供货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 ，达到付款条件起15个工作日内，支付合同总金额的20.0%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进度款，设备运抵甲方指定地点现场安装调试完成并经甲方初步验收合格后，供应商按照采购人要求开具合法有效的发票，达到付款条件起15个工作日内，支付合同总金额的35.0%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进度款，最终验收合格之后，供应商按照采购人要求开具合法有效的发票，达到付款条件起15个工作日内，支付合同总金额的40.0%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进度款，剩余合同总价款的5%质保期满无遗留问题后，在无索赔争议的情况下，供应商按照采购人要求开具合法有效的发票，，达到付款条件起15个工作日内，支付合同总金额的5.0%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由成交供应商提出验收申清，采购人组织验收。(2)验收内容:技术服务和商务要求全部内容及合同履约情况。(3)验收标准:符合国家相关规范标准及采购人要求。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质保期：2年，本项目所有货物质量必须符合国家有关规范和相关政策。所有货物必须是未使用过的新货物，质量优良、渠道正当。质保期出现的质量问题由投标人负责解决并承担所有费用。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履行本合同引起的或与本合同有关的争议，甲、乙双方应首先通过友好协商解决:如果协商不能解决争议，甲乙双方同意采取下列两种方式的第(2)种方式解决争议:(1)向甲方所在地有管辖权的人民法院提起诉讼，适用中华人民共和国法律:(2)向渭南市仲裁委员会按其仲裁规则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 工业。 2.本项目需要落实的政府采购政策：（1）《关于进一步加大政府采购支持中小企业力度的通知》（财库〔2022〕19号）、《政府采购促进中小企业发展管理办法》（财库〔2020〕46号）、《财政部 司法部关于政府采购支持监狱企业发展有关问题的通知》（财库〔2014〕68号）、《财政部 民政部 中国残疾人联合会关于促进残疾人就业政府采购政策的通知》（财库〔2017〕141号）。（2）《国务院办公厅关于建立政府强制采购节能产品制度的通知》（国办发〔2007〕51号）、《关于调整优化节能产品、环境标志产品政府采购执行机制的通知》（财库〔2019〕9号）、《关于印发环境标志产品政府采购品目清单的通知》（财库〔2019〕18号）、《关于印发节能产品政府采购品目清单的通知》（财库〔2019〕19号）。（3）《财政部 农业农村部 国家乡村振兴局关于运用政府采购政策支持乡村产业振兴的通知》（财库〔2021〕19 号）、《财政部 农业农村部 国家乡村振兴局 中华全国供销合作总社关于印发&lt;关于深入开展政府采购脱贫地区农副产品工作推进乡村产业振兴的实施意见&gt;的通知》（财库〔2021〕20 号）。（4）《国家互联网信息办公室 工业和信息化部 公安部 财政部 国家认证认可监督管理委员会关于调整网络安全专用产品安全管理有关事项的公告》（2023年第1号）。（5）《陕西省财政厅关于加快推进我省中小企业政府采购信用融资工作的通知》（陕财办采〔2020〕15 号）、《陕西省财政厅关于印发&lt;陕西省中小企业政府采购信用融资办法&gt;的通知》（陕财办采〔2018〕23 号）。（6）《关于扩大政府采购支持绿色建材促进建筑品质提升政策实施范围的通知》（财库〔2022〕35号）、《财政部办公厅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7）《国务院办公厅关于在政府采购中实施本国产品标准及相关政策的通知》（国办发〔2025〕34号）。（8）《关于推动解决政府采购异常低价问题的通知》（财库〔2026〕2号）3.核心产品：布控跟踪摄像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分公司提供总公司合法有效授权）；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法人提供经审计的2025年度完整的财务报告，应满足以下要求：须提供会计师事务所出具的审计报告复印件,复印件至少须包括报告正文、资产负债表、现金流量表、利润表、附注和会计师事务所营业执照、事务所执业证书、会计师注册证书，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投标时间前六个月内任意一个月的纳税证明或完税证明（个人所得税除外的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信用主体查询及声明</w:t>
            </w:r>
          </w:p>
        </w:tc>
        <w:tc>
          <w:tcPr>
            <w:tcW w:type="dxa" w:w="3322"/>
          </w:tcPr>
          <w:p>
            <w:pPr>
              <w:pStyle w:val="null3"/>
            </w:pPr>
            <w:r>
              <w:rPr>
                <w:rFonts w:ascii="仿宋_GB2312" w:hAnsi="仿宋_GB2312" w:cs="仿宋_GB2312" w:eastAsia="仿宋_GB2312"/>
              </w:rPr>
              <w:t>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提供具有履行本项目合同所必需的设备和专业能力的承诺</w:t>
            </w:r>
          </w:p>
        </w:tc>
        <w:tc>
          <w:tcPr>
            <w:tcW w:type="dxa" w:w="3322"/>
          </w:tcPr>
          <w:p>
            <w:pPr>
              <w:pStyle w:val="null3"/>
            </w:pPr>
            <w:r>
              <w:rPr>
                <w:rFonts w:ascii="仿宋_GB2312" w:hAnsi="仿宋_GB2312" w:cs="仿宋_GB2312" w:eastAsia="仿宋_GB2312"/>
              </w:rPr>
              <w:t>提供具有履行本项目合同所必需的设备和专业能力的承诺；供应商需在项目电子化交易系统中按要求上传相应证明文件并进行电子签章。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（1）投标文件封面 （2）投标函 （3）法定代表人（负责人）委托授权书\身份证明</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（1）货币单位符合采购文件要求（2）报价符合唯一性要求 （3）未超出采购预算或最高限价（4）符合《开标一览表》的填报要求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及授权代表投标截止日前一年内已缴存的至少一个月的社会保险参保缴费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所投产品技术参数清楚、明确并能逐条响应招标文件第三章3.3技术要求中所有参数要求，得43分。其中： 1.技术参数中标“★”项（1项）为实质性要求，参数需提供证明材料(国家认可的第三方检测机构出具的检测报告)未提供或不满足按无效投标处理；2.▲项（共7项）满分14分，每项负偏离扣2分，扣完为止。 3.未标项（共58项）满分29分，每项负偏离扣0.5分，扣完为止。 注：标注“▲”的参数须提供相关技术指标证明材料予以佐证，提供的佐证材料如下：加盖投标人公章的国家认可的第三方检测机构出具的检测报告、产品彩页、官网截图任意一种（招标文件有具体要求的，以具体要求为准），不提供或缺漏项视为负偏离。</w:t>
            </w:r>
          </w:p>
        </w:tc>
        <w:tc>
          <w:tcPr>
            <w:tcW w:type="dxa" w:w="831"/>
          </w:tcPr>
          <w:p>
            <w:pPr>
              <w:pStyle w:val="null3"/>
              <w:jc w:val="right"/>
            </w:pPr>
            <w:r>
              <w:rPr>
                <w:rFonts w:ascii="仿宋_GB2312" w:hAnsi="仿宋_GB2312" w:cs="仿宋_GB2312" w:eastAsia="仿宋_GB2312"/>
              </w:rPr>
              <w:t>43.0000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投标人需针对本项目提供完整的项目实施方案。内容包含：①需求分析②信控优化方案③与原有平台对接方案。 二、评审标准完整性：方案须全面，对评审内容中的各项要求有详细描述及说明； 可实施性：切合本项目实际情况，实施步骤清晰、合理； 针对性：方案能够紧扣项目实际情况，内容科学合理。 三、赋分标准 1、供应商制定的整体服务方案理解准确，内容齐全、结构完整、表述准确、条理清晰得6.0分，评审内容每缺失一项，扣2.0分。 2、根据评审标准对供应商整体服务方案进行评审，每项评审内容有一处存在缺陷的扣0.5分。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投标人需针对本项目提供完整的项目实施方案。内容包含：①供货组织及进度安排②安装、调试方案③人员、物力调配安排。 二、评审标准完整性：方案须全面，对评审内容中的各项要求有详细描述及说明； 可实施性：切合本项目实际情况，实施步骤清晰、合理； 针对性：方案能够紧扣项目实际情况，内容科学合理。 三、赋分标准 1、供应商制定的整体服务方案理解准确，内容齐全、结构完整、表述准确、条理清晰得6.0分，评审内容每缺失一项，扣2.0分。 2、根据评审标准对供应商整体服务方案进行评审，每项评审内容有一处存在缺陷的扣0.5分。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投标人需针对本项目提供质量保证方案。内容包含：①产品性能使用寿命及效果②质量保证措施。 二、评审标准完整性：质量保证方案须全面，对评审内容中的各项要求有详细描述及说明； 可实施性：切合本项目实际情况，实施步骤清晰、合理； 针对性：方案能够紧扣项目实际情况，内容科学合理。 三、赋分标准 1、供应商制定的整体服务方案理解准确，内容齐全、结构完整、表述准确、条理清晰得4.0分，评审内容每缺失一项，扣2.0分。 2、根据评审标准对供应商整体服务方案进行评审，每项评审内容有一处存在缺陷的扣0.5分。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售后及培训服务方案</w:t>
            </w:r>
          </w:p>
        </w:tc>
        <w:tc>
          <w:tcPr>
            <w:tcW w:type="dxa" w:w="2492"/>
          </w:tcPr>
          <w:p>
            <w:pPr>
              <w:pStyle w:val="null3"/>
            </w:pPr>
            <w:r>
              <w:rPr>
                <w:rFonts w:ascii="仿宋_GB2312" w:hAnsi="仿宋_GB2312" w:cs="仿宋_GB2312" w:eastAsia="仿宋_GB2312"/>
              </w:rPr>
              <w:t>一、评审内容 投标人需针对本项目提供售后服务方案。内容包含：①售后服务方案②培训服务方案。二、评审标准完整性：方案须全面，对评审内容中的各项要求有详细描述及说明； 可实施性：切合本项目实际情况，实施步骤清晰、合理； 针对性：方案能够紧扣项目实际情况，内容科学合理。 三、赋分标准 1、供应商制定的整体服务方案理解准确，内容齐全、结构完整、表述准确、条理清晰得4.0分，评审内容每缺失一项，扣2.0分。 2、根据评审标准对供应商整体服务方案进行评审，每项评审内容有一处存在缺陷的扣0.5分。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项目项目经理具备信息化相关高级职称得1分，未提供不计分；项目团队成员具备信息化相关中级及以上职称，每提供一份得1分，最高得3分，未提供不计分。 注：以下证明文件投标文件中提供清晰扫描件并加盖公章（包含工作岗位、职称、相关证书及本单位缴纳社保证明等）；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提供投标人2023年1月1日以来类似项目业绩（以合同签订日期为准），每份合格业绩合同计1分，满分3分。 注：需提供完整业绩合同及对应货款发票（任意一张）复印件，并加盖投标人公章。前述两种证明材料同时提供方可得分，否则不得分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30分。供应商的价格分统一按下列公式计算：投标报价得分=（评标基准价/投标报价）×30分，计算分数时四舍五入取小数点后两位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详见附件：供货合同6.10.docx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