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EC249">
      <w:pPr>
        <w:rPr>
          <w:rFonts w:hint="eastAsia" w:ascii="宋体" w:hAnsi="宋体"/>
          <w:b/>
          <w:sz w:val="32"/>
          <w:szCs w:val="32"/>
          <w:highlight w:val="none"/>
        </w:rPr>
      </w:pPr>
      <w:r>
        <w:rPr>
          <w:rFonts w:hint="eastAsia" w:ascii="宋体" w:hAnsi="宋体"/>
          <w:b/>
          <w:sz w:val="32"/>
          <w:szCs w:val="32"/>
          <w:highlight w:val="none"/>
        </w:rPr>
        <w:t>政府采购项目</w:t>
      </w:r>
    </w:p>
    <w:p w14:paraId="27993B1D">
      <w:pPr>
        <w:jc w:val="both"/>
        <w:rPr>
          <w:rFonts w:hint="eastAsia" w:ascii="宋体" w:hAnsi="宋体" w:eastAsia="宋体"/>
          <w:sz w:val="52"/>
          <w:szCs w:val="52"/>
          <w:highlight w:val="none"/>
          <w:lang w:eastAsia="zh-CN"/>
        </w:rPr>
      </w:pPr>
    </w:p>
    <w:p w14:paraId="58CE80B0">
      <w:pPr>
        <w:ind w:firstLine="1898" w:firstLineChars="350"/>
        <w:rPr>
          <w:rFonts w:hint="eastAsia" w:ascii="宋体" w:hAnsi="宋体"/>
          <w:b/>
          <w:spacing w:val="-20"/>
          <w:sz w:val="58"/>
          <w:szCs w:val="58"/>
          <w:highlight w:val="none"/>
        </w:rPr>
      </w:pPr>
      <w:r>
        <w:rPr>
          <w:rFonts w:hint="eastAsia" w:ascii="宋体" w:hAnsi="宋体"/>
          <w:b/>
          <w:spacing w:val="-20"/>
          <w:sz w:val="58"/>
          <w:szCs w:val="58"/>
          <w:highlight w:val="none"/>
        </w:rPr>
        <w:t>X X X X X X</w:t>
      </w:r>
      <w:r>
        <w:rPr>
          <w:rFonts w:hint="eastAsia" w:ascii="宋体" w:hAnsi="宋体"/>
          <w:b/>
          <w:color w:val="FF0000"/>
          <w:spacing w:val="-20"/>
          <w:sz w:val="58"/>
          <w:szCs w:val="58"/>
          <w:highlight w:val="none"/>
        </w:rPr>
        <w:t>（项目名称）</w:t>
      </w:r>
    </w:p>
    <w:p w14:paraId="709EAE18">
      <w:pPr>
        <w:jc w:val="center"/>
        <w:rPr>
          <w:rFonts w:hint="eastAsia" w:ascii="宋体" w:hAnsi="宋体"/>
          <w:b/>
          <w:sz w:val="72"/>
          <w:szCs w:val="72"/>
          <w:highlight w:val="none"/>
        </w:rPr>
      </w:pPr>
    </w:p>
    <w:p w14:paraId="1CFC90E0">
      <w:pPr>
        <w:jc w:val="center"/>
        <w:rPr>
          <w:rFonts w:hint="eastAsia" w:ascii="宋体" w:hAnsi="宋体"/>
          <w:b/>
          <w:sz w:val="72"/>
          <w:szCs w:val="72"/>
          <w:highlight w:val="none"/>
        </w:rPr>
      </w:pPr>
    </w:p>
    <w:p w14:paraId="536049A0">
      <w:pPr>
        <w:jc w:val="center"/>
        <w:rPr>
          <w:rFonts w:hint="eastAsia" w:ascii="宋体" w:hAnsi="宋体"/>
          <w:b/>
          <w:sz w:val="72"/>
          <w:szCs w:val="72"/>
          <w:highlight w:val="none"/>
        </w:rPr>
      </w:pPr>
      <w:r>
        <w:rPr>
          <w:rFonts w:hint="eastAsia" w:ascii="宋体" w:hAnsi="宋体"/>
          <w:b/>
          <w:sz w:val="72"/>
          <w:szCs w:val="72"/>
          <w:highlight w:val="none"/>
        </w:rPr>
        <w:t>供 货 合 同</w:t>
      </w:r>
    </w:p>
    <w:p w14:paraId="1470DA30">
      <w:pPr>
        <w:jc w:val="center"/>
        <w:rPr>
          <w:rFonts w:hint="eastAsia" w:ascii="宋体" w:hAnsi="宋体"/>
          <w:sz w:val="30"/>
          <w:szCs w:val="30"/>
          <w:highlight w:val="none"/>
        </w:rPr>
      </w:pPr>
      <w:r>
        <w:rPr>
          <w:rFonts w:hint="eastAsia" w:ascii="宋体" w:hAnsi="宋体"/>
          <w:sz w:val="30"/>
          <w:szCs w:val="30"/>
          <w:highlight w:val="none"/>
        </w:rPr>
        <w:t>（编号：</w:t>
      </w:r>
      <w:r>
        <w:rPr>
          <w:rFonts w:hint="eastAsia" w:ascii="宋体" w:hAnsi="宋体"/>
          <w:sz w:val="30"/>
          <w:szCs w:val="30"/>
          <w:highlight w:val="none"/>
          <w:lang w:val="en-US" w:eastAsia="zh-CN"/>
        </w:rPr>
        <w:t xml:space="preserve">        </w:t>
      </w:r>
      <w:r>
        <w:rPr>
          <w:rFonts w:hint="eastAsia" w:ascii="宋体" w:hAnsi="宋体"/>
          <w:sz w:val="30"/>
          <w:szCs w:val="30"/>
          <w:highlight w:val="none"/>
        </w:rPr>
        <w:t>）</w:t>
      </w:r>
    </w:p>
    <w:p w14:paraId="358076E5">
      <w:pPr>
        <w:jc w:val="center"/>
        <w:rPr>
          <w:rFonts w:hint="eastAsia" w:ascii="宋体" w:hAnsi="宋体" w:eastAsia="宋体"/>
          <w:sz w:val="30"/>
          <w:szCs w:val="30"/>
          <w:highlight w:val="none"/>
          <w:lang w:eastAsia="zh-CN"/>
        </w:rPr>
      </w:pPr>
      <w:r>
        <w:rPr>
          <w:rFonts w:hint="eastAsia" w:ascii="宋体" w:hAnsi="宋体"/>
          <w:sz w:val="30"/>
          <w:szCs w:val="30"/>
          <w:highlight w:val="none"/>
          <w:lang w:val="en-US" w:eastAsia="zh-CN"/>
        </w:rPr>
        <w:t xml:space="preserve"> </w:t>
      </w:r>
    </w:p>
    <w:p w14:paraId="130E640C">
      <w:pPr>
        <w:jc w:val="center"/>
        <w:rPr>
          <w:rFonts w:hint="eastAsia" w:ascii="宋体" w:hAnsi="宋体"/>
          <w:sz w:val="30"/>
          <w:szCs w:val="30"/>
          <w:highlight w:val="none"/>
        </w:rPr>
      </w:pPr>
    </w:p>
    <w:p w14:paraId="7F0E5A00">
      <w:pPr>
        <w:jc w:val="center"/>
        <w:rPr>
          <w:rFonts w:hint="eastAsia" w:ascii="宋体" w:hAnsi="宋体"/>
          <w:sz w:val="30"/>
          <w:szCs w:val="30"/>
          <w:highlight w:val="none"/>
        </w:rPr>
      </w:pPr>
    </w:p>
    <w:p w14:paraId="27194596">
      <w:pPr>
        <w:jc w:val="both"/>
        <w:rPr>
          <w:rFonts w:hint="eastAsia" w:ascii="宋体" w:hAnsi="宋体"/>
          <w:sz w:val="30"/>
          <w:szCs w:val="30"/>
          <w:highlight w:val="none"/>
        </w:rPr>
      </w:pPr>
    </w:p>
    <w:p w14:paraId="09A6BAF5">
      <w:pPr>
        <w:jc w:val="center"/>
        <w:rPr>
          <w:rFonts w:hint="eastAsia" w:ascii="宋体" w:hAnsi="宋体"/>
          <w:sz w:val="30"/>
          <w:szCs w:val="30"/>
          <w:highlight w:val="none"/>
        </w:rPr>
      </w:pPr>
    </w:p>
    <w:p w14:paraId="4D96CCFE">
      <w:pPr>
        <w:ind w:firstLine="2124" w:firstLineChars="664"/>
        <w:rPr>
          <w:rFonts w:hint="eastAsia" w:ascii="宋体" w:hAnsi="宋体"/>
          <w:sz w:val="32"/>
          <w:szCs w:val="32"/>
          <w:highlight w:val="none"/>
        </w:rPr>
      </w:pPr>
      <w:r>
        <w:rPr>
          <w:rFonts w:hint="eastAsia" w:ascii="宋体" w:hAnsi="宋体"/>
          <w:sz w:val="32"/>
          <w:szCs w:val="32"/>
          <w:highlight w:val="none"/>
        </w:rPr>
        <w:t>甲  方：XXXXXXX</w:t>
      </w:r>
    </w:p>
    <w:p w14:paraId="7621FBD4">
      <w:pPr>
        <w:tabs>
          <w:tab w:val="left" w:pos="480"/>
        </w:tabs>
        <w:ind w:firstLine="2124" w:firstLineChars="664"/>
        <w:rPr>
          <w:rFonts w:hint="eastAsia" w:ascii="宋体" w:hAnsi="宋体"/>
          <w:sz w:val="32"/>
          <w:szCs w:val="32"/>
          <w:highlight w:val="none"/>
        </w:rPr>
      </w:pPr>
      <w:r>
        <w:rPr>
          <w:rFonts w:hint="eastAsia" w:ascii="宋体" w:hAnsi="宋体"/>
          <w:sz w:val="32"/>
          <w:szCs w:val="32"/>
          <w:highlight w:val="none"/>
        </w:rPr>
        <w:t>乙  方：XXXXXXX</w:t>
      </w:r>
    </w:p>
    <w:p w14:paraId="6ED1E109">
      <w:pPr>
        <w:jc w:val="center"/>
        <w:rPr>
          <w:rFonts w:hint="eastAsia" w:ascii="宋体" w:hAnsi="宋体"/>
          <w:sz w:val="30"/>
          <w:szCs w:val="30"/>
          <w:highlight w:val="none"/>
        </w:rPr>
      </w:pPr>
    </w:p>
    <w:p w14:paraId="770E6551">
      <w:pPr>
        <w:jc w:val="center"/>
        <w:rPr>
          <w:rFonts w:hint="eastAsia" w:ascii="宋体" w:hAnsi="宋体"/>
          <w:sz w:val="32"/>
          <w:szCs w:val="32"/>
          <w:highlight w:val="none"/>
        </w:rPr>
      </w:pPr>
      <w:r>
        <w:rPr>
          <w:rFonts w:hint="eastAsia" w:ascii="宋体" w:hAnsi="宋体"/>
          <w:sz w:val="32"/>
          <w:szCs w:val="32"/>
          <w:highlight w:val="none"/>
        </w:rPr>
        <w:t>202X年XX月</w:t>
      </w:r>
    </w:p>
    <w:p w14:paraId="5D427B21">
      <w:pPr>
        <w:jc w:val="center"/>
        <w:rPr>
          <w:rFonts w:hint="eastAsia" w:ascii="宋体" w:hAnsi="宋体"/>
          <w:b/>
          <w:sz w:val="36"/>
          <w:szCs w:val="36"/>
          <w:highlight w:val="none"/>
        </w:rPr>
      </w:pPr>
      <w:r>
        <w:rPr>
          <w:rFonts w:hint="eastAsia" w:ascii="宋体" w:hAnsi="宋体"/>
          <w:sz w:val="32"/>
          <w:szCs w:val="32"/>
          <w:highlight w:val="none"/>
        </w:rPr>
        <w:t>中国  西安</w:t>
      </w:r>
    </w:p>
    <w:p w14:paraId="4EB5563B">
      <w:pPr>
        <w:keepNext w:val="0"/>
        <w:keepLines w:val="0"/>
        <w:pageBreakBefore w:val="0"/>
        <w:widowControl w:val="0"/>
        <w:kinsoku/>
        <w:wordWrap/>
        <w:overflowPunct/>
        <w:topLinePunct w:val="0"/>
        <w:autoSpaceDE/>
        <w:autoSpaceDN/>
        <w:bidi w:val="0"/>
        <w:adjustRightInd/>
        <w:snapToGrid/>
        <w:spacing w:before="0" w:beforeLines="100" w:line="384" w:lineRule="auto"/>
        <w:textAlignment w:val="auto"/>
        <w:rPr>
          <w:rFonts w:hint="eastAsia" w:ascii="宋体" w:hAnsi="宋体" w:eastAsia="宋体" w:cs="宋体"/>
          <w:sz w:val="24"/>
          <w:szCs w:val="24"/>
          <w:highlight w:val="none"/>
        </w:rPr>
      </w:pPr>
      <w:r>
        <w:rPr>
          <w:rFonts w:ascii="宋体" w:hAnsi="宋体"/>
          <w:color w:val="000000"/>
          <w:spacing w:val="-20"/>
          <w:kern w:val="0"/>
          <w:sz w:val="28"/>
          <w:szCs w:val="20"/>
          <w:highlight w:val="none"/>
        </w:rPr>
        <w:br w:type="page"/>
      </w:r>
      <w:r>
        <w:rPr>
          <w:rFonts w:hint="eastAsia" w:ascii="宋体" w:hAnsi="宋体" w:eastAsia="宋体" w:cs="宋体"/>
          <w:sz w:val="24"/>
          <w:szCs w:val="24"/>
          <w:highlight w:val="none"/>
        </w:rPr>
        <w:t>合同编号：</w:t>
      </w:r>
    </w:p>
    <w:p w14:paraId="2DF48404">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签订地点：</w:t>
      </w:r>
    </w:p>
    <w:p w14:paraId="77B063E2">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签订时间：</w:t>
      </w:r>
    </w:p>
    <w:p w14:paraId="12A380C2">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 (甲方)：</w:t>
      </w:r>
    </w:p>
    <w:p w14:paraId="7FB375BE">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中标人 (乙方)：</w:t>
      </w:r>
    </w:p>
    <w:p w14:paraId="01E37770">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根据《中华人民共和国政府采购法》及实施条例、《中华人民共和国民法典》</w:t>
      </w:r>
    </w:p>
    <w:p w14:paraId="7772C981">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和甲方采购项目 (项目编号：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的</w:t>
      </w:r>
      <w:r>
        <w:rPr>
          <w:rFonts w:hint="eastAsia" w:ascii="宋体" w:hAnsi="宋体" w:cs="宋体"/>
          <w:sz w:val="24"/>
          <w:szCs w:val="24"/>
          <w:highlight w:val="none"/>
          <w:lang w:eastAsia="zh-CN"/>
        </w:rPr>
        <w:t>采购</w:t>
      </w:r>
      <w:r>
        <w:rPr>
          <w:rFonts w:hint="eastAsia" w:ascii="宋体" w:hAnsi="宋体" w:cs="宋体"/>
          <w:sz w:val="24"/>
          <w:szCs w:val="24"/>
          <w:highlight w:val="none"/>
          <w:lang w:val="en-US" w:eastAsia="zh-CN"/>
        </w:rPr>
        <w:t>文件</w:t>
      </w:r>
      <w:r>
        <w:rPr>
          <w:rFonts w:hint="eastAsia" w:ascii="宋体" w:hAnsi="宋体" w:eastAsia="宋体" w:cs="宋体"/>
          <w:sz w:val="24"/>
          <w:szCs w:val="24"/>
          <w:highlight w:val="none"/>
        </w:rPr>
        <w:t>、响应文件等有关规定，为确保甲方采购项目的顺利实施，甲、乙双方在平等自愿原则下签订本合同，并共同遵守如下条款：</w:t>
      </w:r>
    </w:p>
    <w:p w14:paraId="4CBA7631">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第一条 合同标的及数量</w:t>
      </w:r>
    </w:p>
    <w:p w14:paraId="039C3200">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乙方向甲方提供下列货物 (产品)：</w:t>
      </w:r>
    </w:p>
    <w:p w14:paraId="06746454">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供货一览表</w:t>
      </w:r>
    </w:p>
    <w:tbl>
      <w:tblPr>
        <w:tblStyle w:val="6"/>
        <w:tblW w:w="8809"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328"/>
        <w:gridCol w:w="759"/>
        <w:gridCol w:w="1477"/>
        <w:gridCol w:w="531"/>
        <w:gridCol w:w="713"/>
        <w:gridCol w:w="727"/>
        <w:gridCol w:w="1058"/>
        <w:gridCol w:w="1472"/>
      </w:tblGrid>
      <w:tr w14:paraId="6E9E3D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744" w:type="dxa"/>
            <w:tcBorders>
              <w:left w:val="single" w:color="000000" w:sz="10" w:space="0"/>
            </w:tcBorders>
            <w:noWrap w:val="0"/>
            <w:vAlign w:val="center"/>
          </w:tcPr>
          <w:p w14:paraId="40B48A16">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p w14:paraId="1105B61B">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328" w:type="dxa"/>
            <w:noWrap w:val="0"/>
            <w:vAlign w:val="center"/>
          </w:tcPr>
          <w:p w14:paraId="41E7073E">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p w14:paraId="29525CB8">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759" w:type="dxa"/>
            <w:noWrap w:val="0"/>
            <w:vAlign w:val="center"/>
          </w:tcPr>
          <w:p w14:paraId="75F9E5B4">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品目</w:t>
            </w:r>
          </w:p>
          <w:p w14:paraId="1524C24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代码</w:t>
            </w:r>
          </w:p>
        </w:tc>
        <w:tc>
          <w:tcPr>
            <w:tcW w:w="1477" w:type="dxa"/>
            <w:noWrap w:val="0"/>
            <w:vAlign w:val="center"/>
          </w:tcPr>
          <w:p w14:paraId="19E51F3B">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p w14:paraId="7E739616">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品牌/型号</w:t>
            </w:r>
          </w:p>
        </w:tc>
        <w:tc>
          <w:tcPr>
            <w:tcW w:w="531" w:type="dxa"/>
            <w:noWrap w:val="0"/>
            <w:textDirection w:val="tbRlV"/>
            <w:vAlign w:val="center"/>
          </w:tcPr>
          <w:p w14:paraId="3C469D97">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 格</w:t>
            </w:r>
          </w:p>
        </w:tc>
        <w:tc>
          <w:tcPr>
            <w:tcW w:w="713" w:type="dxa"/>
            <w:noWrap w:val="0"/>
            <w:vAlign w:val="center"/>
          </w:tcPr>
          <w:p w14:paraId="610DBD9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计量</w:t>
            </w:r>
          </w:p>
          <w:p w14:paraId="5D5CA360">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27" w:type="dxa"/>
            <w:noWrap w:val="0"/>
            <w:vAlign w:val="center"/>
          </w:tcPr>
          <w:p w14:paraId="29979DC8">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p w14:paraId="1672D985">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058" w:type="dxa"/>
            <w:noWrap w:val="0"/>
            <w:vAlign w:val="center"/>
          </w:tcPr>
          <w:p w14:paraId="2612D5AE">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14:paraId="58D4F44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472" w:type="dxa"/>
            <w:tcBorders>
              <w:right w:val="single" w:color="000000" w:sz="10" w:space="0"/>
            </w:tcBorders>
            <w:noWrap w:val="0"/>
            <w:vAlign w:val="center"/>
          </w:tcPr>
          <w:p w14:paraId="374CBCE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p w14:paraId="42FF999D">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金额 (元)</w:t>
            </w:r>
          </w:p>
        </w:tc>
      </w:tr>
      <w:tr w14:paraId="75059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44" w:type="dxa"/>
            <w:tcBorders>
              <w:left w:val="single" w:color="000000" w:sz="10" w:space="0"/>
            </w:tcBorders>
            <w:noWrap w:val="0"/>
            <w:vAlign w:val="center"/>
          </w:tcPr>
          <w:p w14:paraId="7B34BC4F">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328" w:type="dxa"/>
            <w:noWrap w:val="0"/>
            <w:vAlign w:val="center"/>
          </w:tcPr>
          <w:p w14:paraId="7D9DD4C7">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59" w:type="dxa"/>
            <w:noWrap w:val="0"/>
            <w:vAlign w:val="center"/>
          </w:tcPr>
          <w:p w14:paraId="20DF40A0">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7" w:type="dxa"/>
            <w:noWrap w:val="0"/>
            <w:vAlign w:val="center"/>
          </w:tcPr>
          <w:p w14:paraId="4BD27520">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531" w:type="dxa"/>
            <w:noWrap w:val="0"/>
            <w:vAlign w:val="center"/>
          </w:tcPr>
          <w:p w14:paraId="73A8BD30">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13" w:type="dxa"/>
            <w:noWrap w:val="0"/>
            <w:vAlign w:val="center"/>
          </w:tcPr>
          <w:p w14:paraId="2FB0791D">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27" w:type="dxa"/>
            <w:noWrap w:val="0"/>
            <w:vAlign w:val="center"/>
          </w:tcPr>
          <w:p w14:paraId="36FBBB65">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058" w:type="dxa"/>
            <w:noWrap w:val="0"/>
            <w:vAlign w:val="center"/>
          </w:tcPr>
          <w:p w14:paraId="0230F883">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2" w:type="dxa"/>
            <w:tcBorders>
              <w:right w:val="single" w:color="000000" w:sz="10" w:space="0"/>
            </w:tcBorders>
            <w:noWrap w:val="0"/>
            <w:vAlign w:val="center"/>
          </w:tcPr>
          <w:p w14:paraId="71ECB25D">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r>
      <w:tr w14:paraId="5428B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44" w:type="dxa"/>
            <w:tcBorders>
              <w:left w:val="single" w:color="000000" w:sz="10" w:space="0"/>
            </w:tcBorders>
            <w:noWrap w:val="0"/>
            <w:vAlign w:val="center"/>
          </w:tcPr>
          <w:p w14:paraId="44D92F13">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328" w:type="dxa"/>
            <w:noWrap w:val="0"/>
            <w:vAlign w:val="center"/>
          </w:tcPr>
          <w:p w14:paraId="25177212">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59" w:type="dxa"/>
            <w:noWrap w:val="0"/>
            <w:vAlign w:val="center"/>
          </w:tcPr>
          <w:p w14:paraId="0E770654">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7" w:type="dxa"/>
            <w:noWrap w:val="0"/>
            <w:vAlign w:val="center"/>
          </w:tcPr>
          <w:p w14:paraId="7C882A64">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531" w:type="dxa"/>
            <w:noWrap w:val="0"/>
            <w:vAlign w:val="center"/>
          </w:tcPr>
          <w:p w14:paraId="4382E55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13" w:type="dxa"/>
            <w:noWrap w:val="0"/>
            <w:vAlign w:val="center"/>
          </w:tcPr>
          <w:p w14:paraId="1E26F714">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27" w:type="dxa"/>
            <w:noWrap w:val="0"/>
            <w:vAlign w:val="center"/>
          </w:tcPr>
          <w:p w14:paraId="7B3E95F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058" w:type="dxa"/>
            <w:noWrap w:val="0"/>
            <w:vAlign w:val="center"/>
          </w:tcPr>
          <w:p w14:paraId="69471919">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2" w:type="dxa"/>
            <w:tcBorders>
              <w:right w:val="single" w:color="000000" w:sz="10" w:space="0"/>
            </w:tcBorders>
            <w:noWrap w:val="0"/>
            <w:vAlign w:val="center"/>
          </w:tcPr>
          <w:p w14:paraId="56D6E7B8">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r>
      <w:tr w14:paraId="4D992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44" w:type="dxa"/>
            <w:tcBorders>
              <w:left w:val="single" w:color="000000" w:sz="10" w:space="0"/>
            </w:tcBorders>
            <w:noWrap w:val="0"/>
            <w:vAlign w:val="center"/>
          </w:tcPr>
          <w:p w14:paraId="1E3C5AB2">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328" w:type="dxa"/>
            <w:noWrap w:val="0"/>
            <w:vAlign w:val="center"/>
          </w:tcPr>
          <w:p w14:paraId="115FFE07">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59" w:type="dxa"/>
            <w:noWrap w:val="0"/>
            <w:vAlign w:val="center"/>
          </w:tcPr>
          <w:p w14:paraId="12073706">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7" w:type="dxa"/>
            <w:noWrap w:val="0"/>
            <w:vAlign w:val="center"/>
          </w:tcPr>
          <w:p w14:paraId="21E9EF7F">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531" w:type="dxa"/>
            <w:noWrap w:val="0"/>
            <w:vAlign w:val="center"/>
          </w:tcPr>
          <w:p w14:paraId="2BA94F83">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13" w:type="dxa"/>
            <w:noWrap w:val="0"/>
            <w:vAlign w:val="center"/>
          </w:tcPr>
          <w:p w14:paraId="2B84D48E">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27" w:type="dxa"/>
            <w:noWrap w:val="0"/>
            <w:vAlign w:val="center"/>
          </w:tcPr>
          <w:p w14:paraId="52ACAD9B">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058" w:type="dxa"/>
            <w:noWrap w:val="0"/>
            <w:vAlign w:val="center"/>
          </w:tcPr>
          <w:p w14:paraId="77921A0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2" w:type="dxa"/>
            <w:tcBorders>
              <w:right w:val="single" w:color="000000" w:sz="10" w:space="0"/>
            </w:tcBorders>
            <w:noWrap w:val="0"/>
            <w:vAlign w:val="center"/>
          </w:tcPr>
          <w:p w14:paraId="627B276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r>
      <w:tr w14:paraId="0500F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44" w:type="dxa"/>
            <w:tcBorders>
              <w:left w:val="single" w:color="000000" w:sz="10" w:space="0"/>
            </w:tcBorders>
            <w:noWrap w:val="0"/>
            <w:vAlign w:val="center"/>
          </w:tcPr>
          <w:p w14:paraId="5C8F264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328" w:type="dxa"/>
            <w:noWrap w:val="0"/>
            <w:vAlign w:val="center"/>
          </w:tcPr>
          <w:p w14:paraId="6CB195D6">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59" w:type="dxa"/>
            <w:noWrap w:val="0"/>
            <w:vAlign w:val="center"/>
          </w:tcPr>
          <w:p w14:paraId="7F839FDD">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7" w:type="dxa"/>
            <w:noWrap w:val="0"/>
            <w:vAlign w:val="center"/>
          </w:tcPr>
          <w:p w14:paraId="4A044B05">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531" w:type="dxa"/>
            <w:noWrap w:val="0"/>
            <w:vAlign w:val="center"/>
          </w:tcPr>
          <w:p w14:paraId="307AEF2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13" w:type="dxa"/>
            <w:noWrap w:val="0"/>
            <w:vAlign w:val="center"/>
          </w:tcPr>
          <w:p w14:paraId="7BBC1DDF">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727" w:type="dxa"/>
            <w:noWrap w:val="0"/>
            <w:vAlign w:val="center"/>
          </w:tcPr>
          <w:p w14:paraId="546F456C">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058" w:type="dxa"/>
            <w:noWrap w:val="0"/>
            <w:vAlign w:val="center"/>
          </w:tcPr>
          <w:p w14:paraId="59649E33">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1472" w:type="dxa"/>
            <w:tcBorders>
              <w:right w:val="single" w:color="000000" w:sz="10" w:space="0"/>
            </w:tcBorders>
            <w:noWrap w:val="0"/>
            <w:vAlign w:val="center"/>
          </w:tcPr>
          <w:p w14:paraId="541ADD8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r>
      <w:tr w14:paraId="0C03F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44" w:type="dxa"/>
            <w:tcBorders>
              <w:left w:val="single" w:color="000000" w:sz="10" w:space="0"/>
            </w:tcBorders>
            <w:noWrap w:val="0"/>
            <w:vAlign w:val="center"/>
          </w:tcPr>
          <w:p w14:paraId="75D17F52">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p>
        </w:tc>
        <w:tc>
          <w:tcPr>
            <w:tcW w:w="2087" w:type="dxa"/>
            <w:gridSpan w:val="2"/>
            <w:noWrap w:val="0"/>
            <w:vAlign w:val="center"/>
          </w:tcPr>
          <w:p w14:paraId="7E4CEC5B">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448" w:type="dxa"/>
            <w:gridSpan w:val="4"/>
            <w:noWrap w:val="0"/>
            <w:vAlign w:val="center"/>
          </w:tcPr>
          <w:p w14:paraId="66CA49C7">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大写</w:t>
            </w:r>
          </w:p>
        </w:tc>
        <w:tc>
          <w:tcPr>
            <w:tcW w:w="2530" w:type="dxa"/>
            <w:gridSpan w:val="2"/>
            <w:tcBorders>
              <w:right w:val="single" w:color="000000" w:sz="10" w:space="0"/>
            </w:tcBorders>
            <w:noWrap w:val="0"/>
            <w:vAlign w:val="center"/>
          </w:tcPr>
          <w:p w14:paraId="03458CB6">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r>
    </w:tbl>
    <w:p w14:paraId="5A83E6F7">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textAlignment w:val="auto"/>
        <w:rPr>
          <w:rFonts w:hint="eastAsia" w:ascii="宋体" w:hAnsi="宋体"/>
          <w:b/>
          <w:color w:val="000000"/>
          <w:kern w:val="0"/>
          <w:sz w:val="24"/>
          <w:lang w:val="en-US" w:eastAsia="zh-CN"/>
        </w:rPr>
      </w:pPr>
      <w:r>
        <w:rPr>
          <w:rFonts w:hint="eastAsia" w:ascii="宋体" w:hAnsi="宋体" w:cs="宋体"/>
          <w:b w:val="0"/>
          <w:bCs w:val="0"/>
          <w:color w:val="auto"/>
          <w:sz w:val="24"/>
          <w:highlight w:val="none"/>
          <w:lang w:val="en-US" w:eastAsia="zh-CN"/>
        </w:rPr>
        <w:t>2.</w:t>
      </w:r>
      <w:r>
        <w:rPr>
          <w:rFonts w:hint="eastAsia" w:ascii="宋体" w:hAnsi="宋体" w:cs="宋体"/>
          <w:b w:val="0"/>
          <w:bCs w:val="0"/>
          <w:color w:val="auto"/>
          <w:sz w:val="24"/>
          <w:highlight w:val="none"/>
          <w:lang w:eastAsia="zh-CN"/>
        </w:rPr>
        <w:t>数量、金额</w:t>
      </w:r>
      <w:r>
        <w:rPr>
          <w:rFonts w:hint="eastAsia" w:ascii="宋体" w:hAnsi="宋体" w:cs="宋体"/>
          <w:b w:val="0"/>
          <w:bCs w:val="0"/>
          <w:color w:val="auto"/>
          <w:sz w:val="24"/>
          <w:highlight w:val="none"/>
          <w:lang w:val="en-US" w:eastAsia="zh-CN"/>
        </w:rPr>
        <w:t>:</w:t>
      </w:r>
      <w:r>
        <w:rPr>
          <w:rFonts w:hint="eastAsia" w:ascii="宋体" w:hAnsi="宋体" w:eastAsia="宋体" w:cs="宋体"/>
          <w:b w:val="0"/>
          <w:bCs w:val="0"/>
          <w:color w:val="auto"/>
          <w:sz w:val="24"/>
          <w:szCs w:val="24"/>
          <w:highlight w:val="none"/>
        </w:rPr>
        <w:t>具</w:t>
      </w:r>
      <w:r>
        <w:rPr>
          <w:rFonts w:hint="eastAsia" w:ascii="宋体" w:hAnsi="宋体" w:eastAsia="宋体" w:cs="宋体"/>
          <w:color w:val="auto"/>
          <w:sz w:val="24"/>
          <w:szCs w:val="24"/>
          <w:highlight w:val="none"/>
        </w:rPr>
        <w:t>体以双方交货确认数量为准，金额根据单价数量核算为准。</w:t>
      </w:r>
    </w:p>
    <w:p w14:paraId="294253C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72" w:firstLineChars="196"/>
        <w:textAlignment w:val="auto"/>
        <w:rPr>
          <w:rFonts w:hint="eastAsia" w:ascii="宋体" w:hAnsi="宋体"/>
          <w:b/>
          <w:color w:val="000000"/>
          <w:kern w:val="0"/>
          <w:sz w:val="24"/>
        </w:rPr>
      </w:pPr>
      <w:r>
        <w:rPr>
          <w:rFonts w:hint="eastAsia" w:ascii="宋体" w:hAnsi="宋体"/>
          <w:b/>
          <w:color w:val="000000"/>
          <w:kern w:val="0"/>
          <w:sz w:val="24"/>
          <w:lang w:val="en-US" w:eastAsia="zh-CN"/>
        </w:rPr>
        <w:t>第</w:t>
      </w:r>
      <w:r>
        <w:rPr>
          <w:rFonts w:hint="eastAsia" w:ascii="宋体" w:hAnsi="宋体"/>
          <w:b/>
          <w:color w:val="000000"/>
          <w:kern w:val="0"/>
          <w:sz w:val="24"/>
        </w:rPr>
        <w:t>二</w:t>
      </w:r>
      <w:r>
        <w:rPr>
          <w:rFonts w:hint="eastAsia" w:ascii="宋体" w:hAnsi="宋体"/>
          <w:b/>
          <w:color w:val="000000"/>
          <w:kern w:val="0"/>
          <w:sz w:val="24"/>
          <w:lang w:val="en-US" w:eastAsia="zh-CN"/>
        </w:rPr>
        <w:t>条</w:t>
      </w:r>
      <w:r>
        <w:rPr>
          <w:rFonts w:hint="eastAsia" w:ascii="宋体" w:hAnsi="宋体"/>
          <w:b/>
          <w:color w:val="000000"/>
          <w:kern w:val="0"/>
          <w:sz w:val="24"/>
        </w:rPr>
        <w:t>、交货条件：</w:t>
      </w:r>
    </w:p>
    <w:p w14:paraId="15EC40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highlight w:val="none"/>
        </w:rPr>
      </w:pPr>
      <w:r>
        <w:rPr>
          <w:rFonts w:hint="eastAsia" w:ascii="宋体" w:hAnsi="宋体"/>
          <w:sz w:val="24"/>
          <w:highlight w:val="none"/>
        </w:rPr>
        <w:t>（一）交货地点：</w:t>
      </w:r>
      <w:r>
        <w:rPr>
          <w:rFonts w:hint="eastAsia" w:ascii="宋体" w:hAnsi="宋体"/>
          <w:sz w:val="24"/>
          <w:highlight w:val="none"/>
          <w:lang w:val="en-US" w:eastAsia="zh-CN"/>
        </w:rPr>
        <w:t>采购人指定地点。</w:t>
      </w:r>
    </w:p>
    <w:p w14:paraId="31BE46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rPr>
      </w:pPr>
      <w:r>
        <w:rPr>
          <w:rFonts w:hint="eastAsia" w:ascii="宋体" w:hAnsi="宋体"/>
          <w:sz w:val="24"/>
          <w:highlight w:val="none"/>
        </w:rPr>
        <w:t>（二）交货期：</w:t>
      </w:r>
      <w:r>
        <w:rPr>
          <w:rFonts w:hint="eastAsia" w:ascii="宋体" w:hAnsi="宋体"/>
          <w:sz w:val="24"/>
          <w:highlight w:val="none"/>
          <w:lang w:val="en-US" w:eastAsia="zh-CN"/>
        </w:rPr>
        <w:t>采购合同签订后100日内完成</w:t>
      </w:r>
      <w:r>
        <w:rPr>
          <w:rFonts w:hint="eastAsia" w:ascii="宋体" w:hAnsi="宋体"/>
          <w:sz w:val="24"/>
          <w:highlight w:val="none"/>
        </w:rPr>
        <w:t>。</w:t>
      </w:r>
    </w:p>
    <w:p w14:paraId="64DB303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72" w:firstLineChars="196"/>
        <w:textAlignment w:val="auto"/>
        <w:rPr>
          <w:rFonts w:hint="eastAsia" w:ascii="宋体" w:hAnsi="宋体"/>
          <w:b/>
          <w:color w:val="000000"/>
          <w:kern w:val="0"/>
          <w:sz w:val="24"/>
        </w:rPr>
      </w:pPr>
      <w:r>
        <w:rPr>
          <w:rFonts w:hint="eastAsia" w:ascii="宋体" w:hAnsi="宋体"/>
          <w:b/>
          <w:color w:val="000000"/>
          <w:kern w:val="0"/>
          <w:sz w:val="24"/>
          <w:lang w:val="en-US" w:eastAsia="zh-CN"/>
        </w:rPr>
        <w:t>第</w:t>
      </w:r>
      <w:r>
        <w:rPr>
          <w:rFonts w:hint="eastAsia" w:ascii="宋体" w:hAnsi="宋体"/>
          <w:b/>
          <w:color w:val="000000"/>
          <w:kern w:val="0"/>
          <w:sz w:val="24"/>
        </w:rPr>
        <w:t>三</w:t>
      </w:r>
      <w:r>
        <w:rPr>
          <w:rFonts w:hint="eastAsia" w:ascii="宋体" w:hAnsi="宋体"/>
          <w:b/>
          <w:color w:val="000000"/>
          <w:kern w:val="0"/>
          <w:sz w:val="24"/>
          <w:lang w:val="en-US" w:eastAsia="zh-CN"/>
        </w:rPr>
        <w:t>条</w:t>
      </w:r>
      <w:r>
        <w:rPr>
          <w:rFonts w:hint="eastAsia" w:ascii="宋体" w:hAnsi="宋体"/>
          <w:b/>
          <w:color w:val="000000"/>
          <w:kern w:val="0"/>
          <w:sz w:val="24"/>
        </w:rPr>
        <w:t>、合同价款</w:t>
      </w:r>
    </w:p>
    <w:p w14:paraId="68E34D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（一）合同总价款为人民币（大写）</w:t>
      </w:r>
      <w:r>
        <w:rPr>
          <w:rFonts w:hint="eastAsia" w:ascii="宋体" w:hAnsi="宋体"/>
          <w:sz w:val="24"/>
          <w:u w:val="single"/>
        </w:rPr>
        <w:t xml:space="preserve">             </w:t>
      </w:r>
      <w:r>
        <w:rPr>
          <w:rFonts w:hint="eastAsia" w:ascii="宋体" w:hAnsi="宋体"/>
          <w:sz w:val="24"/>
        </w:rPr>
        <w:t>；￥</w:t>
      </w:r>
      <w:r>
        <w:rPr>
          <w:rFonts w:hint="eastAsia" w:ascii="宋体" w:hAnsi="宋体"/>
          <w:sz w:val="24"/>
          <w:u w:val="single"/>
        </w:rPr>
        <w:t xml:space="preserve">      </w:t>
      </w:r>
      <w:r>
        <w:rPr>
          <w:rFonts w:hint="eastAsia" w:ascii="宋体" w:hAnsi="宋体"/>
          <w:sz w:val="24"/>
        </w:rPr>
        <w:t>元。</w:t>
      </w:r>
    </w:p>
    <w:p w14:paraId="5F591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（二）合同总价包括：×××费、×××费、×××费和其他费用。</w:t>
      </w:r>
    </w:p>
    <w:p w14:paraId="7F989E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（三）合同总价一次性包死，不受市场价格变化因素的影响。</w:t>
      </w:r>
    </w:p>
    <w:p w14:paraId="6DE0055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72" w:firstLineChars="196"/>
        <w:textAlignment w:val="auto"/>
        <w:rPr>
          <w:rFonts w:hint="eastAsia" w:ascii="宋体" w:hAnsi="宋体"/>
          <w:b/>
          <w:color w:val="000000"/>
          <w:kern w:val="0"/>
          <w:sz w:val="24"/>
        </w:rPr>
      </w:pPr>
      <w:r>
        <w:rPr>
          <w:rFonts w:hint="eastAsia" w:ascii="宋体" w:hAnsi="宋体"/>
          <w:b/>
          <w:color w:val="000000"/>
          <w:kern w:val="0"/>
          <w:sz w:val="24"/>
          <w:lang w:val="en-US" w:eastAsia="zh-CN"/>
        </w:rPr>
        <w:t>第</w:t>
      </w:r>
      <w:r>
        <w:rPr>
          <w:rFonts w:hint="eastAsia" w:ascii="宋体" w:hAnsi="宋体"/>
          <w:b/>
          <w:color w:val="000000"/>
          <w:kern w:val="0"/>
          <w:sz w:val="24"/>
        </w:rPr>
        <w:t>四</w:t>
      </w:r>
      <w:r>
        <w:rPr>
          <w:rFonts w:hint="eastAsia" w:ascii="宋体" w:hAnsi="宋体"/>
          <w:b/>
          <w:color w:val="000000"/>
          <w:kern w:val="0"/>
          <w:sz w:val="24"/>
          <w:lang w:val="en-US" w:eastAsia="zh-CN"/>
        </w:rPr>
        <w:t>条</w:t>
      </w:r>
      <w:r>
        <w:rPr>
          <w:rFonts w:hint="eastAsia" w:ascii="宋体" w:hAnsi="宋体"/>
          <w:b/>
          <w:color w:val="000000"/>
          <w:kern w:val="0"/>
          <w:sz w:val="24"/>
        </w:rPr>
        <w:t>、款项结算</w:t>
      </w:r>
    </w:p>
    <w:p w14:paraId="081B2118">
      <w:pPr>
        <w:pStyle w:val="7"/>
        <w:keepNext w:val="0"/>
        <w:keepLines w:val="0"/>
        <w:pageBreakBefore w:val="0"/>
        <w:widowControl/>
        <w:wordWrap/>
        <w:overflowPunct/>
        <w:topLinePunct w:val="0"/>
        <w:bidi w:val="0"/>
        <w:spacing w:line="360" w:lineRule="auto"/>
        <w:ind w:firstLine="480" w:firstLineChars="200"/>
        <w:jc w:val="left"/>
        <w:outlineLvl w:val="2"/>
        <w:rPr>
          <w:rFonts w:hint="eastAsia" w:ascii="宋体" w:hAnsi="宋体" w:eastAsia="宋体" w:cs="Times New Roman"/>
          <w:kern w:val="2"/>
          <w:sz w:val="24"/>
          <w:lang w:val="en-US" w:eastAsia="zh-CN" w:bidi="ar-SA"/>
        </w:rPr>
      </w:pPr>
      <w:r>
        <w:rPr>
          <w:rFonts w:hint="eastAsia" w:ascii="宋体" w:hAnsi="宋体" w:eastAsia="宋体" w:cs="Times New Roman"/>
          <w:kern w:val="2"/>
          <w:sz w:val="24"/>
          <w:lang w:val="en-US" w:eastAsia="zh-CN" w:bidi="ar-SA"/>
        </w:rPr>
        <w:t>（一）合同签订后，甲方向乙方支付合同总价的20%；设备运抵甲方指定地点现场安装调试完成并经甲方初步验收合格后，支付合同总金额的35.00%；最终验收合格之后，支付合同总金额的40.00%；剩余合同总价款的5%质保期满无遗留问题后，在无索赔争议的情况下支付乙方。</w:t>
      </w:r>
      <w:r>
        <w:rPr>
          <w:rFonts w:hint="eastAsia" w:ascii="宋体" w:hAnsi="宋体" w:eastAsia="宋体" w:cs="Times New Roman"/>
          <w:kern w:val="2"/>
          <w:sz w:val="24"/>
          <w:lang w:val="en-US" w:eastAsia="zh-CN" w:bidi="ar-SA"/>
        </w:rPr>
        <w:t>乙方应在每次甲方付款前，向甲方开具合法有效的发票。</w:t>
      </w:r>
    </w:p>
    <w:p w14:paraId="6E49F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color w:val="000000"/>
          <w:kern w:val="0"/>
          <w:sz w:val="24"/>
        </w:rPr>
        <w:t>（二）</w:t>
      </w:r>
      <w:r>
        <w:rPr>
          <w:rFonts w:hint="eastAsia" w:ascii="宋体" w:hAnsi="宋体"/>
          <w:sz w:val="24"/>
        </w:rPr>
        <w:t>支付方式：银行转账。</w:t>
      </w:r>
      <w:bookmarkStart w:id="0" w:name="_GoBack"/>
      <w:bookmarkEnd w:id="0"/>
    </w:p>
    <w:p w14:paraId="221D3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kern w:val="0"/>
          <w:sz w:val="24"/>
        </w:rPr>
      </w:pPr>
      <w:r>
        <w:rPr>
          <w:rFonts w:hint="eastAsia" w:ascii="宋体" w:hAnsi="宋体"/>
          <w:color w:val="000000"/>
          <w:kern w:val="0"/>
          <w:sz w:val="24"/>
        </w:rPr>
        <w:t>（三）</w:t>
      </w:r>
      <w:r>
        <w:rPr>
          <w:rFonts w:hint="eastAsia" w:ascii="宋体" w:hAnsi="宋体"/>
          <w:sz w:val="24"/>
        </w:rPr>
        <w:t>结算方式：每次付款前乙方向甲方提供合法有效的</w:t>
      </w:r>
      <w:r>
        <w:rPr>
          <w:rFonts w:hint="eastAsia" w:ascii="宋体" w:hAnsi="宋体"/>
          <w:color w:val="000000"/>
          <w:kern w:val="0"/>
          <w:sz w:val="24"/>
          <w:lang w:val="en-US" w:eastAsia="zh-CN"/>
        </w:rPr>
        <w:t>全额增值税</w:t>
      </w:r>
      <w:r>
        <w:rPr>
          <w:rFonts w:hint="eastAsia" w:ascii="宋体" w:hAnsi="宋体"/>
          <w:sz w:val="24"/>
        </w:rPr>
        <w:t>发票。乙方持成交通知书、</w:t>
      </w:r>
      <w:r>
        <w:rPr>
          <w:rFonts w:hint="eastAsia" w:ascii="宋体" w:hAnsi="宋体"/>
          <w:sz w:val="24"/>
          <w:lang w:val="en-US" w:eastAsia="zh-CN"/>
        </w:rPr>
        <w:t>供货</w:t>
      </w:r>
      <w:r>
        <w:rPr>
          <w:rFonts w:hint="eastAsia" w:ascii="宋体" w:hAnsi="宋体"/>
          <w:sz w:val="24"/>
        </w:rPr>
        <w:t>合同、发票，与甲方结算。</w:t>
      </w:r>
    </w:p>
    <w:p w14:paraId="20A6FC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权利保证</w:t>
      </w:r>
    </w:p>
    <w:p w14:paraId="6E4F3B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1、乙方保证对其出售的货物享有合法的权利。</w:t>
      </w:r>
    </w:p>
    <w:p w14:paraId="6CC0B7BC">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2、乙方保证对其出售的货物上不存在任何未曾向甲方透露的担保物权，如抵押权、质押权、留置权。</w:t>
      </w:r>
    </w:p>
    <w:p w14:paraId="6BA3231C">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3、乙方保证对其出售的货物或其任何一部分没有侵犯第三方的专利权、版权、 商标权或其他权利。</w:t>
      </w:r>
    </w:p>
    <w:p w14:paraId="4069B932">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4、如甲方在使用该货物构成上述侵权的，则由乙方承担全部责任。</w:t>
      </w:r>
    </w:p>
    <w:p w14:paraId="6AE70E52">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第六条</w:t>
      </w:r>
      <w:r>
        <w:rPr>
          <w:rFonts w:hint="eastAsia" w:ascii="宋体" w:hAnsi="宋体" w:cs="宋体"/>
          <w:b/>
          <w:bCs/>
          <w:color w:val="auto"/>
          <w:sz w:val="24"/>
          <w:szCs w:val="24"/>
          <w:highlight w:val="none"/>
        </w:rPr>
        <w:t>、合同当事人的权利和义务</w:t>
      </w:r>
    </w:p>
    <w:p w14:paraId="1C5F0ED3">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本合同下交付的产品必须等同或优于本项目</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《采购内容及技术要求》所述的标准。若乙方在其</w:t>
      </w:r>
      <w:r>
        <w:rPr>
          <w:rFonts w:hint="eastAsia" w:ascii="宋体" w:hAnsi="宋体" w:cs="宋体"/>
          <w:color w:val="auto"/>
          <w:sz w:val="24"/>
          <w:szCs w:val="24"/>
          <w:highlight w:val="none"/>
          <w:lang w:eastAsia="zh-CN"/>
        </w:rPr>
        <w:t>响应文件</w:t>
      </w:r>
      <w:r>
        <w:rPr>
          <w:rFonts w:hint="eastAsia" w:ascii="宋体" w:hAnsi="宋体" w:cs="宋体"/>
          <w:color w:val="auto"/>
          <w:sz w:val="24"/>
          <w:szCs w:val="24"/>
          <w:highlight w:val="none"/>
        </w:rPr>
        <w:t>中承诺的技术标准优于本项目</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《采购内容及技术要求》所述标准的，按</w:t>
      </w:r>
      <w:r>
        <w:rPr>
          <w:rFonts w:hint="eastAsia" w:ascii="宋体" w:hAnsi="宋体" w:cs="宋体"/>
          <w:color w:val="auto"/>
          <w:sz w:val="24"/>
          <w:szCs w:val="24"/>
          <w:highlight w:val="none"/>
          <w:lang w:eastAsia="zh-CN"/>
        </w:rPr>
        <w:t>响应文件</w:t>
      </w:r>
      <w:r>
        <w:rPr>
          <w:rFonts w:hint="eastAsia" w:ascii="宋体" w:hAnsi="宋体" w:cs="宋体"/>
          <w:color w:val="auto"/>
          <w:sz w:val="24"/>
          <w:szCs w:val="24"/>
          <w:highlight w:val="none"/>
        </w:rPr>
        <w:t>的承诺执行。</w:t>
      </w:r>
    </w:p>
    <w:p w14:paraId="79534B5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甲方有权通知乙方在其指定地点对货物进行检验、测试，以确认货物是否符合合同约定的质量标准，检验测试的相关费用由乙方承担。</w:t>
      </w:r>
    </w:p>
    <w:p w14:paraId="111EE989">
      <w:pPr>
        <w:keepNext w:val="0"/>
        <w:keepLines w:val="0"/>
        <w:pageBreakBefore w:val="0"/>
        <w:widowControl w:val="0"/>
        <w:kinsoku/>
        <w:wordWrap/>
        <w:overflowPunct/>
        <w:topLinePunct w:val="0"/>
        <w:autoSpaceDE/>
        <w:autoSpaceDN/>
        <w:bidi w:val="0"/>
        <w:adjustRightInd/>
        <w:snapToGrid/>
        <w:spacing w:line="384" w:lineRule="auto"/>
        <w:ind w:firstLine="240" w:firstLineChars="100"/>
        <w:textAlignment w:val="auto"/>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 xml:space="preserve"> </w:t>
      </w:r>
      <w:r>
        <w:rPr>
          <w:rFonts w:ascii="宋体" w:hAnsi="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检验和测试在甲方指定的交货地点进行。</w:t>
      </w:r>
    </w:p>
    <w:p w14:paraId="6A8656CA">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如果任何被检验或测试的货物不能满足</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及合同的要求，甲方可以拒绝接受该货物，乙方应更换被拒绝的货物，或者免费进行必要的修改以满足规格的要求。</w:t>
      </w:r>
    </w:p>
    <w:p w14:paraId="499B6D6F">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在交货前，乙方应让生产商对货物的质量、规格、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934DD7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如果在货物使用寿命期内，根据检验结果，发现货物的质量或规格与合同要求不符，或被证实有缺陷，包含潜在的缺陷或使用不合适的材料，甲方应向乙方提出索赔。</w:t>
      </w:r>
    </w:p>
    <w:p w14:paraId="6969E84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乙方负责货物到达交货地点前的所有包装、运输、装卸及保险事项，相关费用应包括在合同总价中。</w:t>
      </w:r>
    </w:p>
    <w:p w14:paraId="65C77D42">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应提供货物运至合同规定的最终目的地所需要的包装，以防止货物在运转中损坏。这类包装应采取防漏、防晒、防震动及防止其它损坏的必要保护措施。乙方应承担由于其包装或其防护措施不妥而引起货物损坏和丢失的任何损失责任和费用。</w:t>
      </w:r>
    </w:p>
    <w:p w14:paraId="38C06DDF">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货物的运输方式由乙方自行选择，但包装必须满足货物运输和装卸的要求，保证甲方收到的是无任何损伤的货物。否则，因此造成的损失由乙方自行承担。</w:t>
      </w:r>
    </w:p>
    <w:p w14:paraId="756CB25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10</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乙方应提供本项目</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“商务条款”和“技术规格与要求”中规定的所有服务。为履行要求的伴随服务的报价或双方商定的费用应包括在合同价中。</w:t>
      </w:r>
    </w:p>
    <w:p w14:paraId="393DC5F9">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11</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如果乙方或生产厂提供的伴随服务的费用未含在货物的合同价中，双方应事先就其达成协议，但其费用单价不应超过乙方向其他人提供类似服务所收取的现行单价。</w:t>
      </w:r>
    </w:p>
    <w:p w14:paraId="709D75CC">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12</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应保证合同项下所供货物是合同规定厂家制造的、全新的、未使用过的，并完全符合合同规定的质量、规格和性能要求的合格货物。在货物的质量保证期内，乙方对由于设计、工艺或材料的缺陷而产生的质量问题负责。</w:t>
      </w:r>
    </w:p>
    <w:p w14:paraId="4D81E6F3">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根据检验结果或者在质量保证期内，如果货物的数量、质量或规格与合同不符，或证实货物是有缺陷的，包括潜在的缺陷，甲方应尽快以书面形式向乙方提出所发现的缺陷。</w:t>
      </w:r>
    </w:p>
    <w:p w14:paraId="5FC2C456">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14</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乙方收到通知后应在</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规定的时间内以合理的速度免费维修或更换有缺陷的货物。</w:t>
      </w:r>
    </w:p>
    <w:p w14:paraId="21671E79">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15</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如果乙方收到通知后在</w:t>
      </w:r>
      <w:r>
        <w:rPr>
          <w:rFonts w:hint="eastAsia" w:ascii="宋体" w:hAnsi="宋体" w:cs="宋体"/>
          <w:color w:val="auto"/>
          <w:sz w:val="24"/>
          <w:szCs w:val="24"/>
          <w:highlight w:val="none"/>
          <w:lang w:eastAsia="zh-CN"/>
        </w:rPr>
        <w:t>采购文件</w:t>
      </w:r>
      <w:r>
        <w:rPr>
          <w:rFonts w:hint="eastAsia" w:ascii="宋体" w:hAnsi="宋体" w:cs="宋体"/>
          <w:color w:val="auto"/>
          <w:sz w:val="24"/>
          <w:szCs w:val="24"/>
          <w:highlight w:val="none"/>
        </w:rPr>
        <w:t>规定的时间内没有及时修补缺陷，甲方可提出索赔，并可采取必要的补救措施，但其风险和费用将由乙方承担，甲方根据合同规定对乙方行使的其他权力不受影响。</w:t>
      </w:r>
    </w:p>
    <w:p w14:paraId="43C3AA9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16</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如果乙方对偏差负有责任，而甲方在验收和质量保证期内提出了索赔，乙方应按照甲方同意的下列一种或几种方式结合起来解决索赔事宜：</w:t>
      </w:r>
    </w:p>
    <w:p w14:paraId="7DC4998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）乙方同意退货并用合同规定的货币将货款退还给甲方，并承担由此发生的一切损失和费用，包括利息、银行手续费、运费、保险费、检验费、仓储费、装卸费以及为看管和保护退回货物所需的其它必要费用。</w:t>
      </w:r>
    </w:p>
    <w:p w14:paraId="683AE20A">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）根据货物的偏差情况、损坏程度、以及甲方所遭受损失的金额，经甲乙双方商定降低货物的价格。</w:t>
      </w:r>
    </w:p>
    <w:p w14:paraId="524B583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）用符合合同规定的规格、质量和性能要求的货物来更换有缺陷的部分和</w:t>
      </w:r>
      <w:r>
        <w:rPr>
          <w:rFonts w:ascii="宋体" w:hAnsi="宋体" w:cs="宋体"/>
          <w:color w:val="auto"/>
          <w:sz w:val="24"/>
          <w:szCs w:val="24"/>
          <w:highlight w:val="none"/>
        </w:rPr>
        <w:t>/</w:t>
      </w:r>
      <w:r>
        <w:rPr>
          <w:rFonts w:hint="eastAsia" w:ascii="宋体" w:hAnsi="宋体" w:cs="宋体"/>
          <w:color w:val="auto"/>
          <w:sz w:val="24"/>
          <w:szCs w:val="24"/>
          <w:highlight w:val="none"/>
        </w:rPr>
        <w:t>或修补缺陷部分，乙方应承担一切费用和风险并负担甲方蒙受的全部直接损失费用。</w:t>
      </w:r>
    </w:p>
    <w:p w14:paraId="5D024D7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17</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如果在甲方发出索赔通知后三十（</w:t>
      </w:r>
      <w:r>
        <w:rPr>
          <w:rFonts w:ascii="宋体" w:hAnsi="宋体" w:cs="宋体"/>
          <w:color w:val="auto"/>
          <w:sz w:val="24"/>
          <w:szCs w:val="24"/>
          <w:highlight w:val="none"/>
        </w:rPr>
        <w:t>30</w:t>
      </w:r>
      <w:r>
        <w:rPr>
          <w:rFonts w:hint="eastAsia" w:ascii="宋体" w:hAnsi="宋体" w:cs="宋体"/>
          <w:color w:val="auto"/>
          <w:sz w:val="24"/>
          <w:szCs w:val="24"/>
          <w:highlight w:val="none"/>
        </w:rPr>
        <w:t>）天内，乙方未作答复，上述索赔应视为已被乙方接受。如乙方未能在甲方发出索赔通知后三十（</w:t>
      </w:r>
      <w:r>
        <w:rPr>
          <w:rFonts w:ascii="宋体" w:hAnsi="宋体" w:cs="宋体"/>
          <w:color w:val="auto"/>
          <w:sz w:val="24"/>
          <w:szCs w:val="24"/>
          <w:highlight w:val="none"/>
        </w:rPr>
        <w:t>30</w:t>
      </w:r>
      <w:r>
        <w:rPr>
          <w:rFonts w:hint="eastAsia" w:ascii="宋体" w:hAnsi="宋体" w:cs="宋体"/>
          <w:color w:val="auto"/>
          <w:sz w:val="24"/>
          <w:szCs w:val="24"/>
          <w:highlight w:val="none"/>
        </w:rPr>
        <w:t>）天内或甲方同意的延长期限内，按照甲方同意的上述规定的任何一种方法解决索赔事宜，甲方将从未付货款或从乙方交纳的履约保函中扣回索赔金额。若索赔金额超过未付货款或履约保函的，乙方必须用已收货款进行弥补。</w:t>
      </w:r>
    </w:p>
    <w:p w14:paraId="384A95B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18</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延期应通过修改合同的方式由双方认可。</w:t>
      </w:r>
    </w:p>
    <w:p w14:paraId="58775AA0">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val="en-US" w:eastAsia="zh-CN"/>
        </w:rPr>
        <w:t>第七条</w:t>
      </w:r>
      <w:r>
        <w:rPr>
          <w:rFonts w:hint="eastAsia" w:ascii="宋体" w:hAnsi="宋体" w:cs="宋体"/>
          <w:b/>
          <w:bCs/>
          <w:color w:val="auto"/>
          <w:sz w:val="24"/>
          <w:szCs w:val="24"/>
          <w:highlight w:val="none"/>
        </w:rPr>
        <w:t>、售后服务</w:t>
      </w:r>
    </w:p>
    <w:p w14:paraId="79CD171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1.合同后</w:t>
      </w:r>
      <w:r>
        <w:rPr>
          <w:rFonts w:hint="eastAsia" w:ascii="宋体" w:hAnsi="宋体" w:eastAsia="宋体" w:cs="宋体"/>
          <w:color w:val="auto"/>
          <w:sz w:val="24"/>
          <w:szCs w:val="24"/>
          <w:highlight w:val="none"/>
        </w:rPr>
        <w:t>附成交人售后服务承诺</w:t>
      </w:r>
    </w:p>
    <w:p w14:paraId="724CD1E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同一主要部件出现质量问题经过两次维修后仍无法正常使用，可以更换同型号、同规格的产品；</w:t>
      </w:r>
    </w:p>
    <w:p w14:paraId="531D516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30天内，如出现质量问题，可以选择换货或退货；</w:t>
      </w:r>
    </w:p>
    <w:p w14:paraId="5DE87CCD">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30天至60天内，如出现质量问题，可选择换货。</w:t>
      </w:r>
    </w:p>
    <w:p w14:paraId="20183904">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发生质量问题，接到采购人通知后：</w:t>
      </w:r>
    </w:p>
    <w:p w14:paraId="1B28CE2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（1）服务响应时间不超过2小时，明确解决问题方案不超过2小时；</w:t>
      </w:r>
    </w:p>
    <w:p w14:paraId="10DD3EAA">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（2）应于当日2小时内派出专业的维修人员到现场进行检测维修，发生的全部费用由成交供应商承担，若需送回生产厂家，成交供应商承担往返费用；</w:t>
      </w:r>
    </w:p>
    <w:p w14:paraId="006A75D0">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（3）排除故障的期限不得超过2个工作日，否则采购人有权指定第三方维修，维修费用由成交供应商承担。</w:t>
      </w:r>
    </w:p>
    <w:p w14:paraId="429C2D40">
      <w:pPr>
        <w:keepNext w:val="0"/>
        <w:keepLines w:val="0"/>
        <w:pageBreakBefore w:val="0"/>
        <w:widowControl w:val="0"/>
        <w:kinsoku/>
        <w:wordWrap/>
        <w:overflowPunct/>
        <w:topLinePunct w:val="0"/>
        <w:autoSpaceDE/>
        <w:autoSpaceDN/>
        <w:bidi w:val="0"/>
        <w:adjustRightInd/>
        <w:snapToGrid/>
        <w:spacing w:line="384" w:lineRule="auto"/>
        <w:textAlignment w:val="auto"/>
        <w:rPr>
          <w:rFonts w:ascii="宋体" w:cs="宋体"/>
          <w:b/>
          <w:bCs/>
          <w:color w:val="auto"/>
          <w:sz w:val="24"/>
          <w:szCs w:val="24"/>
          <w:highlight w:val="none"/>
        </w:rPr>
      </w:pPr>
      <w:r>
        <w:rPr>
          <w:rFonts w:hint="eastAsia" w:ascii="宋体" w:hAnsi="宋体" w:cs="宋体"/>
          <w:b/>
          <w:bCs/>
          <w:color w:val="auto"/>
          <w:sz w:val="24"/>
          <w:szCs w:val="24"/>
          <w:highlight w:val="none"/>
          <w:lang w:eastAsia="zh-CN"/>
        </w:rPr>
        <w:t>第八条</w:t>
      </w:r>
      <w:r>
        <w:rPr>
          <w:rFonts w:hint="eastAsia" w:ascii="宋体" w:hAnsi="宋体" w:cs="宋体"/>
          <w:b/>
          <w:bCs/>
          <w:color w:val="auto"/>
          <w:sz w:val="24"/>
          <w:szCs w:val="24"/>
          <w:highlight w:val="none"/>
        </w:rPr>
        <w:t>、质量保证</w:t>
      </w:r>
    </w:p>
    <w:p w14:paraId="68382F38">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质量保证</w:t>
      </w:r>
      <w:r>
        <w:rPr>
          <w:rFonts w:hint="eastAsia" w:ascii="宋体" w:hAnsi="宋体" w:eastAsia="宋体" w:cs="宋体"/>
          <w:color w:val="auto"/>
          <w:sz w:val="24"/>
          <w:szCs w:val="24"/>
          <w:highlight w:val="none"/>
        </w:rPr>
        <w:t>期为终验合格之日起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2 </w:t>
      </w:r>
      <w:r>
        <w:rPr>
          <w:rFonts w:hint="eastAsia" w:ascii="宋体" w:hAnsi="宋体" w:cs="宋体"/>
          <w:color w:val="auto"/>
          <w:sz w:val="24"/>
          <w:szCs w:val="24"/>
          <w:highlight w:val="none"/>
          <w:u w:val="none"/>
          <w:lang w:val="en-US" w:eastAsia="zh-CN"/>
        </w:rPr>
        <w:t>年</w:t>
      </w:r>
      <w:r>
        <w:rPr>
          <w:rFonts w:hint="eastAsia" w:ascii="宋体" w:hAnsi="宋体" w:eastAsia="宋体" w:cs="宋体"/>
          <w:color w:val="auto"/>
          <w:sz w:val="24"/>
          <w:szCs w:val="24"/>
          <w:highlight w:val="none"/>
        </w:rPr>
        <w:t>。</w:t>
      </w:r>
    </w:p>
    <w:p w14:paraId="41FBE9F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应保证合同项下所供货物是合同规定厂家制造的、全新的、未使用过的，并完全符合合同规定的质量、规格和性能要求的合格产品。乙方应保证其货物在正常使用和保养条件下，在其使用寿命期内应具有满意的性能。在货物的质量保证期内，乙方对由于设计、工艺或材料的缺陷而产生的故障负责。</w:t>
      </w:r>
    </w:p>
    <w:p w14:paraId="244DBBF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根据检验结果或者在质量保证期内，如果货物的数量、质量或规格与合同不符，或证实货物是有缺陷的，包括潜在的缺陷，甲方应尽快以书面形式向乙方提出所发现的缺陷。</w:t>
      </w:r>
    </w:p>
    <w:p w14:paraId="29B41CDD">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乙方收到通知后应在谈判文件规定的时间内以合理的速度免费维修或更换有缺陷的货物或部件。</w:t>
      </w:r>
    </w:p>
    <w:p w14:paraId="12C2A4B5">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如果乙方收到通知后在谈判文件规定的时间内没有及时修补缺陷，甲方可提出索赔，并可采取必要的补救措施，但其风险和费用将由乙方承担，甲方根据合同规定对乙方行使的其他权力不受影响。</w:t>
      </w:r>
    </w:p>
    <w:p w14:paraId="657223BC">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第九条</w:t>
      </w:r>
      <w:r>
        <w:rPr>
          <w:rFonts w:hint="eastAsia" w:ascii="宋体" w:hAnsi="宋体" w:eastAsia="宋体" w:cs="宋体"/>
          <w:b/>
          <w:bCs/>
          <w:color w:val="auto"/>
          <w:sz w:val="24"/>
          <w:szCs w:val="24"/>
          <w:highlight w:val="none"/>
        </w:rPr>
        <w:t>、违约责任及赔偿损失的计算办法</w:t>
      </w:r>
    </w:p>
    <w:p w14:paraId="7E201930">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如乙方事先未征得甲方书面同意而单方面延迟完成项目的，每逾期一日按照合同总价款的万分之五承担违约责任；乙方逾期累计</w:t>
      </w:r>
      <w:r>
        <w:rPr>
          <w:rFonts w:ascii="宋体" w:hAnsi="宋体"/>
          <w:color w:val="auto"/>
          <w:sz w:val="24"/>
          <w:szCs w:val="24"/>
          <w:highlight w:val="none"/>
        </w:rPr>
        <w:t>15</w:t>
      </w:r>
      <w:r>
        <w:rPr>
          <w:rFonts w:hint="eastAsia" w:ascii="宋体" w:hAnsi="宋体"/>
          <w:color w:val="auto"/>
          <w:sz w:val="24"/>
          <w:szCs w:val="24"/>
          <w:highlight w:val="none"/>
        </w:rPr>
        <w:t>天以上的，甲方有权解除合同</w:t>
      </w:r>
      <w:r>
        <w:rPr>
          <w:rFonts w:ascii="宋体"/>
          <w:color w:val="auto"/>
          <w:sz w:val="24"/>
          <w:szCs w:val="24"/>
          <w:highlight w:val="none"/>
        </w:rPr>
        <w:t>,</w:t>
      </w:r>
      <w:r>
        <w:rPr>
          <w:rFonts w:hint="eastAsia" w:ascii="宋体" w:hAnsi="宋体"/>
          <w:color w:val="auto"/>
          <w:sz w:val="24"/>
          <w:szCs w:val="24"/>
          <w:highlight w:val="none"/>
        </w:rPr>
        <w:t>乙方应承担合同总价款</w:t>
      </w:r>
      <w:r>
        <w:rPr>
          <w:rFonts w:ascii="宋体" w:hAnsi="宋体"/>
          <w:color w:val="auto"/>
          <w:sz w:val="24"/>
          <w:szCs w:val="24"/>
          <w:highlight w:val="none"/>
        </w:rPr>
        <w:t>30%</w:t>
      </w:r>
      <w:r>
        <w:rPr>
          <w:rFonts w:hint="eastAsia" w:ascii="宋体" w:hAnsi="宋体"/>
          <w:color w:val="auto"/>
          <w:sz w:val="24"/>
          <w:szCs w:val="24"/>
          <w:highlight w:val="none"/>
        </w:rPr>
        <w:t>的违约金，对甲方造成损失的，乙方应承担赔偿责任（包括但不限于实际损失、可预期损失及律师费）。</w:t>
      </w:r>
    </w:p>
    <w:p w14:paraId="65464FA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lang w:val="en-US" w:eastAsia="zh-CN"/>
        </w:rPr>
        <w:t>.</w:t>
      </w:r>
      <w:r>
        <w:rPr>
          <w:rFonts w:hint="eastAsia" w:ascii="宋体" w:hAnsi="宋体"/>
          <w:color w:val="auto"/>
          <w:sz w:val="24"/>
          <w:szCs w:val="24"/>
          <w:highlight w:val="none"/>
        </w:rPr>
        <w:t>乙方所供主要硬件或软件不符合</w:t>
      </w:r>
      <w:r>
        <w:rPr>
          <w:rFonts w:hint="eastAsia" w:ascii="宋体" w:hAnsi="宋体"/>
          <w:color w:val="auto"/>
          <w:sz w:val="24"/>
          <w:szCs w:val="24"/>
          <w:highlight w:val="none"/>
          <w:lang w:eastAsia="zh-CN"/>
        </w:rPr>
        <w:t>采购文件</w:t>
      </w:r>
      <w:r>
        <w:rPr>
          <w:rFonts w:hint="eastAsia" w:ascii="宋体" w:hAnsi="宋体"/>
          <w:color w:val="auto"/>
          <w:sz w:val="24"/>
          <w:szCs w:val="24"/>
          <w:highlight w:val="none"/>
        </w:rPr>
        <w:t>规定或不合格的或本项目不能通过验收的，甲方有权解除合同，同时甲方有权扣除</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，并要求其承担合同总价款</w:t>
      </w:r>
      <w:r>
        <w:rPr>
          <w:rFonts w:ascii="宋体" w:hAnsi="宋体"/>
          <w:color w:val="auto"/>
          <w:sz w:val="24"/>
          <w:szCs w:val="24"/>
          <w:highlight w:val="none"/>
        </w:rPr>
        <w:t>30%</w:t>
      </w:r>
      <w:r>
        <w:rPr>
          <w:rFonts w:hint="eastAsia" w:ascii="宋体" w:hAnsi="宋体"/>
          <w:color w:val="auto"/>
          <w:sz w:val="24"/>
          <w:szCs w:val="24"/>
          <w:highlight w:val="none"/>
        </w:rPr>
        <w:t>的违约金，对甲方造成损失的，乙方应承担赔偿责任（包括但不限于实际损失、可预期损失及律师费）。</w:t>
      </w:r>
    </w:p>
    <w:p w14:paraId="5EBDD09D">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3</w:t>
      </w:r>
      <w:r>
        <w:rPr>
          <w:rFonts w:hint="eastAsia" w:ascii="宋体" w:hAnsi="宋体"/>
          <w:color w:val="auto"/>
          <w:sz w:val="24"/>
          <w:szCs w:val="24"/>
          <w:highlight w:val="none"/>
          <w:lang w:val="en-US" w:eastAsia="zh-CN"/>
        </w:rPr>
        <w:t>.</w:t>
      </w:r>
      <w:r>
        <w:rPr>
          <w:rFonts w:hint="eastAsia" w:ascii="宋体" w:hAnsi="宋体"/>
          <w:color w:val="auto"/>
          <w:sz w:val="24"/>
          <w:szCs w:val="24"/>
          <w:highlight w:val="none"/>
        </w:rPr>
        <w:t>部分产品不合格的，甲方有权要求乙方在指定期间内免费更换，乙方拒不更换的，甲方有权自行或委托第三方购买设备，但产品供应费、运输费等全部费用由乙方承担。上述费用从</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中扣除，不足部分由乙方承担。同时乙方应在三日内补足</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w:t>
      </w:r>
    </w:p>
    <w:p w14:paraId="3D99F72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4</w:t>
      </w:r>
      <w:r>
        <w:rPr>
          <w:rFonts w:hint="eastAsia" w:ascii="宋体" w:hAnsi="宋体"/>
          <w:color w:val="auto"/>
          <w:sz w:val="24"/>
          <w:szCs w:val="24"/>
          <w:highlight w:val="none"/>
        </w:rPr>
        <w:t>．质保期内乙方未按照</w:t>
      </w:r>
      <w:r>
        <w:rPr>
          <w:rFonts w:hint="eastAsia" w:ascii="宋体" w:hAnsi="宋体"/>
          <w:color w:val="auto"/>
          <w:sz w:val="24"/>
          <w:szCs w:val="24"/>
          <w:highlight w:val="none"/>
          <w:lang w:eastAsia="zh-CN"/>
        </w:rPr>
        <w:t>采购文件</w:t>
      </w:r>
      <w:r>
        <w:rPr>
          <w:rFonts w:hint="eastAsia" w:ascii="宋体" w:hAnsi="宋体"/>
          <w:color w:val="auto"/>
          <w:sz w:val="24"/>
          <w:szCs w:val="24"/>
          <w:highlight w:val="none"/>
        </w:rPr>
        <w:t>、</w:t>
      </w:r>
      <w:r>
        <w:rPr>
          <w:rFonts w:hint="eastAsia" w:ascii="宋体" w:hAnsi="宋体"/>
          <w:color w:val="auto"/>
          <w:sz w:val="24"/>
          <w:szCs w:val="24"/>
          <w:highlight w:val="none"/>
          <w:lang w:eastAsia="zh-CN"/>
        </w:rPr>
        <w:t>响应文件</w:t>
      </w:r>
      <w:r>
        <w:rPr>
          <w:rFonts w:hint="eastAsia" w:ascii="宋体" w:hAnsi="宋体"/>
          <w:color w:val="auto"/>
          <w:sz w:val="24"/>
          <w:szCs w:val="24"/>
          <w:highlight w:val="none"/>
        </w:rPr>
        <w:t>规定及合同约定提供维保服务的，甲方有权指定第三方提供维保服务，但第三方维修费、交通费、人工费等全部费用由乙方承担。上述相关费用从</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中扣除，</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不足的，乙方应在三日内补足</w:t>
      </w:r>
      <w:r>
        <w:rPr>
          <w:rFonts w:hint="eastAsia" w:ascii="宋体" w:hAnsi="宋体" w:cs="宋体"/>
          <w:color w:val="auto"/>
          <w:sz w:val="24"/>
          <w:szCs w:val="24"/>
          <w:highlight w:val="none"/>
        </w:rPr>
        <w:t>履约保函</w:t>
      </w:r>
      <w:r>
        <w:rPr>
          <w:rFonts w:hint="eastAsia" w:ascii="宋体" w:hAnsi="宋体"/>
          <w:color w:val="auto"/>
          <w:sz w:val="24"/>
          <w:szCs w:val="24"/>
          <w:highlight w:val="none"/>
        </w:rPr>
        <w:t>并承担合同总价款</w:t>
      </w:r>
      <w:r>
        <w:rPr>
          <w:rFonts w:ascii="宋体" w:hAnsi="宋体"/>
          <w:color w:val="auto"/>
          <w:sz w:val="24"/>
          <w:szCs w:val="24"/>
          <w:highlight w:val="none"/>
        </w:rPr>
        <w:t>30%</w:t>
      </w:r>
      <w:r>
        <w:rPr>
          <w:rFonts w:hint="eastAsia" w:ascii="宋体" w:hAnsi="宋体"/>
          <w:color w:val="auto"/>
          <w:sz w:val="24"/>
          <w:szCs w:val="24"/>
          <w:highlight w:val="none"/>
        </w:rPr>
        <w:t>的违约金。</w:t>
      </w:r>
    </w:p>
    <w:p w14:paraId="1913C83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5</w:t>
      </w:r>
      <w:r>
        <w:rPr>
          <w:rFonts w:hint="eastAsia" w:ascii="宋体" w:hAnsi="宋体"/>
          <w:color w:val="auto"/>
          <w:sz w:val="24"/>
          <w:szCs w:val="24"/>
          <w:highlight w:val="none"/>
        </w:rPr>
        <w:t>．因乙方提供的硬件、软件等服务侵害他人权利，乙方应承担全部赔偿责任，甲方有权解除合同</w:t>
      </w:r>
      <w:r>
        <w:rPr>
          <w:rFonts w:ascii="宋体" w:hAnsi="宋体"/>
          <w:color w:val="auto"/>
          <w:sz w:val="24"/>
          <w:szCs w:val="24"/>
          <w:highlight w:val="none"/>
        </w:rPr>
        <w:t xml:space="preserve">, </w:t>
      </w:r>
      <w:r>
        <w:rPr>
          <w:rFonts w:hint="eastAsia" w:ascii="宋体" w:hAnsi="宋体"/>
          <w:color w:val="auto"/>
          <w:sz w:val="24"/>
          <w:szCs w:val="24"/>
          <w:highlight w:val="none"/>
        </w:rPr>
        <w:t>乙方应承担合同总价款</w:t>
      </w:r>
      <w:r>
        <w:rPr>
          <w:rFonts w:ascii="宋体" w:hAnsi="宋体"/>
          <w:color w:val="auto"/>
          <w:sz w:val="24"/>
          <w:szCs w:val="24"/>
          <w:highlight w:val="none"/>
        </w:rPr>
        <w:t>30%</w:t>
      </w:r>
      <w:r>
        <w:rPr>
          <w:rFonts w:hint="eastAsia" w:ascii="宋体" w:hAnsi="宋体"/>
          <w:color w:val="auto"/>
          <w:sz w:val="24"/>
          <w:szCs w:val="24"/>
          <w:highlight w:val="none"/>
        </w:rPr>
        <w:t>的违约金，对甲方造成损失的，乙方应承担赔偿责任（包括但不限于实际损失、可预期损失及律师费）。</w:t>
      </w:r>
    </w:p>
    <w:p w14:paraId="6A1DCB98">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6</w:t>
      </w:r>
      <w:r>
        <w:rPr>
          <w:rFonts w:hint="eastAsia" w:ascii="宋体" w:hAnsi="宋体"/>
          <w:color w:val="auto"/>
          <w:sz w:val="24"/>
          <w:szCs w:val="24"/>
          <w:highlight w:val="none"/>
        </w:rPr>
        <w:t>．乙方在提供服务过程中造成他人损害的，由乙方承担全部责任。</w:t>
      </w:r>
    </w:p>
    <w:p w14:paraId="50AEBCF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7</w:t>
      </w:r>
      <w:r>
        <w:rPr>
          <w:rFonts w:hint="eastAsia" w:ascii="宋体" w:hAnsi="宋体"/>
          <w:color w:val="auto"/>
          <w:sz w:val="24"/>
          <w:szCs w:val="24"/>
          <w:highlight w:val="none"/>
        </w:rPr>
        <w:t>．因乙方的原因，合同无法履行的，甲方有权解除合同，乙方应在收到解除通知后</w:t>
      </w:r>
      <w:r>
        <w:rPr>
          <w:rFonts w:ascii="宋体" w:hAnsi="宋体"/>
          <w:color w:val="auto"/>
          <w:sz w:val="24"/>
          <w:szCs w:val="24"/>
          <w:highlight w:val="none"/>
        </w:rPr>
        <w:t>7</w:t>
      </w:r>
      <w:r>
        <w:rPr>
          <w:rFonts w:hint="eastAsia" w:ascii="宋体" w:hAnsi="宋体"/>
          <w:color w:val="auto"/>
          <w:sz w:val="24"/>
          <w:szCs w:val="24"/>
          <w:highlight w:val="none"/>
        </w:rPr>
        <w:t>天内退还已收取的所有款项并承担合同总价款</w:t>
      </w:r>
      <w:r>
        <w:rPr>
          <w:rFonts w:ascii="宋体" w:hAnsi="宋体"/>
          <w:color w:val="auto"/>
          <w:sz w:val="24"/>
          <w:szCs w:val="24"/>
          <w:highlight w:val="none"/>
        </w:rPr>
        <w:t>30%</w:t>
      </w:r>
      <w:r>
        <w:rPr>
          <w:rFonts w:hint="eastAsia" w:ascii="宋体" w:hAnsi="宋体"/>
          <w:color w:val="auto"/>
          <w:sz w:val="24"/>
          <w:szCs w:val="24"/>
          <w:highlight w:val="none"/>
        </w:rPr>
        <w:t>的违约金，对甲方造成损失的，乙方应承担赔偿责任（包括但不限于实际损失、可预期损失及律师费）。</w:t>
      </w:r>
    </w:p>
    <w:p w14:paraId="69B3B120">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．甲方应当将乙方违约的情况以及拟采取的措施以书面形式报政府采购监管部门，根据政府采购监管部门的处理意见，甲方有权要求乙方承担违约责任。同时，政府采购监管部门有权依据</w:t>
      </w:r>
      <w:r>
        <w:rPr>
          <w:rFonts w:ascii="宋体" w:hAnsi="宋体"/>
          <w:color w:val="auto"/>
          <w:sz w:val="24"/>
          <w:szCs w:val="24"/>
          <w:highlight w:val="none"/>
        </w:rPr>
        <w:t xml:space="preserve"> </w:t>
      </w:r>
      <w:r>
        <w:rPr>
          <w:rFonts w:hint="eastAsia" w:ascii="宋体" w:hAnsi="宋体"/>
          <w:color w:val="auto"/>
          <w:sz w:val="24"/>
          <w:szCs w:val="24"/>
          <w:highlight w:val="none"/>
        </w:rPr>
        <w:t>《政府采购法》及相关法律法规对乙方的违法行为进行相应的处罚。</w:t>
      </w:r>
    </w:p>
    <w:p w14:paraId="4074B72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9</w:t>
      </w:r>
      <w:r>
        <w:rPr>
          <w:rFonts w:hint="eastAsia" w:ascii="宋体" w:hAnsi="宋体"/>
          <w:color w:val="auto"/>
          <w:sz w:val="24"/>
          <w:szCs w:val="24"/>
          <w:highlight w:val="none"/>
        </w:rPr>
        <w:t>．乙方违反其他合同条款的，应承担合同总价款</w:t>
      </w:r>
      <w:r>
        <w:rPr>
          <w:rFonts w:ascii="宋体" w:hAnsi="宋体"/>
          <w:color w:val="auto"/>
          <w:sz w:val="24"/>
          <w:szCs w:val="24"/>
          <w:highlight w:val="none"/>
        </w:rPr>
        <w:t>30%</w:t>
      </w:r>
      <w:r>
        <w:rPr>
          <w:rFonts w:hint="eastAsia" w:ascii="宋体" w:hAnsi="宋体"/>
          <w:color w:val="auto"/>
          <w:sz w:val="24"/>
          <w:szCs w:val="24"/>
          <w:highlight w:val="none"/>
        </w:rPr>
        <w:t>的违约责任，对甲方造成损失的，乙方应承担赔偿责任（包括但不限于实际损失、可预期损失及律师费）。</w:t>
      </w:r>
    </w:p>
    <w:p w14:paraId="00F7AA1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．上述约定的违约条款可合并适用，合并适用后仍不能弥补甲方损失的，甲方有权继续追偿。</w:t>
      </w:r>
    </w:p>
    <w:p w14:paraId="3EFBB21D">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lang w:eastAsia="zh-CN"/>
        </w:rPr>
        <w:t>第十条</w:t>
      </w:r>
      <w:r>
        <w:rPr>
          <w:rFonts w:hint="eastAsia" w:ascii="宋体" w:hAnsi="宋体" w:cs="宋体"/>
          <w:b/>
          <w:bCs/>
          <w:color w:val="auto"/>
          <w:sz w:val="24"/>
          <w:szCs w:val="24"/>
          <w:highlight w:val="none"/>
        </w:rPr>
        <w:t>、合同变更、解除及终止的条件</w:t>
      </w:r>
    </w:p>
    <w:p w14:paraId="1F66CB41">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.1本合同在执行过程中，如合同一方提出修改，须报政府采购管理部门同意后，由甲、乙双方签署书面修改协议，并成为本合同不可分割的一部分。除此之外，本合同的条件不得有任何变化或修改。</w:t>
      </w:r>
    </w:p>
    <w:p w14:paraId="77DE9817">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.2有下述情形之一，当事人可发出书面通知全部或部分地解除合同，合同自通知到达对方时全部或部分地解除：</w:t>
      </w:r>
    </w:p>
    <w:p w14:paraId="687FE4E7">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（1）乙方迟延交付合同货物超过</w:t>
      </w:r>
      <w:r>
        <w:rPr>
          <w:rFonts w:hint="eastAsia" w:ascii="宋体" w:hAnsi="宋体" w:cs="宋体"/>
          <w:b/>
          <w:bCs/>
          <w:color w:val="auto"/>
          <w:sz w:val="24"/>
          <w:szCs w:val="24"/>
          <w:highlight w:val="none"/>
          <w:u w:val="single"/>
        </w:rPr>
        <w:t>1个月</w:t>
      </w:r>
      <w:r>
        <w:rPr>
          <w:rFonts w:hint="eastAsia" w:ascii="宋体" w:hAnsi="宋体" w:cs="宋体"/>
          <w:color w:val="auto"/>
          <w:sz w:val="24"/>
          <w:szCs w:val="24"/>
          <w:highlight w:val="none"/>
        </w:rPr>
        <w:t>；</w:t>
      </w:r>
    </w:p>
    <w:p w14:paraId="66A4A692">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同货物由于乙方原因三次考核均未能达到技术性能考核指标或在合同约定了或双方在考核中另行达成了最低技术性能考核指标时均未能达到最低技术性能考核指标，且甲乙双方未就合同的后续履行协商达成一致；</w:t>
      </w:r>
    </w:p>
    <w:p w14:paraId="453407F6">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（3）甲方迟延付款超过</w:t>
      </w:r>
      <w:r>
        <w:rPr>
          <w:rFonts w:hint="eastAsia" w:ascii="宋体" w:hAnsi="宋体" w:cs="宋体"/>
          <w:b/>
          <w:bCs/>
          <w:color w:val="auto"/>
          <w:sz w:val="24"/>
          <w:szCs w:val="24"/>
          <w:highlight w:val="none"/>
          <w:u w:val="single"/>
        </w:rPr>
        <w:t>2个月</w:t>
      </w:r>
      <w:r>
        <w:rPr>
          <w:rFonts w:hint="eastAsia" w:ascii="宋体" w:hAnsi="宋体" w:cs="宋体"/>
          <w:color w:val="auto"/>
          <w:sz w:val="24"/>
          <w:szCs w:val="24"/>
          <w:highlight w:val="none"/>
        </w:rPr>
        <w:t>；</w:t>
      </w:r>
    </w:p>
    <w:p w14:paraId="27E32E7F">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cs="宋体"/>
          <w:b/>
          <w:bCs/>
          <w:color w:val="auto"/>
          <w:sz w:val="24"/>
          <w:szCs w:val="24"/>
          <w:highlight w:val="none"/>
          <w:u w:val="single"/>
        </w:rPr>
        <w:t xml:space="preserve"> 15 </w:t>
      </w:r>
      <w:r>
        <w:rPr>
          <w:rFonts w:hint="eastAsia" w:ascii="宋体" w:hAnsi="宋体" w:cs="宋体"/>
          <w:color w:val="auto"/>
          <w:sz w:val="24"/>
          <w:szCs w:val="24"/>
          <w:highlight w:val="none"/>
        </w:rPr>
        <w:t>日内未能对其行为作出补救；</w:t>
      </w:r>
    </w:p>
    <w:p w14:paraId="7027F1D5">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（5）合同一方当事人出现破产、清算、资不抵债、成为失信被执行人等可能丧失履约能力的情形，且未能提供令对方满意的履约保证金。</w:t>
      </w:r>
    </w:p>
    <w:p w14:paraId="51B66C35">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.3在乙方违约的情况下，甲方报告政府采购管理部门后，有权终止合同，并依法向乙方进行索赔实际损失(包括但不限于维权所支出的律师费、诉讼费、交通费等)。</w:t>
      </w:r>
    </w:p>
    <w:p w14:paraId="7D375BBF">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第十一条</w:t>
      </w:r>
      <w:r>
        <w:rPr>
          <w:rFonts w:hint="eastAsia" w:ascii="宋体" w:hAnsi="宋体" w:cs="宋体"/>
          <w:b/>
          <w:bCs/>
          <w:color w:val="auto"/>
          <w:sz w:val="24"/>
          <w:szCs w:val="24"/>
          <w:highlight w:val="none"/>
        </w:rPr>
        <w:t>、验收方式</w:t>
      </w:r>
    </w:p>
    <w:p w14:paraId="2FD9987D">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1经采购人确认后，组织成交供应商进行验收（必要时采购人可委托具有相关资质的第三方检测机构/技术专家对产品进行验收，需要国家法定检验部门进行检验或验收的由成交供应商负责联系）。验收合格后，填写政府采购项目验收单（一式伍份）作为对产品的最终认可。</w:t>
      </w:r>
    </w:p>
    <w:p w14:paraId="2274B594">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.2验收依据</w:t>
      </w:r>
    </w:p>
    <w:p w14:paraId="621DBBA9">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.2.1招标文件、响应文件、澄清表（函）；</w:t>
      </w:r>
    </w:p>
    <w:p w14:paraId="7D9B61A0">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.2.2本合同及附件文本；</w:t>
      </w:r>
    </w:p>
    <w:p w14:paraId="3BC6C196">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.2.3合同签订时国家及行业现行的标准和技术规范。</w:t>
      </w:r>
    </w:p>
    <w:p w14:paraId="78840ED0">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.3成交供应商应向采购人提交项目实施过程中的所有资料，以便采购人日后管理和维护。</w:t>
      </w:r>
    </w:p>
    <w:p w14:paraId="09DBC8B4">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.4鉴定和验收费用，由乙方承担。</w:t>
      </w:r>
    </w:p>
    <w:p w14:paraId="3A0E3EB3">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第十二条</w:t>
      </w:r>
      <w:r>
        <w:rPr>
          <w:rFonts w:hint="eastAsia" w:ascii="宋体" w:hAnsi="宋体" w:cs="宋体"/>
          <w:b/>
          <w:bCs/>
          <w:color w:val="auto"/>
          <w:sz w:val="24"/>
          <w:szCs w:val="24"/>
          <w:highlight w:val="none"/>
        </w:rPr>
        <w:t>、保密约定</w:t>
      </w:r>
    </w:p>
    <w:p w14:paraId="07D2BDEF">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.1合同双方应对因履行合同而取得的另一方当事人的信息、资料等予以保密。未经另一方当事人书面同意，任何一方均不得为与履行合同无关的目的使用或向第三方披露另一方当事人提供的信息、资料。</w:t>
      </w:r>
    </w:p>
    <w:p w14:paraId="167E436A">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.2合同当事人的保密义务不适用于下列信息：</w:t>
      </w:r>
    </w:p>
    <w:p w14:paraId="31E4B5CD">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（1）非因接受信息一方的过失现在或以后进入公共领域的信息；</w:t>
      </w:r>
    </w:p>
    <w:p w14:paraId="7544BDFA">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（2）接受信息一方当事人合法地从第三方获得并且据其善意了解第三方也不对此承担保密义务的信息；</w:t>
      </w:r>
    </w:p>
    <w:p w14:paraId="440CD28D">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（3）法律或法律的执行要求披露的信息。</w:t>
      </w:r>
    </w:p>
    <w:p w14:paraId="3E1501D7">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第十三条</w:t>
      </w:r>
      <w:r>
        <w:rPr>
          <w:rFonts w:hint="eastAsia" w:ascii="宋体" w:hAnsi="宋体" w:cs="宋体"/>
          <w:b/>
          <w:bCs/>
          <w:color w:val="auto"/>
          <w:sz w:val="24"/>
          <w:szCs w:val="24"/>
          <w:highlight w:val="none"/>
        </w:rPr>
        <w:t>、合同争议解决方式</w:t>
      </w:r>
    </w:p>
    <w:p w14:paraId="1923C097">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因执行本合同所发生的或与本合同有关的一切争议,双方应通过友好协商解决，协商不成的可依法</w:t>
      </w:r>
      <w:r>
        <w:rPr>
          <w:color w:val="auto"/>
          <w:sz w:val="24"/>
          <w:szCs w:val="24"/>
          <w:highlight w:val="none"/>
        </w:rPr>
        <w:t>向有管辖权的人民法院提起诉讼</w:t>
      </w:r>
      <w:r>
        <w:rPr>
          <w:rFonts w:hint="eastAsia" w:ascii="宋体" w:hAnsi="宋体" w:cs="宋体"/>
          <w:color w:val="auto"/>
          <w:sz w:val="24"/>
          <w:szCs w:val="24"/>
          <w:highlight w:val="none"/>
        </w:rPr>
        <w:t>。</w:t>
      </w:r>
    </w:p>
    <w:p w14:paraId="6EDA3AE7">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第十四条</w:t>
      </w:r>
      <w:r>
        <w:rPr>
          <w:rFonts w:hint="eastAsia" w:ascii="宋体" w:hAnsi="宋体" w:cs="宋体"/>
          <w:b/>
          <w:bCs/>
          <w:color w:val="auto"/>
          <w:sz w:val="24"/>
          <w:szCs w:val="24"/>
          <w:highlight w:val="none"/>
        </w:rPr>
        <w:t>、不可抗力情况下的免责约定</w:t>
      </w:r>
    </w:p>
    <w:p w14:paraId="6339970F">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0F998179">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.2受不可抗力事件影响的一方当事人对于不可抗力事件导致的任何合同义务的迟延履行或不能履行不承担违约责任。但该方当事人应尽快将不可抗力事件结束或消除的情况通知另一方当事人。</w:t>
      </w:r>
    </w:p>
    <w:p w14:paraId="24A36773">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.3双方当事人应在不可抗力事件结束或其影响消除后立即继续履行其合同义务，合同期限也应相应顺延。如果不可抗力事件的影响持续超过</w:t>
      </w:r>
      <w:r>
        <w:rPr>
          <w:rFonts w:hint="eastAsia" w:ascii="宋体" w:hAnsi="宋体" w:cs="宋体"/>
          <w:b/>
          <w:bCs/>
          <w:color w:val="auto"/>
          <w:sz w:val="24"/>
          <w:szCs w:val="24"/>
          <w:highlight w:val="none"/>
          <w:u w:val="single"/>
        </w:rPr>
        <w:t xml:space="preserve"> 90 </w:t>
      </w:r>
      <w:r>
        <w:rPr>
          <w:rFonts w:hint="eastAsia" w:ascii="宋体" w:hAnsi="宋体" w:cs="宋体"/>
          <w:color w:val="auto"/>
          <w:sz w:val="24"/>
          <w:szCs w:val="24"/>
          <w:highlight w:val="none"/>
        </w:rPr>
        <w:t>日，则任何一方当事人均有权以书面通知解除合同。</w:t>
      </w:r>
    </w:p>
    <w:p w14:paraId="22B0EB80">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第十五条</w:t>
      </w:r>
      <w:r>
        <w:rPr>
          <w:rFonts w:hint="eastAsia" w:ascii="宋体" w:hAnsi="宋体" w:cs="宋体"/>
          <w:b/>
          <w:bCs/>
          <w:color w:val="auto"/>
          <w:sz w:val="24"/>
          <w:szCs w:val="24"/>
          <w:highlight w:val="none"/>
        </w:rPr>
        <w:t>、生效条件、订立日期</w:t>
      </w:r>
    </w:p>
    <w:p w14:paraId="30998A11">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.1本合同自签订之日起生效。</w:t>
      </w:r>
    </w:p>
    <w:p w14:paraId="0C90927A">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.2合同一式</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份，采购人、成交供应商各执</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份</w:t>
      </w:r>
      <w:r>
        <w:rPr>
          <w:rFonts w:hint="eastAsia" w:ascii="宋体" w:hAnsi="宋体" w:cs="宋体"/>
          <w:color w:val="auto"/>
          <w:sz w:val="24"/>
          <w:szCs w:val="24"/>
          <w:highlight w:val="none"/>
          <w:lang w:eastAsia="zh-CN"/>
        </w:rPr>
        <w:t>。</w:t>
      </w:r>
    </w:p>
    <w:p w14:paraId="0E94394E">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.3如本合同有未尽事宜，以招标文件为准，招标文件未做要求的，由双方依法订立补充合同。</w:t>
      </w:r>
    </w:p>
    <w:p w14:paraId="693F8FEE">
      <w:pPr>
        <w:keepNext w:val="0"/>
        <w:keepLines w:val="0"/>
        <w:pageBreakBefore w:val="0"/>
        <w:widowControl w:val="0"/>
        <w:kinsoku/>
        <w:wordWrap/>
        <w:overflowPunct/>
        <w:topLinePunct w:val="0"/>
        <w:autoSpaceDE/>
        <w:autoSpaceDN/>
        <w:bidi w:val="0"/>
        <w:adjustRightInd/>
        <w:snapToGrid/>
        <w:spacing w:after="0" w:line="384"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第</w:t>
      </w: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val="en-US" w:eastAsia="zh-CN"/>
        </w:rPr>
        <w:t>六条</w:t>
      </w:r>
      <w:r>
        <w:rPr>
          <w:rFonts w:hint="eastAsia" w:ascii="宋体" w:hAnsi="宋体" w:cs="宋体"/>
          <w:b/>
          <w:bCs/>
          <w:color w:val="auto"/>
          <w:sz w:val="24"/>
          <w:szCs w:val="24"/>
          <w:highlight w:val="none"/>
        </w:rPr>
        <w:t>、其他事项</w:t>
      </w:r>
    </w:p>
    <w:p w14:paraId="4C8EA751">
      <w:pPr>
        <w:keepNext w:val="0"/>
        <w:keepLines w:val="0"/>
        <w:pageBreakBefore w:val="0"/>
        <w:widowControl w:val="0"/>
        <w:kinsoku/>
        <w:wordWrap/>
        <w:overflowPunct/>
        <w:topLinePunct w:val="0"/>
        <w:autoSpaceDE/>
        <w:autoSpaceDN/>
        <w:bidi w:val="0"/>
        <w:adjustRightInd/>
        <w:snapToGrid/>
        <w:spacing w:after="0" w:line="384"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合同其他事项双方另行协商补充：</w:t>
      </w:r>
      <w:r>
        <w:rPr>
          <w:rFonts w:hint="eastAsia" w:ascii="宋体" w:hAnsi="宋体" w:cs="宋体"/>
          <w:color w:val="auto"/>
          <w:sz w:val="24"/>
          <w:szCs w:val="24"/>
          <w:highlight w:val="none"/>
          <w:u w:val="single"/>
        </w:rPr>
        <w:t xml:space="preserve">                /                   </w:t>
      </w:r>
    </w:p>
    <w:p w14:paraId="3B4A1A87">
      <w:pPr>
        <w:pStyle w:val="3"/>
        <w:rPr>
          <w:rFonts w:hint="eastAsia"/>
          <w:highlight w:val="none"/>
        </w:rPr>
      </w:pPr>
    </w:p>
    <w:tbl>
      <w:tblPr>
        <w:tblStyle w:val="4"/>
        <w:tblW w:w="4869" w:type="pct"/>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61"/>
        <w:gridCol w:w="3838"/>
      </w:tblGrid>
      <w:tr w14:paraId="38059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687" w:type="pct"/>
            <w:tcBorders>
              <w:tl2br w:val="nil"/>
              <w:tr2bl w:val="nil"/>
            </w:tcBorders>
            <w:noWrap/>
            <w:vAlign w:val="center"/>
          </w:tcPr>
          <w:p w14:paraId="4950A2D1">
            <w:pPr>
              <w:tabs>
                <w:tab w:val="left" w:pos="347"/>
              </w:tabs>
              <w:autoSpaceDE w:val="0"/>
              <w:autoSpaceDN w:val="0"/>
              <w:adjustRightInd w:val="0"/>
              <w:spacing w:after="0"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甲  方</w:t>
            </w:r>
          </w:p>
        </w:tc>
        <w:tc>
          <w:tcPr>
            <w:tcW w:w="2312" w:type="pct"/>
            <w:tcBorders>
              <w:tl2br w:val="nil"/>
              <w:tr2bl w:val="nil"/>
            </w:tcBorders>
            <w:noWrap/>
            <w:vAlign w:val="center"/>
          </w:tcPr>
          <w:p w14:paraId="72F25CB0">
            <w:pPr>
              <w:tabs>
                <w:tab w:val="left" w:pos="347"/>
              </w:tabs>
              <w:autoSpaceDE w:val="0"/>
              <w:autoSpaceDN w:val="0"/>
              <w:adjustRightInd w:val="0"/>
              <w:spacing w:after="0"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乙  方</w:t>
            </w:r>
          </w:p>
        </w:tc>
      </w:tr>
      <w:tr w14:paraId="1F3671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687" w:type="pct"/>
            <w:tcBorders>
              <w:tl2br w:val="nil"/>
              <w:tr2bl w:val="nil"/>
            </w:tcBorders>
            <w:noWrap/>
            <w:vAlign w:val="center"/>
          </w:tcPr>
          <w:p w14:paraId="6ACB4525">
            <w:pPr>
              <w:autoSpaceDE w:val="0"/>
              <w:autoSpaceDN w:val="0"/>
              <w:adjustRightIn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（公章）</w:t>
            </w:r>
          </w:p>
        </w:tc>
        <w:tc>
          <w:tcPr>
            <w:tcW w:w="2312" w:type="pct"/>
            <w:tcBorders>
              <w:tl2br w:val="nil"/>
              <w:tr2bl w:val="nil"/>
            </w:tcBorders>
            <w:noWrap/>
            <w:vAlign w:val="center"/>
          </w:tcPr>
          <w:p w14:paraId="2E04B235">
            <w:pPr>
              <w:autoSpaceDE w:val="0"/>
              <w:autoSpaceDN w:val="0"/>
              <w:adjustRightIn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（公章）</w:t>
            </w:r>
          </w:p>
        </w:tc>
      </w:tr>
      <w:tr w14:paraId="4334E8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687" w:type="pct"/>
            <w:tcBorders>
              <w:tl2br w:val="nil"/>
              <w:tr2bl w:val="nil"/>
            </w:tcBorders>
            <w:noWrap/>
            <w:vAlign w:val="center"/>
          </w:tcPr>
          <w:p w14:paraId="3C10632C">
            <w:pPr>
              <w:autoSpaceDE w:val="0"/>
              <w:autoSpaceDN w:val="0"/>
              <w:adjustRightInd w:val="0"/>
              <w:spacing w:line="360" w:lineRule="auto"/>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地址：</w:t>
            </w:r>
          </w:p>
        </w:tc>
        <w:tc>
          <w:tcPr>
            <w:tcW w:w="2312" w:type="pct"/>
            <w:tcBorders>
              <w:tl2br w:val="nil"/>
              <w:tr2bl w:val="nil"/>
            </w:tcBorders>
            <w:noWrap/>
            <w:vAlign w:val="top"/>
          </w:tcPr>
          <w:p w14:paraId="3D9A7954">
            <w:pPr>
              <w:autoSpaceDE w:val="0"/>
              <w:autoSpaceDN w:val="0"/>
              <w:adjustRightIn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地址：</w:t>
            </w:r>
          </w:p>
        </w:tc>
      </w:tr>
      <w:tr w14:paraId="125B3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687" w:type="pct"/>
            <w:tcBorders>
              <w:tl2br w:val="nil"/>
              <w:tr2bl w:val="nil"/>
            </w:tcBorders>
            <w:noWrap/>
            <w:vAlign w:val="center"/>
          </w:tcPr>
          <w:p w14:paraId="673C3262">
            <w:pPr>
              <w:autoSpaceDE w:val="0"/>
              <w:autoSpaceDN w:val="0"/>
              <w:adjustRightInd w:val="0"/>
              <w:spacing w:line="360" w:lineRule="auto"/>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rPr>
              <w:t>邮编：</w:t>
            </w:r>
            <w:r>
              <w:rPr>
                <w:rFonts w:hint="eastAsia" w:ascii="宋体" w:hAnsi="宋体" w:cs="宋体"/>
                <w:bCs/>
                <w:color w:val="auto"/>
                <w:sz w:val="24"/>
                <w:szCs w:val="24"/>
                <w:highlight w:val="none"/>
                <w:lang w:val="en-US" w:eastAsia="zh-CN"/>
              </w:rPr>
              <w:t xml:space="preserve"> </w:t>
            </w:r>
          </w:p>
        </w:tc>
        <w:tc>
          <w:tcPr>
            <w:tcW w:w="2312" w:type="pct"/>
            <w:tcBorders>
              <w:tl2br w:val="nil"/>
              <w:tr2bl w:val="nil"/>
            </w:tcBorders>
            <w:noWrap/>
            <w:vAlign w:val="center"/>
          </w:tcPr>
          <w:p w14:paraId="66B8F64A">
            <w:pPr>
              <w:autoSpaceDE w:val="0"/>
              <w:autoSpaceDN w:val="0"/>
              <w:adjustRightIn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邮编：</w:t>
            </w:r>
          </w:p>
        </w:tc>
      </w:tr>
      <w:tr w14:paraId="22E6F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687" w:type="pct"/>
            <w:tcBorders>
              <w:tl2br w:val="nil"/>
              <w:tr2bl w:val="nil"/>
            </w:tcBorders>
            <w:noWrap/>
            <w:vAlign w:val="center"/>
          </w:tcPr>
          <w:p w14:paraId="14D05104">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12" w:type="pct"/>
            <w:tcBorders>
              <w:tl2br w:val="nil"/>
              <w:tr2bl w:val="nil"/>
            </w:tcBorders>
            <w:noWrap/>
            <w:vAlign w:val="center"/>
          </w:tcPr>
          <w:p w14:paraId="5D6CA158">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r>
      <w:tr w14:paraId="14394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687" w:type="pct"/>
            <w:tcBorders>
              <w:tl2br w:val="nil"/>
              <w:tr2bl w:val="nil"/>
            </w:tcBorders>
            <w:noWrap/>
            <w:vAlign w:val="center"/>
          </w:tcPr>
          <w:p w14:paraId="04417299">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负责人：</w:t>
            </w:r>
          </w:p>
        </w:tc>
        <w:tc>
          <w:tcPr>
            <w:tcW w:w="2312" w:type="pct"/>
            <w:tcBorders>
              <w:tl2br w:val="nil"/>
              <w:tr2bl w:val="nil"/>
            </w:tcBorders>
            <w:noWrap/>
            <w:vAlign w:val="center"/>
          </w:tcPr>
          <w:p w14:paraId="5BEAE32C">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负责人：</w:t>
            </w:r>
          </w:p>
        </w:tc>
      </w:tr>
      <w:tr w14:paraId="6D547F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2687" w:type="pct"/>
            <w:tcBorders>
              <w:tl2br w:val="nil"/>
              <w:tr2bl w:val="nil"/>
            </w:tcBorders>
            <w:noWrap/>
            <w:vAlign w:val="center"/>
          </w:tcPr>
          <w:p w14:paraId="3CDB4689">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电话：</w:t>
            </w:r>
          </w:p>
        </w:tc>
        <w:tc>
          <w:tcPr>
            <w:tcW w:w="2312" w:type="pct"/>
            <w:tcBorders>
              <w:tl2br w:val="nil"/>
              <w:tr2bl w:val="nil"/>
            </w:tcBorders>
            <w:noWrap/>
            <w:vAlign w:val="center"/>
          </w:tcPr>
          <w:p w14:paraId="2654A37A">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电话：</w:t>
            </w:r>
          </w:p>
        </w:tc>
      </w:tr>
      <w:tr w14:paraId="481845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687" w:type="pct"/>
            <w:tcBorders>
              <w:tl2br w:val="nil"/>
              <w:tr2bl w:val="nil"/>
            </w:tcBorders>
            <w:noWrap/>
            <w:vAlign w:val="center"/>
          </w:tcPr>
          <w:p w14:paraId="61E634FC">
            <w:pPr>
              <w:tabs>
                <w:tab w:val="left" w:pos="347"/>
              </w:tabs>
              <w:autoSpaceDE w:val="0"/>
              <w:autoSpaceDN w:val="0"/>
              <w:adjustRightInd w:val="0"/>
              <w:spacing w:after="0" w:line="360" w:lineRule="auto"/>
              <w:rPr>
                <w:rFonts w:hint="eastAsia" w:ascii="宋体" w:hAnsi="宋体" w:cs="宋体"/>
                <w:bCs/>
                <w:color w:val="auto"/>
                <w:sz w:val="24"/>
                <w:szCs w:val="24"/>
                <w:highlight w:val="none"/>
              </w:rPr>
            </w:pPr>
          </w:p>
        </w:tc>
        <w:tc>
          <w:tcPr>
            <w:tcW w:w="2312" w:type="pct"/>
            <w:tcBorders>
              <w:tl2br w:val="nil"/>
              <w:tr2bl w:val="nil"/>
            </w:tcBorders>
            <w:noWrap/>
            <w:vAlign w:val="top"/>
          </w:tcPr>
          <w:p w14:paraId="0E7CBB0D">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开户银行：</w:t>
            </w:r>
          </w:p>
        </w:tc>
      </w:tr>
      <w:tr w14:paraId="1B633C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687" w:type="pct"/>
            <w:tcBorders>
              <w:tl2br w:val="nil"/>
              <w:tr2bl w:val="nil"/>
            </w:tcBorders>
            <w:noWrap/>
            <w:vAlign w:val="center"/>
          </w:tcPr>
          <w:p w14:paraId="716FF723">
            <w:pPr>
              <w:tabs>
                <w:tab w:val="left" w:pos="347"/>
              </w:tabs>
              <w:autoSpaceDE w:val="0"/>
              <w:autoSpaceDN w:val="0"/>
              <w:adjustRightInd w:val="0"/>
              <w:spacing w:after="0" w:line="360" w:lineRule="auto"/>
              <w:rPr>
                <w:rFonts w:hint="eastAsia" w:ascii="宋体" w:hAnsi="宋体" w:cs="宋体"/>
                <w:bCs/>
                <w:color w:val="auto"/>
                <w:sz w:val="24"/>
                <w:szCs w:val="24"/>
                <w:highlight w:val="none"/>
              </w:rPr>
            </w:pPr>
          </w:p>
        </w:tc>
        <w:tc>
          <w:tcPr>
            <w:tcW w:w="2312" w:type="pct"/>
            <w:tcBorders>
              <w:tl2br w:val="nil"/>
              <w:tr2bl w:val="nil"/>
            </w:tcBorders>
            <w:noWrap/>
            <w:vAlign w:val="center"/>
          </w:tcPr>
          <w:p w14:paraId="1E8569E8">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账号：</w:t>
            </w:r>
          </w:p>
        </w:tc>
      </w:tr>
      <w:tr w14:paraId="537EB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687" w:type="pct"/>
            <w:tcBorders>
              <w:tl2br w:val="nil"/>
              <w:tr2bl w:val="nil"/>
            </w:tcBorders>
            <w:noWrap/>
            <w:vAlign w:val="center"/>
          </w:tcPr>
          <w:p w14:paraId="2DAAC98A">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日期：   年   月   日</w:t>
            </w:r>
          </w:p>
        </w:tc>
        <w:tc>
          <w:tcPr>
            <w:tcW w:w="2312" w:type="pct"/>
            <w:tcBorders>
              <w:tl2br w:val="nil"/>
              <w:tr2bl w:val="nil"/>
            </w:tcBorders>
            <w:noWrap/>
            <w:vAlign w:val="center"/>
          </w:tcPr>
          <w:p w14:paraId="6135C763">
            <w:pPr>
              <w:tabs>
                <w:tab w:val="left" w:pos="347"/>
              </w:tabs>
              <w:autoSpaceDE w:val="0"/>
              <w:autoSpaceDN w:val="0"/>
              <w:adjustRightInd w:val="0"/>
              <w:spacing w:after="0"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日期：   年   月   日</w:t>
            </w:r>
          </w:p>
        </w:tc>
      </w:tr>
    </w:tbl>
    <w:p w14:paraId="467CBBA1">
      <w:pPr>
        <w:rPr>
          <w:highlight w:val="none"/>
        </w:rPr>
      </w:pPr>
    </w:p>
    <w:p w14:paraId="78FE3DE1">
      <w:pPr>
        <w:pStyle w:val="7"/>
        <w:rPr>
          <w:rFonts w:hint="eastAsia"/>
          <w:highlight w:val="none"/>
          <w:lang w:val="en-US" w:eastAsia="zh-Hans"/>
        </w:rPr>
      </w:pPr>
    </w:p>
    <w:p w14:paraId="4B23694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8164C"/>
    <w:rsid w:val="10F71322"/>
    <w:rsid w:val="17C9749D"/>
    <w:rsid w:val="182516E7"/>
    <w:rsid w:val="18F37025"/>
    <w:rsid w:val="24AF1021"/>
    <w:rsid w:val="2DAE631A"/>
    <w:rsid w:val="30916B46"/>
    <w:rsid w:val="34153486"/>
    <w:rsid w:val="48A85B47"/>
    <w:rsid w:val="53E21FCA"/>
    <w:rsid w:val="6658164C"/>
    <w:rsid w:val="75B85A73"/>
    <w:rsid w:val="7E176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39"/>
    <w:pPr>
      <w:spacing w:line="240" w:lineRule="auto"/>
    </w:pPr>
  </w:style>
  <w:style w:type="table" w:customStyle="1" w:styleId="6">
    <w:name w:val="Table Normal"/>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247</Words>
  <Characters>264</Characters>
  <Lines>0</Lines>
  <Paragraphs>0</Paragraphs>
  <TotalTime>0</TotalTime>
  <ScaleCrop>false</ScaleCrop>
  <LinksUpToDate>false</LinksUpToDate>
  <CharactersWithSpaces>301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2025-11-27T09:09:00Z</dcterms:created>
  <dc:creator>刘菲</dc:creator>
  <cp:lastModifiedBy>馍馍窝里的娃娃</cp:lastModifiedBy>
  <dcterms:modified xsi:type="dcterms:W3CDTF">2026-08-11T00:46:07Z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BFF8406B23514139864EF7CAD62DD7BC_13</vt:lpwstr>
  </property>
  <property fmtid="{D5CDD505-2E9C-101B-9397-08002B2CF9AE}" pid="4" name="KSOTemplateDocerSaveRecord">
    <vt:lpwstr>eyJoZGlkIjoiNTk5ZDM4Mzk1N2Y1ZTYxMmYyYjg1ZDUwNTRmYTA0MDYiLCJ1c2VySWQiOiI3ODQ2ODY4NzEifQ==</vt:lpwstr>
  </property>
</Properties>
</file>