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8E5C0">
      <w:pPr>
        <w:jc w:val="center"/>
        <w:rPr>
          <w:rFonts w:hint="eastAsia" w:ascii="宋体" w:hAnsi="宋体" w:eastAsia="宋体" w:cs="宋体"/>
          <w:b/>
          <w:color w:val="0000FF"/>
          <w:spacing w:val="-20"/>
          <w:sz w:val="40"/>
          <w:szCs w:val="40"/>
          <w:lang w:eastAsia="zh-CN"/>
        </w:rPr>
      </w:pPr>
      <w:r>
        <w:rPr>
          <w:rFonts w:hint="eastAsia" w:ascii="宋体" w:hAnsi="宋体" w:eastAsia="宋体" w:cs="宋体"/>
          <w:b/>
          <w:color w:val="0000FF"/>
          <w:spacing w:val="-20"/>
          <w:sz w:val="40"/>
          <w:szCs w:val="40"/>
          <w:lang w:eastAsia="zh-CN"/>
        </w:rPr>
        <w:t>（</w:t>
      </w:r>
      <w:r>
        <w:rPr>
          <w:rFonts w:hint="eastAsia" w:ascii="宋体" w:hAnsi="宋体" w:eastAsia="宋体" w:cs="宋体"/>
          <w:b/>
          <w:color w:val="0000FF"/>
          <w:spacing w:val="-20"/>
          <w:sz w:val="40"/>
          <w:szCs w:val="40"/>
          <w:lang w:val="en-US" w:eastAsia="zh-CN"/>
        </w:rPr>
        <w:t>本合同仅供参考，具体以实际签订合同为准</w:t>
      </w:r>
      <w:r>
        <w:rPr>
          <w:rFonts w:hint="eastAsia" w:ascii="宋体" w:hAnsi="宋体" w:eastAsia="宋体" w:cs="宋体"/>
          <w:b/>
          <w:color w:val="0000FF"/>
          <w:spacing w:val="-20"/>
          <w:sz w:val="40"/>
          <w:szCs w:val="40"/>
          <w:lang w:eastAsia="zh-CN"/>
        </w:rPr>
        <w:t>）</w:t>
      </w:r>
    </w:p>
    <w:p w14:paraId="18FAD475">
      <w:pPr>
        <w:jc w:val="both"/>
        <w:rPr>
          <w:rFonts w:hint="eastAsia" w:ascii="宋体" w:hAnsi="宋体" w:eastAsia="宋体" w:cs="宋体"/>
          <w:b/>
          <w:spacing w:val="-20"/>
          <w:sz w:val="58"/>
          <w:szCs w:val="58"/>
        </w:rPr>
      </w:pPr>
    </w:p>
    <w:p w14:paraId="3C77BED6">
      <w:pPr>
        <w:jc w:val="center"/>
        <w:rPr>
          <w:rFonts w:hint="eastAsia" w:ascii="宋体" w:hAnsi="宋体" w:eastAsia="宋体" w:cs="宋体"/>
          <w:bCs/>
          <w:spacing w:val="-20"/>
          <w:sz w:val="44"/>
          <w:szCs w:val="44"/>
        </w:rPr>
      </w:pPr>
      <w:r>
        <w:rPr>
          <w:rFonts w:hint="eastAsia" w:ascii="宋体" w:hAnsi="宋体" w:eastAsia="宋体" w:cs="宋体"/>
          <w:bCs/>
          <w:spacing w:val="-20"/>
          <w:sz w:val="44"/>
          <w:szCs w:val="44"/>
        </w:rPr>
        <w:t>陕西省自然资源厅</w:t>
      </w:r>
    </w:p>
    <w:p w14:paraId="074A8F8D">
      <w:pPr>
        <w:jc w:val="center"/>
        <w:rPr>
          <w:rFonts w:hint="eastAsia" w:ascii="宋体" w:hAnsi="宋体" w:eastAsia="宋体" w:cs="宋体"/>
          <w:bCs/>
          <w:spacing w:val="-20"/>
          <w:sz w:val="58"/>
          <w:szCs w:val="58"/>
        </w:rPr>
      </w:pPr>
      <w:r>
        <w:rPr>
          <w:rFonts w:hint="eastAsia" w:ascii="宋体" w:hAnsi="宋体" w:eastAsia="宋体" w:cs="宋体"/>
          <w:bCs/>
          <w:spacing w:val="-20"/>
          <w:sz w:val="44"/>
          <w:szCs w:val="44"/>
        </w:rPr>
        <w:t>数字档案建设及数据整合服务项目合同书</w:t>
      </w:r>
    </w:p>
    <w:p w14:paraId="1B8DE19C">
      <w:pPr>
        <w:pStyle w:val="9"/>
        <w:widowControl w:val="0"/>
        <w:spacing w:before="0" w:beforeAutospacing="0" w:after="0" w:afterAutospacing="0" w:line="360" w:lineRule="auto"/>
        <w:jc w:val="left"/>
        <w:rPr>
          <w:rFonts w:hint="eastAsia" w:ascii="宋体" w:hAnsi="宋体" w:eastAsia="宋体" w:cs="宋体"/>
          <w:color w:val="auto"/>
          <w:kern w:val="2"/>
          <w:sz w:val="21"/>
          <w:szCs w:val="21"/>
        </w:rPr>
      </w:pPr>
    </w:p>
    <w:p w14:paraId="5A2B1FFC">
      <w:pPr>
        <w:jc w:val="left"/>
        <w:rPr>
          <w:rFonts w:hint="eastAsia" w:ascii="宋体" w:hAnsi="宋体" w:eastAsia="宋体" w:cs="宋体"/>
          <w:sz w:val="30"/>
          <w:szCs w:val="30"/>
        </w:rPr>
      </w:pPr>
    </w:p>
    <w:p w14:paraId="60C95F97">
      <w:pPr>
        <w:pStyle w:val="24"/>
        <w:jc w:val="left"/>
        <w:rPr>
          <w:rFonts w:hint="eastAsia" w:ascii="宋体" w:hAnsi="宋体" w:eastAsia="宋体" w:cs="宋体"/>
        </w:rPr>
      </w:pPr>
    </w:p>
    <w:p w14:paraId="2516B61A">
      <w:pPr>
        <w:jc w:val="left"/>
        <w:rPr>
          <w:rFonts w:hint="eastAsia" w:ascii="宋体" w:hAnsi="宋体" w:eastAsia="宋体" w:cs="宋体"/>
          <w:sz w:val="30"/>
          <w:szCs w:val="30"/>
        </w:rPr>
      </w:pPr>
    </w:p>
    <w:p w14:paraId="1B7153E4">
      <w:pPr>
        <w:jc w:val="left"/>
        <w:rPr>
          <w:rFonts w:hint="eastAsia" w:ascii="宋体" w:hAnsi="宋体" w:eastAsia="宋体" w:cs="宋体"/>
          <w:sz w:val="30"/>
          <w:szCs w:val="30"/>
        </w:rPr>
      </w:pPr>
    </w:p>
    <w:p w14:paraId="1570E35B">
      <w:pPr>
        <w:jc w:val="left"/>
        <w:rPr>
          <w:rFonts w:hint="eastAsia" w:ascii="宋体" w:hAnsi="宋体" w:eastAsia="宋体" w:cs="宋体"/>
          <w:sz w:val="30"/>
          <w:szCs w:val="30"/>
        </w:rPr>
      </w:pPr>
    </w:p>
    <w:p w14:paraId="0335F884">
      <w:pPr>
        <w:jc w:val="left"/>
        <w:rPr>
          <w:rFonts w:hint="eastAsia" w:ascii="宋体" w:hAnsi="宋体" w:eastAsia="宋体" w:cs="宋体"/>
          <w:sz w:val="30"/>
          <w:szCs w:val="30"/>
        </w:rPr>
      </w:pPr>
    </w:p>
    <w:p w14:paraId="0FD87CEE">
      <w:pPr>
        <w:jc w:val="left"/>
        <w:rPr>
          <w:rFonts w:hint="eastAsia" w:ascii="宋体" w:hAnsi="宋体" w:eastAsia="宋体" w:cs="宋体"/>
          <w:sz w:val="30"/>
          <w:szCs w:val="30"/>
        </w:rPr>
      </w:pPr>
    </w:p>
    <w:p w14:paraId="4DE041C4">
      <w:pPr>
        <w:jc w:val="left"/>
        <w:rPr>
          <w:rFonts w:hint="eastAsia" w:ascii="宋体" w:hAnsi="宋体" w:eastAsia="宋体" w:cs="宋体"/>
          <w:sz w:val="30"/>
          <w:szCs w:val="30"/>
        </w:rPr>
      </w:pPr>
    </w:p>
    <w:p w14:paraId="3C0A8A94">
      <w:pPr>
        <w:jc w:val="left"/>
        <w:rPr>
          <w:rFonts w:hint="eastAsia" w:ascii="宋体" w:hAnsi="宋体" w:eastAsia="宋体" w:cs="宋体"/>
          <w:sz w:val="30"/>
          <w:szCs w:val="30"/>
        </w:rPr>
      </w:pPr>
    </w:p>
    <w:p w14:paraId="48ADD621">
      <w:pPr>
        <w:rPr>
          <w:rFonts w:hint="eastAsia" w:ascii="宋体" w:hAnsi="宋体" w:eastAsia="宋体" w:cs="宋体"/>
          <w:sz w:val="30"/>
          <w:szCs w:val="30"/>
        </w:rPr>
      </w:pPr>
    </w:p>
    <w:p w14:paraId="461C37C6">
      <w:pPr>
        <w:rPr>
          <w:rFonts w:hint="eastAsia" w:ascii="宋体" w:hAnsi="宋体" w:eastAsia="宋体" w:cs="宋体"/>
          <w:sz w:val="30"/>
          <w:szCs w:val="30"/>
        </w:rPr>
      </w:pPr>
    </w:p>
    <w:p w14:paraId="4CB2DC43">
      <w:pPr>
        <w:spacing w:line="360" w:lineRule="auto"/>
        <w:jc w:val="center"/>
        <w:rPr>
          <w:rFonts w:hint="eastAsia" w:ascii="宋体" w:hAnsi="宋体" w:eastAsia="宋体" w:cs="宋体"/>
          <w:sz w:val="32"/>
          <w:szCs w:val="32"/>
        </w:rPr>
      </w:pPr>
      <w:r>
        <w:rPr>
          <w:rFonts w:hint="eastAsia" w:ascii="宋体" w:hAnsi="宋体" w:eastAsia="宋体" w:cs="宋体"/>
          <w:sz w:val="32"/>
          <w:szCs w:val="32"/>
        </w:rPr>
        <w:t>签订地点：</w:t>
      </w:r>
      <w:r>
        <w:rPr>
          <w:rFonts w:hint="eastAsia" w:ascii="宋体" w:hAnsi="宋体" w:eastAsia="宋体" w:cs="宋体"/>
          <w:sz w:val="32"/>
          <w:szCs w:val="32"/>
          <w:u w:val="single"/>
        </w:rPr>
        <w:t xml:space="preserve">   陕西省西安市    </w:t>
      </w:r>
    </w:p>
    <w:p w14:paraId="7DA32AE0">
      <w:pPr>
        <w:spacing w:line="360" w:lineRule="auto"/>
        <w:jc w:val="center"/>
        <w:rPr>
          <w:rFonts w:hint="eastAsia" w:ascii="宋体" w:hAnsi="宋体" w:eastAsia="宋体" w:cs="宋体"/>
          <w:sz w:val="32"/>
          <w:szCs w:val="32"/>
        </w:rPr>
      </w:pPr>
      <w:r>
        <w:rPr>
          <w:rFonts w:hint="eastAsia" w:ascii="宋体" w:hAnsi="宋体" w:eastAsia="宋体" w:cs="宋体"/>
          <w:sz w:val="32"/>
          <w:szCs w:val="32"/>
        </w:rPr>
        <w:t xml:space="preserve">    签订时间：</w:t>
      </w:r>
      <w:r>
        <w:rPr>
          <w:rFonts w:hint="eastAsia" w:ascii="宋体" w:hAnsi="宋体" w:eastAsia="宋体" w:cs="宋体"/>
          <w:sz w:val="32"/>
          <w:szCs w:val="32"/>
          <w:u w:val="single"/>
        </w:rPr>
        <w:t xml:space="preserve">     年    月    日</w:t>
      </w:r>
    </w:p>
    <w:p w14:paraId="483983B3">
      <w:pPr>
        <w:rPr>
          <w:rFonts w:hint="eastAsia" w:ascii="宋体" w:hAnsi="宋体" w:eastAsia="宋体" w:cs="宋体"/>
          <w:sz w:val="32"/>
          <w:szCs w:val="32"/>
        </w:rPr>
      </w:pPr>
    </w:p>
    <w:p w14:paraId="5E442458">
      <w:pPr>
        <w:rPr>
          <w:rFonts w:hint="eastAsia" w:ascii="宋体" w:hAnsi="宋体" w:eastAsia="宋体" w:cs="宋体"/>
          <w:sz w:val="32"/>
          <w:szCs w:val="32"/>
        </w:rPr>
      </w:pPr>
    </w:p>
    <w:p w14:paraId="74F7E435">
      <w:pPr>
        <w:pStyle w:val="23"/>
        <w:jc w:val="center"/>
        <w:outlineLvl w:val="2"/>
        <w:rPr>
          <w:rFonts w:hint="eastAsia" w:ascii="宋体" w:hAnsi="宋体" w:eastAsia="宋体" w:cs="宋体"/>
          <w:b/>
          <w:sz w:val="36"/>
          <w:szCs w:val="21"/>
        </w:rPr>
      </w:pPr>
      <w:r>
        <w:rPr>
          <w:rFonts w:hint="eastAsia" w:ascii="宋体" w:hAnsi="宋体" w:eastAsia="宋体" w:cs="宋体"/>
          <w:b/>
          <w:sz w:val="36"/>
          <w:szCs w:val="21"/>
        </w:rPr>
        <w:br w:type="page"/>
      </w:r>
    </w:p>
    <w:p w14:paraId="69F90854">
      <w:pPr>
        <w:pStyle w:val="23"/>
        <w:jc w:val="both"/>
        <w:outlineLvl w:val="2"/>
        <w:rPr>
          <w:rFonts w:hint="eastAsia" w:ascii="宋体" w:hAnsi="宋体" w:eastAsia="宋体" w:cs="宋体"/>
          <w:b/>
          <w:sz w:val="36"/>
          <w:szCs w:val="21"/>
        </w:rPr>
      </w:pPr>
    </w:p>
    <w:p w14:paraId="614EFA6F">
      <w:pPr>
        <w:pStyle w:val="23"/>
        <w:jc w:val="center"/>
        <w:outlineLvl w:val="2"/>
        <w:rPr>
          <w:rFonts w:hint="eastAsia" w:ascii="宋体" w:hAnsi="宋体" w:eastAsia="宋体" w:cs="宋体"/>
          <w:b/>
          <w:spacing w:val="-20"/>
          <w:kern w:val="2"/>
          <w:sz w:val="36"/>
          <w:szCs w:val="36"/>
          <w:u w:val="single"/>
          <w:lang w:eastAsia="zh-CN"/>
        </w:rPr>
      </w:pPr>
      <w:r>
        <w:rPr>
          <w:rFonts w:hint="eastAsia" w:ascii="宋体" w:hAnsi="宋体" w:eastAsia="宋体" w:cs="宋体"/>
          <w:b/>
          <w:spacing w:val="-20"/>
          <w:kern w:val="2"/>
          <w:sz w:val="36"/>
          <w:szCs w:val="36"/>
          <w:u w:val="single"/>
          <w:lang w:eastAsia="zh-CN"/>
        </w:rPr>
        <w:t>陕西省自然资源厅数字档案建设及数据整合服务项目</w:t>
      </w:r>
    </w:p>
    <w:p w14:paraId="158F1329">
      <w:pPr>
        <w:pStyle w:val="23"/>
        <w:jc w:val="center"/>
        <w:outlineLvl w:val="2"/>
        <w:rPr>
          <w:rFonts w:hint="eastAsia" w:ascii="宋体" w:hAnsi="宋体" w:eastAsia="宋体" w:cs="宋体"/>
          <w:b/>
          <w:spacing w:val="-20"/>
          <w:kern w:val="2"/>
          <w:sz w:val="36"/>
          <w:szCs w:val="36"/>
          <w:u w:val="single"/>
          <w:lang w:eastAsia="zh-CN"/>
        </w:rPr>
      </w:pPr>
      <w:r>
        <w:rPr>
          <w:rFonts w:hint="eastAsia" w:ascii="宋体" w:hAnsi="宋体" w:eastAsia="宋体" w:cs="宋体"/>
          <w:b/>
          <w:spacing w:val="-20"/>
          <w:kern w:val="2"/>
          <w:sz w:val="36"/>
          <w:szCs w:val="36"/>
          <w:u w:val="single"/>
          <w:lang w:eastAsia="zh-CN"/>
        </w:rPr>
        <w:t>合同书</w:t>
      </w:r>
    </w:p>
    <w:p w14:paraId="46453294">
      <w:pPr>
        <w:jc w:val="center"/>
        <w:rPr>
          <w:rFonts w:hint="eastAsia" w:ascii="宋体" w:hAnsi="宋体" w:eastAsia="宋体" w:cs="宋体"/>
          <w:b/>
          <w:sz w:val="36"/>
          <w:szCs w:val="21"/>
        </w:rPr>
      </w:pPr>
    </w:p>
    <w:p w14:paraId="554C3746">
      <w:pPr>
        <w:spacing w:line="570" w:lineRule="exact"/>
        <w:ind w:firstLine="480" w:firstLineChars="200"/>
        <w:rPr>
          <w:rFonts w:hint="eastAsia" w:ascii="宋体" w:hAnsi="宋体" w:eastAsia="宋体" w:cs="宋体"/>
          <w:snapToGrid w:val="0"/>
          <w:color w:val="E54C5E" w:themeColor="accent6"/>
          <w:kern w:val="0"/>
          <w:sz w:val="24"/>
          <w14:textFill>
            <w14:solidFill>
              <w14:schemeClr w14:val="accent6"/>
            </w14:solidFill>
          </w14:textFill>
        </w:rPr>
      </w:pPr>
      <w:r>
        <w:rPr>
          <w:rFonts w:hint="eastAsia" w:ascii="宋体" w:hAnsi="宋体" w:eastAsia="宋体" w:cs="宋体"/>
          <w:snapToGrid w:val="0"/>
          <w:kern w:val="0"/>
          <w:sz w:val="24"/>
        </w:rPr>
        <w:t>甲方：</w:t>
      </w:r>
      <w:r>
        <w:rPr>
          <w:rFonts w:hint="eastAsia" w:ascii="宋体" w:hAnsi="宋体" w:eastAsia="宋体" w:cs="宋体"/>
          <w:snapToGrid w:val="0"/>
          <w:color w:val="E54C5E" w:themeColor="accent6"/>
          <w:kern w:val="0"/>
          <w:sz w:val="24"/>
          <w14:textFill>
            <w14:solidFill>
              <w14:schemeClr w14:val="accent6"/>
            </w14:solidFill>
          </w14:textFill>
        </w:rPr>
        <w:t>陕西省自然资源信息中心</w:t>
      </w:r>
    </w:p>
    <w:p w14:paraId="6F43CE36">
      <w:pPr>
        <w:spacing w:line="570" w:lineRule="exact"/>
        <w:ind w:firstLine="1200" w:firstLineChars="500"/>
        <w:rPr>
          <w:rFonts w:hint="eastAsia" w:ascii="宋体" w:hAnsi="宋体" w:eastAsia="宋体" w:cs="宋体"/>
          <w:snapToGrid w:val="0"/>
          <w:color w:val="E54C5E" w:themeColor="accent6"/>
          <w:kern w:val="0"/>
          <w:sz w:val="24"/>
          <w14:textFill>
            <w14:solidFill>
              <w14:schemeClr w14:val="accent6"/>
            </w14:solidFill>
          </w14:textFill>
        </w:rPr>
      </w:pPr>
      <w:r>
        <w:rPr>
          <w:rFonts w:hint="eastAsia" w:ascii="宋体" w:hAnsi="宋体" w:eastAsia="宋体" w:cs="宋体"/>
          <w:snapToGrid w:val="0"/>
          <w:color w:val="E54C5E" w:themeColor="accent6"/>
          <w:kern w:val="0"/>
          <w:sz w:val="24"/>
          <w14:textFill>
            <w14:solidFill>
              <w14:schemeClr w14:val="accent6"/>
            </w14:solidFill>
          </w14:textFill>
        </w:rPr>
        <w:t>（陕西省地质资料档案馆）</w:t>
      </w:r>
    </w:p>
    <w:p w14:paraId="0C993365">
      <w:pPr>
        <w:spacing w:line="570" w:lineRule="exact"/>
        <w:ind w:firstLine="480" w:firstLineChars="200"/>
        <w:rPr>
          <w:rFonts w:hint="eastAsia" w:ascii="宋体" w:hAnsi="宋体" w:eastAsia="宋体" w:cs="宋体"/>
          <w:snapToGrid w:val="0"/>
          <w:color w:val="E54C5E" w:themeColor="accent6"/>
          <w:kern w:val="0"/>
          <w:sz w:val="24"/>
          <w14:textFill>
            <w14:solidFill>
              <w14:schemeClr w14:val="accent6"/>
            </w14:solidFill>
          </w14:textFill>
        </w:rPr>
      </w:pPr>
      <w:r>
        <w:rPr>
          <w:rFonts w:hint="eastAsia" w:ascii="宋体" w:hAnsi="宋体" w:eastAsia="宋体" w:cs="宋体"/>
          <w:snapToGrid w:val="0"/>
          <w:color w:val="E54C5E" w:themeColor="accent6"/>
          <w:kern w:val="0"/>
          <w:sz w:val="24"/>
          <w14:textFill>
            <w14:solidFill>
              <w14:schemeClr w14:val="accent6"/>
            </w14:solidFill>
          </w14:textFill>
        </w:rPr>
        <w:t>住所地：</w:t>
      </w:r>
      <w:r>
        <w:rPr>
          <w:rFonts w:hint="eastAsia" w:ascii="宋体" w:hAnsi="宋体" w:eastAsia="宋体" w:cs="宋体"/>
          <w:snapToGrid w:val="0"/>
          <w:color w:val="E54C5E" w:themeColor="accent6"/>
          <w:kern w:val="0"/>
          <w:sz w:val="24"/>
          <w:lang w:val="en-US" w:eastAsia="zh-CN"/>
          <w14:textFill>
            <w14:solidFill>
              <w14:schemeClr w14:val="accent6"/>
            </w14:solidFill>
          </w14:textFill>
        </w:rPr>
        <w:t>西安市碑林区</w:t>
      </w:r>
      <w:r>
        <w:rPr>
          <w:rFonts w:hint="eastAsia" w:ascii="宋体" w:hAnsi="宋体" w:eastAsia="宋体" w:cs="宋体"/>
          <w:snapToGrid w:val="0"/>
          <w:color w:val="E54C5E" w:themeColor="accent6"/>
          <w:kern w:val="0"/>
          <w:sz w:val="24"/>
          <w14:textFill>
            <w14:solidFill>
              <w14:schemeClr w14:val="accent6"/>
            </w14:solidFill>
          </w14:textFill>
        </w:rPr>
        <w:t>雁塔北路100号</w:t>
      </w:r>
    </w:p>
    <w:p w14:paraId="2FB4D126">
      <w:pPr>
        <w:spacing w:line="570" w:lineRule="exact"/>
        <w:ind w:firstLine="480" w:firstLineChars="200"/>
        <w:rPr>
          <w:rFonts w:hint="eastAsia" w:ascii="宋体" w:hAnsi="宋体" w:eastAsia="宋体" w:cs="宋体"/>
          <w:snapToGrid w:val="0"/>
          <w:kern w:val="0"/>
          <w:sz w:val="24"/>
        </w:rPr>
      </w:pPr>
      <w:r>
        <w:rPr>
          <w:rFonts w:hint="eastAsia" w:ascii="宋体" w:hAnsi="宋体" w:eastAsia="宋体" w:cs="宋体"/>
          <w:snapToGrid w:val="0"/>
          <w:kern w:val="0"/>
          <w:sz w:val="24"/>
        </w:rPr>
        <w:t>法定代表人：</w:t>
      </w:r>
    </w:p>
    <w:p w14:paraId="23CDAA5A">
      <w:pPr>
        <w:spacing w:line="570" w:lineRule="exact"/>
        <w:ind w:firstLine="480" w:firstLineChars="200"/>
        <w:rPr>
          <w:rFonts w:hint="eastAsia" w:ascii="宋体" w:hAnsi="宋体" w:eastAsia="宋体" w:cs="宋体"/>
          <w:snapToGrid w:val="0"/>
          <w:kern w:val="0"/>
          <w:sz w:val="24"/>
        </w:rPr>
      </w:pPr>
    </w:p>
    <w:p w14:paraId="74CE8402">
      <w:pPr>
        <w:spacing w:line="570" w:lineRule="exact"/>
        <w:ind w:firstLine="480" w:firstLineChars="200"/>
        <w:rPr>
          <w:rFonts w:hint="eastAsia" w:ascii="宋体" w:hAnsi="宋体" w:eastAsia="宋体" w:cs="宋体"/>
          <w:snapToGrid w:val="0"/>
          <w:kern w:val="0"/>
          <w:sz w:val="24"/>
          <w:lang w:eastAsia="zh-CN"/>
        </w:rPr>
      </w:pPr>
      <w:r>
        <w:rPr>
          <w:rFonts w:hint="eastAsia" w:ascii="宋体" w:hAnsi="宋体" w:eastAsia="宋体" w:cs="宋体"/>
          <w:snapToGrid w:val="0"/>
          <w:kern w:val="0"/>
          <w:sz w:val="24"/>
        </w:rPr>
        <w:t>乙方：</w:t>
      </w:r>
    </w:p>
    <w:p w14:paraId="43824FE6">
      <w:pPr>
        <w:spacing w:line="570" w:lineRule="exact"/>
        <w:ind w:firstLine="480" w:firstLineChars="200"/>
        <w:rPr>
          <w:rFonts w:hint="eastAsia" w:ascii="宋体" w:hAnsi="宋体" w:eastAsia="宋体" w:cs="宋体"/>
          <w:snapToGrid w:val="0"/>
          <w:kern w:val="0"/>
          <w:sz w:val="24"/>
        </w:rPr>
      </w:pPr>
      <w:r>
        <w:rPr>
          <w:rFonts w:hint="eastAsia" w:ascii="宋体" w:hAnsi="宋体" w:eastAsia="宋体" w:cs="宋体"/>
          <w:snapToGrid w:val="0"/>
          <w:kern w:val="0"/>
          <w:sz w:val="24"/>
        </w:rPr>
        <w:t>住所地：</w:t>
      </w:r>
    </w:p>
    <w:p w14:paraId="3A52FFAF">
      <w:pPr>
        <w:spacing w:line="570" w:lineRule="exact"/>
        <w:ind w:firstLine="480" w:firstLineChars="200"/>
        <w:rPr>
          <w:rFonts w:hint="eastAsia" w:ascii="宋体" w:hAnsi="宋体" w:eastAsia="宋体" w:cs="宋体"/>
          <w:snapToGrid w:val="0"/>
          <w:kern w:val="0"/>
          <w:sz w:val="24"/>
        </w:rPr>
      </w:pPr>
      <w:r>
        <w:rPr>
          <w:rFonts w:hint="eastAsia" w:ascii="宋体" w:hAnsi="宋体" w:eastAsia="宋体" w:cs="宋体"/>
          <w:snapToGrid w:val="0"/>
          <w:kern w:val="0"/>
          <w:sz w:val="24"/>
        </w:rPr>
        <w:t>法定代表人：</w:t>
      </w:r>
    </w:p>
    <w:p w14:paraId="38895E2A">
      <w:pPr>
        <w:rPr>
          <w:rFonts w:hint="eastAsia" w:ascii="宋体" w:hAnsi="宋体" w:eastAsia="宋体" w:cs="宋体"/>
          <w:b/>
          <w:sz w:val="36"/>
          <w:szCs w:val="36"/>
        </w:rPr>
      </w:pPr>
    </w:p>
    <w:p w14:paraId="37373877">
      <w:pPr>
        <w:spacing w:line="570" w:lineRule="exact"/>
        <w:ind w:firstLine="480" w:firstLineChars="200"/>
        <w:rPr>
          <w:rFonts w:hint="eastAsia" w:ascii="宋体" w:hAnsi="宋体" w:eastAsia="宋体" w:cs="宋体"/>
          <w:snapToGrid w:val="0"/>
          <w:kern w:val="0"/>
          <w:sz w:val="24"/>
        </w:rPr>
      </w:pPr>
      <w:r>
        <w:rPr>
          <w:rFonts w:hint="eastAsia" w:ascii="宋体" w:hAnsi="宋体" w:eastAsia="宋体" w:cs="宋体"/>
          <w:snapToGrid w:val="0"/>
          <w:kern w:val="0"/>
          <w:sz w:val="24"/>
        </w:rPr>
        <w:t>陕西省自然资源厅数字档案建设及数据整合服务项目</w:t>
      </w:r>
      <w:r>
        <w:rPr>
          <w:rFonts w:hint="eastAsia" w:ascii="宋体" w:hAnsi="宋体" w:eastAsia="宋体" w:cs="宋体"/>
          <w:snapToGrid w:val="0"/>
          <w:color w:val="E54C5E" w:themeColor="accent6"/>
          <w:kern w:val="0"/>
          <w:sz w:val="24"/>
          <w14:textFill>
            <w14:solidFill>
              <w14:schemeClr w14:val="accent6"/>
            </w14:solidFill>
          </w14:textFill>
        </w:rPr>
        <w:t>在陕西省自然资源信息中心（陕西省地质资料档案馆）的全程监督管理下，</w:t>
      </w:r>
      <w:r>
        <w:rPr>
          <w:rFonts w:hint="eastAsia" w:ascii="宋体" w:hAnsi="宋体" w:eastAsia="宋体" w:cs="宋体"/>
          <w:snapToGrid w:val="0"/>
          <w:kern w:val="0"/>
          <w:sz w:val="24"/>
        </w:rPr>
        <w:t>由</w:t>
      </w:r>
      <w:r>
        <w:rPr>
          <w:rFonts w:hint="eastAsia" w:ascii="宋体" w:hAnsi="宋体" w:eastAsia="宋体" w:cs="宋体"/>
          <w:snapToGrid w:val="0"/>
          <w:kern w:val="0"/>
          <w:sz w:val="24"/>
          <w:lang w:eastAsia="zh-CN"/>
        </w:rPr>
        <w:t>众合国际项目管理有限公司</w:t>
      </w:r>
      <w:r>
        <w:rPr>
          <w:rFonts w:hint="eastAsia" w:ascii="宋体" w:hAnsi="宋体" w:eastAsia="宋体" w:cs="宋体"/>
          <w:snapToGrid w:val="0"/>
          <w:kern w:val="0"/>
          <w:sz w:val="24"/>
        </w:rPr>
        <w:t>组织竞争性磋商采购，经评标委员会评审推荐，</w:t>
      </w:r>
      <w:r>
        <w:rPr>
          <w:rFonts w:hint="eastAsia" w:ascii="宋体" w:hAnsi="宋体" w:eastAsia="宋体" w:cs="宋体"/>
          <w:bCs/>
          <w:sz w:val="24"/>
        </w:rPr>
        <w:t xml:space="preserve">陕西省自然资源信息中心（陕西省地质资料档案馆） </w:t>
      </w:r>
      <w:r>
        <w:rPr>
          <w:rFonts w:hint="eastAsia" w:ascii="宋体" w:hAnsi="宋体" w:eastAsia="宋体" w:cs="宋体"/>
          <w:sz w:val="24"/>
        </w:rPr>
        <w:t>(以下简称“甲方”)</w:t>
      </w:r>
      <w:r>
        <w:rPr>
          <w:rFonts w:hint="eastAsia" w:ascii="宋体" w:hAnsi="宋体" w:eastAsia="宋体" w:cs="宋体"/>
          <w:snapToGrid w:val="0"/>
          <w:kern w:val="0"/>
          <w:sz w:val="24"/>
        </w:rPr>
        <w:t>确定</w:t>
      </w:r>
      <w:r>
        <w:rPr>
          <w:rFonts w:hint="eastAsia" w:ascii="宋体" w:hAnsi="宋体" w:eastAsia="宋体" w:cs="宋体"/>
          <w:snapToGrid w:val="0"/>
          <w:kern w:val="0"/>
          <w:sz w:val="24"/>
          <w:lang w:val="en-US" w:eastAsia="zh-CN"/>
        </w:rPr>
        <w:t xml:space="preserve">            </w:t>
      </w:r>
      <w:r>
        <w:rPr>
          <w:rFonts w:hint="eastAsia" w:ascii="宋体" w:hAnsi="宋体" w:eastAsia="宋体" w:cs="宋体"/>
          <w:snapToGrid w:val="0"/>
          <w:kern w:val="0"/>
          <w:sz w:val="24"/>
        </w:rPr>
        <w:t>（以下简称“乙方”）为本项目</w:t>
      </w:r>
      <w:r>
        <w:rPr>
          <w:rFonts w:hint="eastAsia" w:ascii="宋体" w:hAnsi="宋体" w:eastAsia="宋体" w:cs="宋体"/>
          <w:kern w:val="0"/>
          <w:sz w:val="24"/>
        </w:rPr>
        <w:t>中标单位。</w:t>
      </w:r>
    </w:p>
    <w:p w14:paraId="7B6EDCD9">
      <w:pPr>
        <w:spacing w:line="570" w:lineRule="exact"/>
        <w:ind w:firstLine="480" w:firstLineChars="200"/>
        <w:rPr>
          <w:rFonts w:hint="eastAsia" w:ascii="宋体" w:hAnsi="宋体" w:eastAsia="宋体" w:cs="宋体"/>
          <w:kern w:val="0"/>
          <w:sz w:val="24"/>
        </w:rPr>
      </w:pPr>
      <w:r>
        <w:rPr>
          <w:rFonts w:hint="eastAsia" w:ascii="宋体" w:hAnsi="宋体" w:eastAsia="宋体" w:cs="宋体"/>
          <w:kern w:val="0"/>
          <w:sz w:val="24"/>
        </w:rPr>
        <w:t>依据《中华人民共和国民法典》和《中华人民共和国政府采购法》，经双方协商，按下述条款和条件签署本合同。</w:t>
      </w:r>
    </w:p>
    <w:p w14:paraId="4B203D34">
      <w:pPr>
        <w:pStyle w:val="25"/>
        <w:spacing w:line="570" w:lineRule="exact"/>
        <w:ind w:firstLine="470"/>
        <w:rPr>
          <w:rFonts w:hint="eastAsia" w:ascii="宋体" w:hAnsi="宋体" w:eastAsia="宋体" w:cs="宋体"/>
          <w:b w:val="0"/>
          <w:kern w:val="0"/>
          <w:sz w:val="24"/>
          <w:szCs w:val="24"/>
        </w:rPr>
      </w:pPr>
      <w:r>
        <w:rPr>
          <w:rFonts w:hint="eastAsia" w:ascii="宋体" w:hAnsi="宋体" w:eastAsia="宋体" w:cs="宋体"/>
          <w:b w:val="0"/>
          <w:kern w:val="0"/>
          <w:sz w:val="24"/>
          <w:szCs w:val="24"/>
        </w:rPr>
        <w:t>甲方通过竞争性磋商采购方式，接受了乙方以总金额</w:t>
      </w:r>
      <w:r>
        <w:rPr>
          <w:rFonts w:hint="eastAsia" w:ascii="宋体" w:hAnsi="宋体" w:eastAsia="宋体" w:cs="宋体"/>
          <w:b w:val="0"/>
          <w:kern w:val="0"/>
          <w:sz w:val="24"/>
          <w:szCs w:val="24"/>
          <w:lang w:val="en-US" w:eastAsia="zh-CN"/>
        </w:rPr>
        <w:t>大写：</w:t>
      </w:r>
      <w:r>
        <w:rPr>
          <w:rFonts w:hint="eastAsia" w:ascii="宋体" w:hAnsi="宋体" w:eastAsia="宋体" w:cs="宋体"/>
          <w:bCs/>
          <w:kern w:val="0"/>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小写：</w:t>
      </w:r>
      <w:r>
        <w:rPr>
          <w:rFonts w:hint="eastAsia" w:ascii="宋体" w:hAnsi="宋体" w:eastAsia="宋体" w:cs="宋体"/>
          <w:sz w:val="24"/>
          <w:szCs w:val="24"/>
          <w:u w:val="single"/>
        </w:rPr>
        <w:t>(元)</w:t>
      </w:r>
      <w:r>
        <w:rPr>
          <w:rFonts w:hint="eastAsia" w:ascii="宋体" w:hAnsi="宋体" w:eastAsia="宋体" w:cs="宋体"/>
          <w:b w:val="0"/>
          <w:kern w:val="0"/>
          <w:sz w:val="24"/>
          <w:szCs w:val="24"/>
        </w:rPr>
        <w:t>(以下简称“合同价”)为本项目提供的货物及服务。</w:t>
      </w:r>
    </w:p>
    <w:p w14:paraId="6AC80FCB">
      <w:pPr>
        <w:spacing w:line="560" w:lineRule="exact"/>
        <w:rPr>
          <w:rFonts w:hint="eastAsia" w:ascii="宋体" w:hAnsi="宋体" w:eastAsia="宋体" w:cs="宋体"/>
          <w:b/>
          <w:sz w:val="24"/>
        </w:rPr>
      </w:pPr>
    </w:p>
    <w:p w14:paraId="5EACB23E">
      <w:pPr>
        <w:spacing w:line="560" w:lineRule="exact"/>
        <w:rPr>
          <w:rFonts w:hint="eastAsia" w:ascii="宋体" w:hAnsi="宋体" w:eastAsia="宋体" w:cs="宋体"/>
          <w:b/>
          <w:sz w:val="24"/>
        </w:rPr>
      </w:pPr>
    </w:p>
    <w:p w14:paraId="10B8EED7">
      <w:pPr>
        <w:spacing w:line="560" w:lineRule="exact"/>
        <w:rPr>
          <w:rFonts w:hint="eastAsia" w:ascii="宋体" w:hAnsi="宋体" w:eastAsia="宋体" w:cs="宋体"/>
          <w:b/>
          <w:sz w:val="24"/>
        </w:rPr>
      </w:pPr>
    </w:p>
    <w:p w14:paraId="4CB30570">
      <w:pPr>
        <w:spacing w:line="560" w:lineRule="exact"/>
        <w:rPr>
          <w:rFonts w:hint="eastAsia" w:ascii="宋体" w:hAnsi="宋体" w:eastAsia="宋体" w:cs="宋体"/>
          <w:sz w:val="24"/>
        </w:rPr>
      </w:pPr>
      <w:r>
        <w:rPr>
          <w:rFonts w:hint="eastAsia" w:ascii="宋体" w:hAnsi="宋体" w:eastAsia="宋体" w:cs="宋体"/>
          <w:b/>
          <w:sz w:val="24"/>
        </w:rPr>
        <w:t>一、合同标的物分项报价表</w:t>
      </w:r>
    </w:p>
    <w:p w14:paraId="5FC41CA8">
      <w:pPr>
        <w:jc w:val="left"/>
        <w:rPr>
          <w:rFonts w:hint="eastAsia" w:ascii="宋体" w:hAnsi="宋体" w:eastAsia="宋体" w:cs="宋体"/>
          <w:bCs/>
          <w:sz w:val="24"/>
        </w:rPr>
      </w:pPr>
    </w:p>
    <w:tbl>
      <w:tblPr>
        <w:tblStyle w:val="14"/>
        <w:tblW w:w="9277" w:type="dxa"/>
        <w:tblInd w:w="93" w:type="dxa"/>
        <w:tblLayout w:type="fixed"/>
        <w:tblCellMar>
          <w:top w:w="0" w:type="dxa"/>
          <w:left w:w="108" w:type="dxa"/>
          <w:bottom w:w="0" w:type="dxa"/>
          <w:right w:w="108" w:type="dxa"/>
        </w:tblCellMar>
      </w:tblPr>
      <w:tblGrid>
        <w:gridCol w:w="776"/>
        <w:gridCol w:w="1201"/>
        <w:gridCol w:w="2833"/>
        <w:gridCol w:w="1042"/>
        <w:gridCol w:w="1043"/>
        <w:gridCol w:w="1042"/>
        <w:gridCol w:w="1340"/>
      </w:tblGrid>
      <w:tr w14:paraId="1F2003A9">
        <w:tblPrEx>
          <w:tblCellMar>
            <w:top w:w="0" w:type="dxa"/>
            <w:left w:w="108" w:type="dxa"/>
            <w:bottom w:w="0" w:type="dxa"/>
            <w:right w:w="108" w:type="dxa"/>
          </w:tblCellMar>
        </w:tblPrEx>
        <w:trPr>
          <w:trHeight w:val="604"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0F74">
            <w:pPr>
              <w:widowControl/>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序号</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B83BB">
            <w:pPr>
              <w:widowControl/>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档案类型</w:t>
            </w:r>
          </w:p>
        </w:tc>
        <w:tc>
          <w:tcPr>
            <w:tcW w:w="2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529E">
            <w:pPr>
              <w:widowControl/>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工作内容</w:t>
            </w:r>
          </w:p>
        </w:tc>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F1150">
            <w:pPr>
              <w:widowControl/>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数量</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EE57">
            <w:pPr>
              <w:widowControl/>
              <w:jc w:val="center"/>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单价（元）</w:t>
            </w:r>
          </w:p>
        </w:tc>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1A35">
            <w:pPr>
              <w:widowControl/>
              <w:tabs>
                <w:tab w:val="left" w:pos="344"/>
              </w:tabs>
              <w:jc w:val="left"/>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总价（元）</w:t>
            </w: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1D2B4">
            <w:pPr>
              <w:widowControl/>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备注</w:t>
            </w:r>
          </w:p>
        </w:tc>
      </w:tr>
      <w:tr w14:paraId="65715EFF">
        <w:tblPrEx>
          <w:tblCellMar>
            <w:top w:w="0" w:type="dxa"/>
            <w:left w:w="108" w:type="dxa"/>
            <w:bottom w:w="0" w:type="dxa"/>
            <w:right w:w="108" w:type="dxa"/>
          </w:tblCellMar>
        </w:tblPrEx>
        <w:trPr>
          <w:trHeight w:val="979"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08DD9">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2DF6">
            <w:pPr>
              <w:widowControl/>
              <w:jc w:val="center"/>
              <w:textAlignment w:val="center"/>
              <w:rPr>
                <w:rFonts w:hint="eastAsia" w:ascii="宋体" w:hAnsi="宋体" w:eastAsia="宋体" w:cs="宋体"/>
                <w:color w:val="000000"/>
                <w:sz w:val="24"/>
              </w:rPr>
            </w:pPr>
          </w:p>
        </w:tc>
        <w:tc>
          <w:tcPr>
            <w:tcW w:w="2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207F">
            <w:pPr>
              <w:widowControl/>
              <w:jc w:val="center"/>
              <w:textAlignment w:val="center"/>
              <w:rPr>
                <w:rFonts w:hint="eastAsia" w:ascii="宋体" w:hAnsi="宋体" w:eastAsia="宋体" w:cs="宋体"/>
                <w:color w:val="000000"/>
                <w:sz w:val="24"/>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B4B4">
            <w:pPr>
              <w:widowControl/>
              <w:jc w:val="center"/>
              <w:textAlignment w:val="center"/>
              <w:rPr>
                <w:rFonts w:hint="eastAsia" w:ascii="宋体" w:hAnsi="宋体" w:eastAsia="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A0D46">
            <w:pPr>
              <w:widowControl/>
              <w:jc w:val="center"/>
              <w:textAlignment w:val="center"/>
              <w:rPr>
                <w:rFonts w:hint="eastAsia" w:ascii="宋体" w:hAnsi="宋体" w:eastAsia="宋体" w:cs="宋体"/>
                <w:color w:val="000000"/>
                <w:kern w:val="0"/>
                <w:sz w:val="24"/>
                <w:lang w:bidi="ar"/>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19F19">
            <w:pPr>
              <w:widowControl/>
              <w:jc w:val="center"/>
              <w:textAlignment w:val="center"/>
              <w:rPr>
                <w:rFonts w:hint="eastAsia" w:ascii="宋体" w:hAnsi="宋体" w:eastAsia="宋体" w:cs="宋体"/>
                <w:color w:val="000000"/>
                <w:kern w:val="0"/>
                <w:sz w:val="24"/>
                <w:lang w:bidi="ar"/>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0396">
            <w:pPr>
              <w:widowControl/>
              <w:jc w:val="center"/>
              <w:textAlignment w:val="center"/>
              <w:rPr>
                <w:rFonts w:hint="eastAsia" w:ascii="宋体" w:hAnsi="宋体" w:eastAsia="宋体" w:cs="宋体"/>
                <w:color w:val="000000"/>
                <w:sz w:val="24"/>
              </w:rPr>
            </w:pPr>
          </w:p>
        </w:tc>
      </w:tr>
      <w:tr w14:paraId="2152FF30">
        <w:tblPrEx>
          <w:tblCellMar>
            <w:top w:w="0" w:type="dxa"/>
            <w:left w:w="108" w:type="dxa"/>
            <w:bottom w:w="0" w:type="dxa"/>
            <w:right w:w="108" w:type="dxa"/>
          </w:tblCellMar>
        </w:tblPrEx>
        <w:trPr>
          <w:trHeight w:val="766"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9915">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2</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AF2CC">
            <w:pPr>
              <w:widowControl/>
              <w:jc w:val="center"/>
              <w:textAlignment w:val="center"/>
              <w:rPr>
                <w:rFonts w:hint="eastAsia" w:ascii="宋体" w:hAnsi="宋体" w:eastAsia="宋体" w:cs="宋体"/>
                <w:color w:val="000000"/>
                <w:sz w:val="24"/>
              </w:rPr>
            </w:pPr>
          </w:p>
        </w:tc>
        <w:tc>
          <w:tcPr>
            <w:tcW w:w="2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9881">
            <w:pPr>
              <w:widowControl/>
              <w:jc w:val="center"/>
              <w:textAlignment w:val="center"/>
              <w:rPr>
                <w:rFonts w:hint="eastAsia" w:ascii="宋体" w:hAnsi="宋体" w:eastAsia="宋体" w:cs="宋体"/>
                <w:color w:val="000000"/>
                <w:sz w:val="24"/>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2BE2">
            <w:pPr>
              <w:widowControl/>
              <w:jc w:val="center"/>
              <w:textAlignment w:val="center"/>
              <w:rPr>
                <w:rFonts w:hint="eastAsia" w:ascii="宋体" w:hAnsi="宋体" w:eastAsia="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E4B2E">
            <w:pPr>
              <w:widowControl/>
              <w:jc w:val="center"/>
              <w:textAlignment w:val="center"/>
              <w:rPr>
                <w:rFonts w:hint="eastAsia" w:ascii="宋体" w:hAnsi="宋体" w:eastAsia="宋体" w:cs="宋体"/>
                <w:color w:val="000000"/>
                <w:kern w:val="0"/>
                <w:sz w:val="24"/>
                <w:lang w:bidi="ar"/>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414F">
            <w:pPr>
              <w:widowControl/>
              <w:jc w:val="center"/>
              <w:textAlignment w:val="center"/>
              <w:rPr>
                <w:rFonts w:hint="eastAsia" w:ascii="宋体" w:hAnsi="宋体" w:eastAsia="宋体" w:cs="宋体"/>
                <w:color w:val="000000"/>
                <w:kern w:val="0"/>
                <w:sz w:val="24"/>
                <w:lang w:bidi="ar"/>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B2BE9">
            <w:pPr>
              <w:widowControl/>
              <w:jc w:val="center"/>
              <w:textAlignment w:val="center"/>
              <w:rPr>
                <w:rFonts w:hint="eastAsia" w:ascii="宋体" w:hAnsi="宋体" w:eastAsia="宋体" w:cs="宋体"/>
                <w:color w:val="000000"/>
                <w:sz w:val="24"/>
              </w:rPr>
            </w:pPr>
          </w:p>
        </w:tc>
      </w:tr>
      <w:tr w14:paraId="35F9E982">
        <w:tblPrEx>
          <w:tblCellMar>
            <w:top w:w="0" w:type="dxa"/>
            <w:left w:w="108" w:type="dxa"/>
            <w:bottom w:w="0" w:type="dxa"/>
            <w:right w:w="108" w:type="dxa"/>
          </w:tblCellMar>
        </w:tblPrEx>
        <w:trPr>
          <w:trHeight w:val="1028"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FF4F4">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3</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2899C">
            <w:pPr>
              <w:widowControl/>
              <w:jc w:val="center"/>
              <w:textAlignment w:val="center"/>
              <w:rPr>
                <w:rFonts w:hint="eastAsia" w:ascii="宋体" w:hAnsi="宋体" w:eastAsia="宋体" w:cs="宋体"/>
                <w:color w:val="000000"/>
                <w:sz w:val="24"/>
              </w:rPr>
            </w:pPr>
          </w:p>
        </w:tc>
        <w:tc>
          <w:tcPr>
            <w:tcW w:w="2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9C6A">
            <w:pPr>
              <w:widowControl/>
              <w:jc w:val="center"/>
              <w:textAlignment w:val="center"/>
              <w:rPr>
                <w:rFonts w:hint="eastAsia" w:ascii="宋体" w:hAnsi="宋体" w:eastAsia="宋体" w:cs="宋体"/>
                <w:color w:val="000000"/>
                <w:sz w:val="24"/>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4F9E">
            <w:pPr>
              <w:widowControl/>
              <w:jc w:val="center"/>
              <w:textAlignment w:val="center"/>
              <w:rPr>
                <w:rFonts w:hint="eastAsia" w:ascii="宋体" w:hAnsi="宋体" w:eastAsia="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33FD">
            <w:pPr>
              <w:widowControl/>
              <w:jc w:val="center"/>
              <w:textAlignment w:val="center"/>
              <w:rPr>
                <w:rFonts w:hint="eastAsia" w:ascii="宋体" w:hAnsi="宋体" w:eastAsia="宋体" w:cs="宋体"/>
                <w:color w:val="000000"/>
                <w:kern w:val="0"/>
                <w:sz w:val="24"/>
                <w:lang w:bidi="ar"/>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2CD1">
            <w:pPr>
              <w:widowControl/>
              <w:jc w:val="center"/>
              <w:textAlignment w:val="center"/>
              <w:rPr>
                <w:rFonts w:hint="eastAsia" w:ascii="宋体" w:hAnsi="宋体" w:eastAsia="宋体" w:cs="宋体"/>
                <w:color w:val="000000"/>
                <w:kern w:val="0"/>
                <w:sz w:val="24"/>
                <w:lang w:bidi="ar"/>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26EB">
            <w:pPr>
              <w:widowControl/>
              <w:jc w:val="center"/>
              <w:textAlignment w:val="center"/>
              <w:rPr>
                <w:rFonts w:hint="eastAsia" w:ascii="宋体" w:hAnsi="宋体" w:eastAsia="宋体" w:cs="宋体"/>
                <w:color w:val="000000"/>
                <w:sz w:val="24"/>
              </w:rPr>
            </w:pPr>
          </w:p>
        </w:tc>
      </w:tr>
      <w:tr w14:paraId="4EC2B50D">
        <w:tblPrEx>
          <w:tblCellMar>
            <w:top w:w="0" w:type="dxa"/>
            <w:left w:w="108" w:type="dxa"/>
            <w:bottom w:w="0" w:type="dxa"/>
            <w:right w:w="108" w:type="dxa"/>
          </w:tblCellMar>
        </w:tblPrEx>
        <w:trPr>
          <w:trHeight w:val="908"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C2F4">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4</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0524">
            <w:pPr>
              <w:widowControl/>
              <w:jc w:val="center"/>
              <w:textAlignment w:val="center"/>
              <w:rPr>
                <w:rFonts w:hint="eastAsia" w:ascii="宋体" w:hAnsi="宋体" w:eastAsia="宋体" w:cs="宋体"/>
                <w:color w:val="000000"/>
                <w:sz w:val="24"/>
              </w:rPr>
            </w:pPr>
          </w:p>
        </w:tc>
        <w:tc>
          <w:tcPr>
            <w:tcW w:w="2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839C">
            <w:pPr>
              <w:widowControl/>
              <w:jc w:val="center"/>
              <w:textAlignment w:val="center"/>
              <w:rPr>
                <w:rFonts w:hint="eastAsia" w:ascii="宋体" w:hAnsi="宋体" w:eastAsia="宋体" w:cs="宋体"/>
                <w:color w:val="000000"/>
                <w:sz w:val="24"/>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208B5">
            <w:pPr>
              <w:widowControl/>
              <w:jc w:val="center"/>
              <w:textAlignment w:val="center"/>
              <w:rPr>
                <w:rFonts w:hint="eastAsia" w:ascii="宋体" w:hAnsi="宋体" w:eastAsia="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49BED">
            <w:pPr>
              <w:widowControl/>
              <w:jc w:val="center"/>
              <w:textAlignment w:val="center"/>
              <w:rPr>
                <w:rFonts w:hint="eastAsia" w:ascii="宋体" w:hAnsi="宋体" w:eastAsia="宋体" w:cs="宋体"/>
                <w:color w:val="000000"/>
                <w:kern w:val="0"/>
                <w:sz w:val="24"/>
                <w:lang w:bidi="ar"/>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B39A">
            <w:pPr>
              <w:widowControl/>
              <w:jc w:val="center"/>
              <w:textAlignment w:val="center"/>
              <w:rPr>
                <w:rFonts w:hint="eastAsia" w:ascii="宋体" w:hAnsi="宋体" w:eastAsia="宋体" w:cs="宋体"/>
                <w:color w:val="000000"/>
                <w:kern w:val="0"/>
                <w:sz w:val="24"/>
                <w:lang w:bidi="ar"/>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74244">
            <w:pPr>
              <w:widowControl/>
              <w:jc w:val="center"/>
              <w:textAlignment w:val="center"/>
              <w:rPr>
                <w:rFonts w:hint="eastAsia" w:ascii="宋体" w:hAnsi="宋体" w:eastAsia="宋体" w:cs="宋体"/>
                <w:color w:val="000000"/>
                <w:sz w:val="24"/>
              </w:rPr>
            </w:pPr>
          </w:p>
        </w:tc>
      </w:tr>
      <w:tr w14:paraId="3EDAF444">
        <w:tblPrEx>
          <w:tblCellMar>
            <w:top w:w="0" w:type="dxa"/>
            <w:left w:w="108" w:type="dxa"/>
            <w:bottom w:w="0" w:type="dxa"/>
            <w:right w:w="108" w:type="dxa"/>
          </w:tblCellMar>
        </w:tblPrEx>
        <w:trPr>
          <w:trHeight w:val="681"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168E">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5</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1BA8">
            <w:pPr>
              <w:widowControl/>
              <w:jc w:val="center"/>
              <w:textAlignment w:val="center"/>
              <w:rPr>
                <w:rFonts w:hint="eastAsia" w:ascii="宋体" w:hAnsi="宋体" w:eastAsia="宋体" w:cs="宋体"/>
                <w:color w:val="000000"/>
                <w:sz w:val="24"/>
              </w:rPr>
            </w:pPr>
          </w:p>
        </w:tc>
        <w:tc>
          <w:tcPr>
            <w:tcW w:w="2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C56CA">
            <w:pPr>
              <w:widowControl/>
              <w:jc w:val="center"/>
              <w:textAlignment w:val="center"/>
              <w:rPr>
                <w:rFonts w:hint="eastAsia" w:ascii="宋体" w:hAnsi="宋体" w:eastAsia="宋体" w:cs="宋体"/>
                <w:color w:val="000000"/>
                <w:sz w:val="24"/>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9F33C">
            <w:pPr>
              <w:widowControl/>
              <w:jc w:val="center"/>
              <w:textAlignment w:val="center"/>
              <w:rPr>
                <w:rFonts w:hint="eastAsia" w:ascii="宋体" w:hAnsi="宋体" w:eastAsia="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79FC">
            <w:pPr>
              <w:widowControl/>
              <w:jc w:val="center"/>
              <w:textAlignment w:val="center"/>
              <w:rPr>
                <w:rFonts w:hint="eastAsia" w:ascii="宋体" w:hAnsi="宋体" w:eastAsia="宋体" w:cs="宋体"/>
                <w:color w:val="000000"/>
                <w:kern w:val="0"/>
                <w:sz w:val="24"/>
                <w:lang w:bidi="ar"/>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7ED9">
            <w:pPr>
              <w:widowControl/>
              <w:jc w:val="center"/>
              <w:textAlignment w:val="center"/>
              <w:rPr>
                <w:rFonts w:hint="eastAsia" w:ascii="宋体" w:hAnsi="宋体" w:eastAsia="宋体" w:cs="宋体"/>
                <w:color w:val="000000"/>
                <w:kern w:val="0"/>
                <w:sz w:val="24"/>
                <w:lang w:bidi="ar"/>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801F">
            <w:pPr>
              <w:widowControl/>
              <w:jc w:val="center"/>
              <w:textAlignment w:val="center"/>
              <w:rPr>
                <w:rFonts w:hint="eastAsia" w:ascii="宋体" w:hAnsi="宋体" w:eastAsia="宋体" w:cs="宋体"/>
                <w:color w:val="000000"/>
                <w:sz w:val="24"/>
              </w:rPr>
            </w:pPr>
          </w:p>
        </w:tc>
      </w:tr>
      <w:tr w14:paraId="4974D350">
        <w:tblPrEx>
          <w:tblCellMar>
            <w:top w:w="0" w:type="dxa"/>
            <w:left w:w="108" w:type="dxa"/>
            <w:bottom w:w="0" w:type="dxa"/>
            <w:right w:w="108" w:type="dxa"/>
          </w:tblCellMar>
        </w:tblPrEx>
        <w:trPr>
          <w:trHeight w:val="681"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58C8E">
            <w:pPr>
              <w:widowControl/>
              <w:jc w:val="center"/>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A5F3">
            <w:pPr>
              <w:widowControl/>
              <w:jc w:val="center"/>
              <w:textAlignment w:val="center"/>
              <w:rPr>
                <w:rFonts w:hint="eastAsia" w:ascii="宋体" w:hAnsi="宋体" w:eastAsia="宋体" w:cs="宋体"/>
                <w:color w:val="000000"/>
                <w:sz w:val="24"/>
              </w:rPr>
            </w:pPr>
          </w:p>
        </w:tc>
        <w:tc>
          <w:tcPr>
            <w:tcW w:w="28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D612">
            <w:pPr>
              <w:widowControl/>
              <w:jc w:val="center"/>
              <w:textAlignment w:val="center"/>
              <w:rPr>
                <w:rFonts w:hint="eastAsia" w:ascii="宋体" w:hAnsi="宋体" w:eastAsia="宋体" w:cs="宋体"/>
                <w:color w:val="000000"/>
                <w:sz w:val="24"/>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9740">
            <w:pPr>
              <w:widowControl/>
              <w:jc w:val="center"/>
              <w:textAlignment w:val="center"/>
              <w:rPr>
                <w:rFonts w:hint="eastAsia" w:ascii="宋体" w:hAnsi="宋体" w:eastAsia="宋体" w:cs="宋体"/>
                <w:color w:val="000000"/>
                <w:sz w:val="24"/>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A7E0">
            <w:pPr>
              <w:widowControl/>
              <w:jc w:val="center"/>
              <w:textAlignment w:val="center"/>
              <w:rPr>
                <w:rFonts w:hint="eastAsia" w:ascii="宋体" w:hAnsi="宋体" w:eastAsia="宋体" w:cs="宋体"/>
                <w:color w:val="000000"/>
                <w:kern w:val="0"/>
                <w:sz w:val="24"/>
                <w:lang w:bidi="ar"/>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610D9">
            <w:pPr>
              <w:widowControl/>
              <w:jc w:val="center"/>
              <w:textAlignment w:val="center"/>
              <w:rPr>
                <w:rFonts w:hint="eastAsia" w:ascii="宋体" w:hAnsi="宋体" w:eastAsia="宋体" w:cs="宋体"/>
                <w:color w:val="000000"/>
                <w:kern w:val="0"/>
                <w:sz w:val="24"/>
                <w:lang w:bidi="ar"/>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85B2">
            <w:pPr>
              <w:widowControl/>
              <w:jc w:val="center"/>
              <w:textAlignment w:val="center"/>
              <w:rPr>
                <w:rFonts w:hint="eastAsia" w:ascii="宋体" w:hAnsi="宋体" w:eastAsia="宋体" w:cs="宋体"/>
                <w:color w:val="000000"/>
                <w:sz w:val="24"/>
              </w:rPr>
            </w:pPr>
          </w:p>
        </w:tc>
      </w:tr>
      <w:tr w14:paraId="4F473286">
        <w:tblPrEx>
          <w:tblCellMar>
            <w:top w:w="0" w:type="dxa"/>
            <w:left w:w="108" w:type="dxa"/>
            <w:bottom w:w="0" w:type="dxa"/>
            <w:right w:w="108" w:type="dxa"/>
          </w:tblCellMar>
        </w:tblPrEx>
        <w:trPr>
          <w:trHeight w:val="604" w:hRule="atLeast"/>
        </w:trPr>
        <w:tc>
          <w:tcPr>
            <w:tcW w:w="585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28B5">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合计</w:t>
            </w:r>
          </w:p>
        </w:tc>
        <w:tc>
          <w:tcPr>
            <w:tcW w:w="342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CB0A">
            <w:pPr>
              <w:jc w:val="center"/>
              <w:rPr>
                <w:rFonts w:hint="eastAsia" w:ascii="宋体" w:hAnsi="宋体" w:eastAsia="宋体" w:cs="宋体"/>
                <w:color w:val="000000"/>
                <w:sz w:val="24"/>
              </w:rPr>
            </w:pPr>
            <w:r>
              <w:rPr>
                <w:rFonts w:hint="eastAsia" w:ascii="宋体" w:hAnsi="宋体" w:eastAsia="宋体" w:cs="宋体"/>
                <w:color w:val="000000"/>
                <w:sz w:val="24"/>
              </w:rPr>
              <w:t>元</w:t>
            </w:r>
          </w:p>
          <w:p w14:paraId="3F2BA1F7">
            <w:pPr>
              <w:jc w:val="center"/>
              <w:rPr>
                <w:rFonts w:hint="eastAsia" w:ascii="宋体" w:hAnsi="宋体" w:eastAsia="宋体" w:cs="宋体"/>
                <w:color w:val="000000"/>
                <w:sz w:val="24"/>
              </w:rPr>
            </w:pPr>
            <w:r>
              <w:rPr>
                <w:rFonts w:hint="eastAsia" w:ascii="宋体" w:hAnsi="宋体" w:eastAsia="宋体" w:cs="宋体"/>
                <w:color w:val="000000"/>
                <w:sz w:val="24"/>
              </w:rPr>
              <w:t>（）</w:t>
            </w:r>
          </w:p>
        </w:tc>
      </w:tr>
      <w:tr w14:paraId="3A5475F1">
        <w:tblPrEx>
          <w:tblCellMar>
            <w:top w:w="0" w:type="dxa"/>
            <w:left w:w="108" w:type="dxa"/>
            <w:bottom w:w="0" w:type="dxa"/>
            <w:right w:w="108" w:type="dxa"/>
          </w:tblCellMar>
        </w:tblPrEx>
        <w:trPr>
          <w:trHeight w:val="992" w:hRule="atLeast"/>
        </w:trPr>
        <w:tc>
          <w:tcPr>
            <w:tcW w:w="9277"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6F0B6">
            <w:pPr>
              <w:widowControl/>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注：本表中数字皆为预估量，中标后</w:t>
            </w:r>
            <w:r>
              <w:rPr>
                <w:rFonts w:hint="eastAsia" w:ascii="宋体" w:hAnsi="宋体" w:eastAsia="宋体" w:cs="宋体"/>
                <w:color w:val="E54C5E" w:themeColor="accent6"/>
                <w:kern w:val="0"/>
                <w:sz w:val="24"/>
                <w:lang w:bidi="ar"/>
                <w14:textFill>
                  <w14:solidFill>
                    <w14:schemeClr w14:val="accent6"/>
                  </w14:solidFill>
                </w14:textFill>
              </w:rPr>
              <w:t>以实际工作</w:t>
            </w:r>
            <w:r>
              <w:rPr>
                <w:rFonts w:hint="eastAsia" w:ascii="宋体" w:hAnsi="宋体" w:eastAsia="宋体" w:cs="宋体"/>
                <w:color w:val="E54C5E" w:themeColor="accent6"/>
                <w:kern w:val="0"/>
                <w:sz w:val="24"/>
                <w:lang w:val="en-US" w:eastAsia="zh-CN" w:bidi="ar"/>
                <w14:textFill>
                  <w14:solidFill>
                    <w14:schemeClr w14:val="accent6"/>
                  </w14:solidFill>
                </w14:textFill>
              </w:rPr>
              <w:t>内容和工作量</w:t>
            </w:r>
            <w:r>
              <w:rPr>
                <w:rFonts w:hint="eastAsia" w:ascii="宋体" w:hAnsi="宋体" w:eastAsia="宋体" w:cs="宋体"/>
                <w:color w:val="000000"/>
                <w:kern w:val="0"/>
                <w:sz w:val="24"/>
                <w:lang w:bidi="ar"/>
              </w:rPr>
              <w:t>作为项目结算依据。</w:t>
            </w:r>
          </w:p>
        </w:tc>
      </w:tr>
    </w:tbl>
    <w:p w14:paraId="6DD38C23">
      <w:pPr>
        <w:tabs>
          <w:tab w:val="left" w:pos="480"/>
        </w:tabs>
        <w:spacing w:line="570" w:lineRule="exact"/>
        <w:jc w:val="left"/>
        <w:rPr>
          <w:rFonts w:hint="eastAsia" w:ascii="宋体" w:hAnsi="宋体" w:eastAsia="宋体" w:cs="宋体"/>
          <w:sz w:val="24"/>
        </w:rPr>
      </w:pPr>
      <w:r>
        <w:rPr>
          <w:rFonts w:hint="eastAsia" w:ascii="宋体" w:hAnsi="宋体" w:eastAsia="宋体" w:cs="宋体"/>
          <w:sz w:val="24"/>
        </w:rPr>
        <w:t xml:space="preserve">    1.合同总价款为人民币</w:t>
      </w:r>
      <w:r>
        <w:rPr>
          <w:rFonts w:hint="eastAsia" w:ascii="宋体" w:hAnsi="宋体" w:eastAsia="宋体" w:cs="宋体"/>
          <w:b w:val="0"/>
          <w:kern w:val="0"/>
          <w:sz w:val="24"/>
          <w:szCs w:val="24"/>
          <w:lang w:val="en-US" w:eastAsia="zh-CN"/>
        </w:rPr>
        <w:t>大写：</w:t>
      </w:r>
      <w:r>
        <w:rPr>
          <w:rFonts w:hint="eastAsia" w:ascii="宋体" w:hAnsi="宋体" w:eastAsia="宋体" w:cs="宋体"/>
          <w:bCs/>
          <w:kern w:val="0"/>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小写：</w:t>
      </w:r>
      <w:r>
        <w:rPr>
          <w:rFonts w:hint="eastAsia" w:ascii="宋体" w:hAnsi="宋体" w:eastAsia="宋体" w:cs="宋体"/>
          <w:sz w:val="24"/>
          <w:szCs w:val="24"/>
          <w:u w:val="single"/>
        </w:rPr>
        <w:t>(元)</w:t>
      </w:r>
      <w:r>
        <w:rPr>
          <w:rFonts w:hint="eastAsia" w:ascii="宋体" w:hAnsi="宋体" w:eastAsia="宋体" w:cs="宋体"/>
          <w:b/>
          <w:bCs/>
          <w:sz w:val="24"/>
          <w:u w:val="single"/>
        </w:rPr>
        <w:t>，该价款为含税价。</w:t>
      </w:r>
      <w:r>
        <w:rPr>
          <w:rFonts w:hint="eastAsia" w:ascii="宋体" w:hAnsi="宋体" w:eastAsia="宋体" w:cs="宋体"/>
          <w:sz w:val="24"/>
        </w:rPr>
        <w:t xml:space="preserve">                    </w:t>
      </w:r>
    </w:p>
    <w:p w14:paraId="024F3877">
      <w:pPr>
        <w:tabs>
          <w:tab w:val="left" w:pos="480"/>
        </w:tabs>
        <w:spacing w:line="570" w:lineRule="exact"/>
        <w:jc w:val="left"/>
        <w:rPr>
          <w:rFonts w:hint="eastAsia" w:ascii="宋体" w:hAnsi="宋体" w:eastAsia="宋体" w:cs="宋体"/>
          <w:sz w:val="24"/>
        </w:rPr>
      </w:pPr>
      <w:r>
        <w:rPr>
          <w:rFonts w:hint="eastAsia" w:ascii="宋体" w:hAnsi="宋体" w:eastAsia="宋体" w:cs="宋体"/>
          <w:sz w:val="24"/>
        </w:rPr>
        <w:t xml:space="preserve">    2.合同总价之内乙方的工作内容包括但不限于：</w:t>
      </w:r>
      <w:r>
        <w:rPr>
          <w:rFonts w:hint="eastAsia" w:ascii="宋体" w:hAnsi="宋体" w:eastAsia="宋体" w:cs="宋体"/>
          <w:color w:val="000000"/>
          <w:kern w:val="0"/>
          <w:sz w:val="24"/>
          <w:lang w:bidi="ar"/>
        </w:rPr>
        <w:t>编页、装订、装盒、目录录入、数字化扫描、档案转运和数据整理备份</w:t>
      </w:r>
      <w:r>
        <w:rPr>
          <w:rFonts w:hint="eastAsia" w:ascii="宋体" w:hAnsi="宋体" w:eastAsia="宋体" w:cs="宋体"/>
          <w:sz w:val="24"/>
        </w:rPr>
        <w:t>等。</w:t>
      </w:r>
    </w:p>
    <w:p w14:paraId="5962DD7B">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3.项目完工后根据实际加工整合的目录数量进行价格核算。总价不超过</w:t>
      </w:r>
      <w:r>
        <w:rPr>
          <w:rFonts w:hint="eastAsia" w:ascii="宋体" w:hAnsi="宋体" w:eastAsia="宋体" w:cs="宋体"/>
          <w:sz w:val="24"/>
          <w:u w:val="single"/>
          <w:lang w:val="en-US" w:eastAsia="zh-CN"/>
        </w:rPr>
        <w:t xml:space="preserve">        </w:t>
      </w:r>
      <w:r>
        <w:rPr>
          <w:rFonts w:hint="eastAsia" w:ascii="宋体" w:hAnsi="宋体" w:eastAsia="宋体" w:cs="宋体"/>
          <w:sz w:val="24"/>
        </w:rPr>
        <w:t>。</w:t>
      </w:r>
    </w:p>
    <w:p w14:paraId="4BA3EF28">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4.合同总价款不受市场价格变化因素的影响。</w:t>
      </w:r>
    </w:p>
    <w:p w14:paraId="4BF3F422">
      <w:pPr>
        <w:tabs>
          <w:tab w:val="left" w:pos="480"/>
        </w:tabs>
        <w:spacing w:line="570" w:lineRule="exact"/>
        <w:jc w:val="left"/>
        <w:rPr>
          <w:rFonts w:hint="eastAsia" w:ascii="宋体" w:hAnsi="宋体" w:eastAsia="宋体" w:cs="宋体"/>
          <w:b/>
          <w:sz w:val="24"/>
        </w:rPr>
      </w:pPr>
      <w:r>
        <w:rPr>
          <w:rFonts w:hint="eastAsia" w:ascii="宋体" w:hAnsi="宋体" w:eastAsia="宋体" w:cs="宋体"/>
          <w:b/>
          <w:sz w:val="24"/>
        </w:rPr>
        <w:t>二、项目内容</w:t>
      </w:r>
    </w:p>
    <w:p w14:paraId="7606B525">
      <w:pPr>
        <w:spacing w:line="550" w:lineRule="exact"/>
        <w:ind w:firstLine="480" w:firstLineChars="200"/>
        <w:rPr>
          <w:rFonts w:hint="eastAsia" w:ascii="宋体" w:hAnsi="宋体" w:eastAsia="宋体" w:cs="宋体"/>
          <w:color w:val="000000"/>
          <w:kern w:val="0"/>
          <w:sz w:val="24"/>
          <w:lang w:val="en-US" w:eastAsia="zh-CN" w:bidi="ar"/>
        </w:rPr>
      </w:pPr>
      <w:r>
        <w:rPr>
          <w:rFonts w:hint="eastAsia" w:ascii="宋体" w:hAnsi="宋体" w:eastAsia="宋体" w:cs="宋体"/>
          <w:color w:val="000000"/>
          <w:kern w:val="0"/>
          <w:sz w:val="24"/>
          <w:u w:val="single"/>
          <w:lang w:val="en-US" w:eastAsia="zh-CN" w:bidi="ar"/>
        </w:rPr>
        <w:t xml:space="preserve">           </w:t>
      </w:r>
    </w:p>
    <w:p w14:paraId="0477B0D4">
      <w:pPr>
        <w:spacing w:line="550" w:lineRule="exact"/>
        <w:ind w:firstLine="480" w:firstLineChars="200"/>
        <w:rPr>
          <w:rFonts w:hint="eastAsia" w:ascii="宋体" w:hAnsi="宋体" w:eastAsia="宋体" w:cs="宋体"/>
          <w:color w:val="E54C5E" w:themeColor="accent6"/>
          <w:kern w:val="0"/>
          <w:sz w:val="24"/>
          <w:lang w:val="en-US" w:eastAsia="zh-CN" w:bidi="ar"/>
          <w14:textFill>
            <w14:solidFill>
              <w14:schemeClr w14:val="accent6"/>
            </w14:solidFill>
          </w14:textFill>
        </w:rPr>
      </w:pPr>
      <w:r>
        <w:rPr>
          <w:rFonts w:hint="eastAsia" w:ascii="宋体" w:hAnsi="宋体" w:eastAsia="宋体" w:cs="宋体"/>
          <w:color w:val="E54C5E" w:themeColor="accent6"/>
          <w:kern w:val="0"/>
          <w:sz w:val="24"/>
          <w:lang w:val="en-US" w:eastAsia="zh-CN" w:bidi="ar"/>
          <w14:textFill>
            <w14:solidFill>
              <w14:schemeClr w14:val="accent6"/>
            </w14:solidFill>
          </w14:textFill>
        </w:rPr>
        <w:t>注：实际工作内容和数量发生变化时，以双方确认的项目结算单为最终结算依据。</w:t>
      </w:r>
    </w:p>
    <w:p w14:paraId="35F1E252">
      <w:pPr>
        <w:spacing w:line="550" w:lineRule="exact"/>
        <w:rPr>
          <w:rFonts w:hint="eastAsia" w:ascii="宋体" w:hAnsi="宋体" w:eastAsia="宋体" w:cs="宋体"/>
          <w:color w:val="000000"/>
          <w:kern w:val="0"/>
          <w:sz w:val="24"/>
          <w:lang w:bidi="ar"/>
        </w:rPr>
      </w:pPr>
      <w:r>
        <w:rPr>
          <w:rFonts w:hint="eastAsia" w:ascii="宋体" w:hAnsi="宋体" w:eastAsia="宋体" w:cs="宋体"/>
          <w:b/>
          <w:sz w:val="24"/>
        </w:rPr>
        <w:t>三、技术要求</w:t>
      </w:r>
    </w:p>
    <w:p w14:paraId="5CB3F197">
      <w:pPr>
        <w:pStyle w:val="23"/>
        <w:spacing w:line="360" w:lineRule="auto"/>
        <w:ind w:firstLine="420"/>
        <w:jc w:val="both"/>
        <w:outlineLvl w:val="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 xml:space="preserve">第一部分  </w:t>
      </w:r>
      <w:r>
        <w:rPr>
          <w:rFonts w:hint="eastAsia" w:ascii="宋体" w:hAnsi="宋体" w:eastAsia="宋体" w:cs="宋体"/>
          <w:b/>
          <w:bCs/>
          <w:sz w:val="21"/>
          <w:szCs w:val="21"/>
          <w:highlight w:val="none"/>
          <w:lang w:eastAsia="zh-CN"/>
        </w:rPr>
        <w:t>档案数字化</w:t>
      </w:r>
    </w:p>
    <w:p w14:paraId="1C4C3310">
      <w:pPr>
        <w:pStyle w:val="23"/>
        <w:numPr>
          <w:ilvl w:val="0"/>
          <w:numId w:val="0"/>
        </w:numPr>
        <w:spacing w:line="360" w:lineRule="auto"/>
        <w:ind w:firstLine="422" w:firstLineChars="200"/>
        <w:jc w:val="both"/>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val="en-US" w:eastAsia="zh-CN"/>
        </w:rPr>
        <w:t>一、</w:t>
      </w:r>
      <w:r>
        <w:rPr>
          <w:rFonts w:hint="eastAsia" w:ascii="宋体" w:hAnsi="宋体" w:eastAsia="宋体" w:cs="宋体"/>
          <w:b/>
          <w:bCs/>
          <w:sz w:val="21"/>
          <w:szCs w:val="21"/>
          <w:highlight w:val="none"/>
          <w:lang w:eastAsia="zh-CN"/>
        </w:rPr>
        <w:t>陕西省自然资源厅档案数字化</w:t>
      </w:r>
      <w:r>
        <w:rPr>
          <w:rFonts w:hint="eastAsia" w:ascii="宋体" w:hAnsi="宋体" w:eastAsia="宋体" w:cs="宋体"/>
          <w:b/>
          <w:bCs/>
          <w:sz w:val="21"/>
          <w:szCs w:val="21"/>
          <w:highlight w:val="none"/>
          <w:lang w:val="en-US" w:eastAsia="zh-CN"/>
        </w:rPr>
        <w:t>服务内容</w:t>
      </w:r>
    </w:p>
    <w:p w14:paraId="2E7B07DE">
      <w:pPr>
        <w:pStyle w:val="23"/>
        <w:spacing w:line="360" w:lineRule="auto"/>
        <w:ind w:firstLine="420" w:firstLineChars="200"/>
        <w:jc w:val="both"/>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一</w:t>
      </w:r>
      <w:r>
        <w:rPr>
          <w:rFonts w:hint="eastAsia" w:ascii="宋体" w:hAnsi="宋体" w:eastAsia="宋体" w:cs="宋体"/>
          <w:b w:val="0"/>
          <w:bCs w:val="0"/>
          <w:sz w:val="21"/>
          <w:szCs w:val="21"/>
          <w:highlight w:val="none"/>
          <w:lang w:eastAsia="zh-CN"/>
        </w:rPr>
        <w:t>）矿业权积压档案整理28164档</w:t>
      </w:r>
    </w:p>
    <w:p w14:paraId="2B048236">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二</w:t>
      </w:r>
      <w:r>
        <w:rPr>
          <w:rFonts w:hint="eastAsia" w:ascii="宋体" w:hAnsi="宋体" w:eastAsia="宋体" w:cs="宋体"/>
          <w:b w:val="0"/>
          <w:bCs w:val="0"/>
          <w:sz w:val="21"/>
          <w:szCs w:val="21"/>
          <w:highlight w:val="none"/>
          <w:lang w:eastAsia="zh-CN"/>
        </w:rPr>
        <w:t>）2024年厅机关文书档案整理、数字化加工及</w:t>
      </w:r>
      <w:r>
        <w:rPr>
          <w:rFonts w:hint="eastAsia" w:ascii="宋体" w:hAnsi="宋体" w:eastAsia="宋体" w:cs="宋体"/>
          <w:b w:val="0"/>
          <w:bCs w:val="0"/>
          <w:sz w:val="21"/>
          <w:szCs w:val="21"/>
          <w:lang w:eastAsia="zh-CN"/>
        </w:rPr>
        <w:t>成果数据存储3750件</w:t>
      </w:r>
    </w:p>
    <w:p w14:paraId="0C0FE385">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三</w:t>
      </w:r>
      <w:r>
        <w:rPr>
          <w:rFonts w:hint="eastAsia" w:ascii="宋体" w:hAnsi="宋体" w:eastAsia="宋体" w:cs="宋体"/>
          <w:b w:val="0"/>
          <w:bCs w:val="0"/>
          <w:sz w:val="21"/>
          <w:szCs w:val="21"/>
          <w:lang w:eastAsia="zh-CN"/>
        </w:rPr>
        <w:t>）机关业务档案整理、数字化加工及成果数据存储2500卷</w:t>
      </w:r>
    </w:p>
    <w:p w14:paraId="7C1DFFC8">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四</w:t>
      </w:r>
      <w:r>
        <w:rPr>
          <w:rFonts w:hint="eastAsia" w:ascii="宋体" w:hAnsi="宋体" w:eastAsia="宋体" w:cs="宋体"/>
          <w:b w:val="0"/>
          <w:bCs w:val="0"/>
          <w:sz w:val="21"/>
          <w:szCs w:val="21"/>
          <w:lang w:eastAsia="zh-CN"/>
        </w:rPr>
        <w:t>）历史档案数据清洗治理（第一期）100000条</w:t>
      </w:r>
    </w:p>
    <w:p w14:paraId="4C7E4CC0">
      <w:pPr>
        <w:pStyle w:val="23"/>
        <w:spacing w:line="360" w:lineRule="auto"/>
        <w:ind w:firstLine="422" w:firstLineChars="200"/>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二、规范要求</w:t>
      </w:r>
    </w:p>
    <w:p w14:paraId="511810C2">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一</w:t>
      </w:r>
      <w:r>
        <w:rPr>
          <w:rFonts w:hint="eastAsia" w:ascii="宋体" w:hAnsi="宋体" w:eastAsia="宋体" w:cs="宋体"/>
          <w:b w:val="0"/>
          <w:bCs w:val="0"/>
          <w:sz w:val="21"/>
          <w:szCs w:val="21"/>
          <w:lang w:eastAsia="zh-CN"/>
        </w:rPr>
        <w:t>）《归档文件整理规则》（DA/T 22-2015）</w:t>
      </w:r>
    </w:p>
    <w:p w14:paraId="018B508D">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lang w:eastAsia="zh-CN"/>
        </w:rPr>
        <w:t>）《档案修裱技术规范》（DA/T 25-2022）</w:t>
      </w:r>
    </w:p>
    <w:p w14:paraId="78CF1263">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三</w:t>
      </w:r>
      <w:r>
        <w:rPr>
          <w:rFonts w:hint="eastAsia" w:ascii="宋体" w:hAnsi="宋体" w:eastAsia="宋体" w:cs="宋体"/>
          <w:b w:val="0"/>
          <w:bCs w:val="0"/>
          <w:sz w:val="21"/>
          <w:szCs w:val="21"/>
          <w:lang w:eastAsia="zh-CN"/>
        </w:rPr>
        <w:t>）《纸质归档文件装订规范》（DA/T 69-2018）</w:t>
      </w:r>
    </w:p>
    <w:p w14:paraId="6C863000">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四</w:t>
      </w:r>
      <w:r>
        <w:rPr>
          <w:rFonts w:hint="eastAsia" w:ascii="宋体" w:hAnsi="宋体" w:eastAsia="宋体" w:cs="宋体"/>
          <w:b w:val="0"/>
          <w:bCs w:val="0"/>
          <w:sz w:val="21"/>
          <w:szCs w:val="21"/>
          <w:lang w:eastAsia="zh-CN"/>
        </w:rPr>
        <w:t>）《档案著录规则》（DA/T 18-2022）</w:t>
      </w:r>
    </w:p>
    <w:p w14:paraId="0C42FA7F">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五</w:t>
      </w:r>
      <w:r>
        <w:rPr>
          <w:rFonts w:hint="eastAsia" w:ascii="宋体" w:hAnsi="宋体" w:eastAsia="宋体" w:cs="宋体"/>
          <w:b w:val="0"/>
          <w:bCs w:val="0"/>
          <w:sz w:val="21"/>
          <w:szCs w:val="21"/>
          <w:lang w:eastAsia="zh-CN"/>
        </w:rPr>
        <w:t>）《纸质档案数字化规范》（DA/T 31-2017）</w:t>
      </w:r>
    </w:p>
    <w:p w14:paraId="12323DF2">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六</w:t>
      </w:r>
      <w:r>
        <w:rPr>
          <w:rFonts w:hint="eastAsia" w:ascii="宋体" w:hAnsi="宋体" w:eastAsia="宋体" w:cs="宋体"/>
          <w:b w:val="0"/>
          <w:bCs w:val="0"/>
          <w:sz w:val="21"/>
          <w:szCs w:val="21"/>
          <w:lang w:eastAsia="zh-CN"/>
        </w:rPr>
        <w:t>）《档案服务外包工作规范》（DA/T 68.1-2020）</w:t>
      </w:r>
    </w:p>
    <w:p w14:paraId="3F238907">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七</w:t>
      </w:r>
      <w:r>
        <w:rPr>
          <w:rFonts w:hint="eastAsia" w:ascii="宋体" w:hAnsi="宋体" w:eastAsia="宋体" w:cs="宋体"/>
          <w:b w:val="0"/>
          <w:bCs w:val="0"/>
          <w:sz w:val="21"/>
          <w:szCs w:val="21"/>
          <w:lang w:eastAsia="zh-CN"/>
        </w:rPr>
        <w:t>）《档案服务外包工作规范》（DA/T 68.2-2020）</w:t>
      </w:r>
    </w:p>
    <w:p w14:paraId="08CD507E">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八</w:t>
      </w:r>
      <w:r>
        <w:rPr>
          <w:rFonts w:hint="eastAsia" w:ascii="宋体" w:hAnsi="宋体" w:eastAsia="宋体" w:cs="宋体"/>
          <w:b w:val="0"/>
          <w:bCs w:val="0"/>
          <w:sz w:val="21"/>
          <w:szCs w:val="21"/>
          <w:lang w:eastAsia="zh-CN"/>
        </w:rPr>
        <w:t>）《档案服务外包工作规范》（DA_T 68.4-2020）</w:t>
      </w:r>
    </w:p>
    <w:p w14:paraId="4B266AE6">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九</w:t>
      </w:r>
      <w:r>
        <w:rPr>
          <w:rFonts w:hint="eastAsia" w:ascii="宋体" w:hAnsi="宋体" w:eastAsia="宋体" w:cs="宋体"/>
          <w:b w:val="0"/>
          <w:bCs w:val="0"/>
          <w:sz w:val="21"/>
          <w:szCs w:val="21"/>
          <w:lang w:eastAsia="zh-CN"/>
        </w:rPr>
        <w:t>）《档号编制规则》（DA/T 13—2022）</w:t>
      </w:r>
    </w:p>
    <w:p w14:paraId="678F6618">
      <w:pPr>
        <w:pStyle w:val="23"/>
        <w:spacing w:line="360" w:lineRule="auto"/>
        <w:ind w:firstLine="422"/>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三、操作要求</w:t>
      </w:r>
    </w:p>
    <w:p w14:paraId="1974C2F4">
      <w:pPr>
        <w:pStyle w:val="23"/>
        <w:spacing w:line="360" w:lineRule="auto"/>
        <w:ind w:firstLine="422"/>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（一）档案整理（含</w:t>
      </w:r>
      <w:r>
        <w:rPr>
          <w:rFonts w:hint="eastAsia" w:ascii="宋体" w:hAnsi="宋体" w:eastAsia="宋体" w:cs="宋体"/>
          <w:b w:val="0"/>
          <w:bCs w:val="0"/>
          <w:sz w:val="21"/>
          <w:szCs w:val="21"/>
          <w:lang w:eastAsia="zh-CN"/>
        </w:rPr>
        <w:t>矿权、业务、文书）</w:t>
      </w:r>
    </w:p>
    <w:p w14:paraId="1986EBD7">
      <w:pPr>
        <w:pStyle w:val="23"/>
        <w:spacing w:line="360" w:lineRule="auto"/>
        <w:ind w:firstLine="422"/>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1、领取资料</w:t>
      </w:r>
    </w:p>
    <w:p w14:paraId="0FCB6E48">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档案领取数量控制为一周工作量，做到周一上午领取周五归库上架，整理一批上架一批，环环相扣、责任到人，将档案遗失风险降到最小。遵守库房管理制度，严守保密制度，妥善保护、保存档案。</w:t>
      </w:r>
    </w:p>
    <w:p w14:paraId="5D2E28CB">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1.1</w:t>
      </w:r>
      <w:r>
        <w:rPr>
          <w:rFonts w:hint="eastAsia" w:ascii="宋体" w:hAnsi="宋体" w:eastAsia="宋体" w:cs="宋体"/>
          <w:b w:val="0"/>
          <w:bCs w:val="0"/>
          <w:sz w:val="21"/>
          <w:szCs w:val="21"/>
        </w:rPr>
        <w:t>项目组中有专门档案领取工作人员，和库房人员一起，到库房根据清单，领取相应的档案，对领取的档案进行清点，共同进行档案目录、数量的核对，确保不出任何差错。</w:t>
      </w:r>
    </w:p>
    <w:p w14:paraId="53C8154F">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rPr>
        <w:t>清点结束，双方在档案领取清单上确认签字;</w:t>
      </w:r>
    </w:p>
    <w:p w14:paraId="5BF32701">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1.3</w:t>
      </w:r>
      <w:r>
        <w:rPr>
          <w:rFonts w:hint="eastAsia" w:ascii="宋体" w:hAnsi="宋体" w:eastAsia="宋体" w:cs="宋体"/>
          <w:b w:val="0"/>
          <w:bCs w:val="0"/>
          <w:sz w:val="21"/>
          <w:szCs w:val="21"/>
        </w:rPr>
        <w:t>档案保管人员与领取人员共同进行全宗、数量的二次核对，档案保管员进行数量统计，并进行登记，填写“领取还档登记表”。</w:t>
      </w:r>
    </w:p>
    <w:p w14:paraId="212A4EE1">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1.4</w:t>
      </w:r>
      <w:r>
        <w:rPr>
          <w:rFonts w:hint="eastAsia" w:ascii="宋体" w:hAnsi="宋体" w:eastAsia="宋体" w:cs="宋体"/>
          <w:b w:val="0"/>
          <w:bCs w:val="0"/>
          <w:sz w:val="21"/>
          <w:szCs w:val="21"/>
        </w:rPr>
        <w:t>放入临时档案保管柜，锁好，注意安全保存。</w:t>
      </w:r>
    </w:p>
    <w:p w14:paraId="3FBAA29E">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1.5</w:t>
      </w:r>
      <w:r>
        <w:rPr>
          <w:rFonts w:hint="eastAsia" w:ascii="宋体" w:hAnsi="宋体" w:eastAsia="宋体" w:cs="宋体"/>
          <w:b w:val="0"/>
          <w:bCs w:val="0"/>
          <w:sz w:val="21"/>
          <w:szCs w:val="21"/>
        </w:rPr>
        <w:t>临时档案柜的存放位置由工作人员指定。</w:t>
      </w:r>
    </w:p>
    <w:p w14:paraId="2C720585">
      <w:pPr>
        <w:pStyle w:val="23"/>
        <w:spacing w:line="360" w:lineRule="auto"/>
        <w:ind w:firstLine="422"/>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2、整理原则</w:t>
      </w:r>
    </w:p>
    <w:p w14:paraId="0DA10EB5">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2.1</w:t>
      </w:r>
      <w:r>
        <w:rPr>
          <w:rFonts w:hint="eastAsia" w:ascii="宋体" w:hAnsi="宋体" w:eastAsia="宋体" w:cs="宋体"/>
          <w:b w:val="0"/>
          <w:bCs w:val="0"/>
          <w:color w:val="000000"/>
          <w:sz w:val="21"/>
          <w:szCs w:val="21"/>
        </w:rPr>
        <w:t>归档文件整理应遵循文件的形成规律，保持文件之间的有机联系。</w:t>
      </w:r>
    </w:p>
    <w:p w14:paraId="20866627">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2.2</w:t>
      </w:r>
      <w:r>
        <w:rPr>
          <w:rFonts w:hint="eastAsia" w:ascii="宋体" w:hAnsi="宋体" w:eastAsia="宋体" w:cs="宋体"/>
          <w:b w:val="0"/>
          <w:bCs w:val="0"/>
          <w:color w:val="000000"/>
          <w:sz w:val="21"/>
          <w:szCs w:val="21"/>
        </w:rPr>
        <w:t>归档文件整理应区分不同价值，便于保管和利用。</w:t>
      </w:r>
    </w:p>
    <w:p w14:paraId="4EDA8896">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2.3</w:t>
      </w:r>
      <w:r>
        <w:rPr>
          <w:rFonts w:hint="eastAsia" w:ascii="宋体" w:hAnsi="宋体" w:eastAsia="宋体" w:cs="宋体"/>
          <w:b w:val="0"/>
          <w:bCs w:val="0"/>
          <w:color w:val="000000"/>
          <w:sz w:val="21"/>
          <w:szCs w:val="21"/>
        </w:rPr>
        <w:t>归档文件整理应符合文档一体化管理要求，便于计算机管理或计算机辅助管理。</w:t>
      </w:r>
    </w:p>
    <w:p w14:paraId="6F39AFA2">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2.4</w:t>
      </w:r>
      <w:r>
        <w:rPr>
          <w:rFonts w:hint="eastAsia" w:ascii="宋体" w:hAnsi="宋体" w:eastAsia="宋体" w:cs="宋体"/>
          <w:b w:val="0"/>
          <w:bCs w:val="0"/>
          <w:color w:val="000000"/>
          <w:sz w:val="21"/>
          <w:szCs w:val="21"/>
        </w:rPr>
        <w:t>归档文件整理应保证纸质文件和电子文件整理协调统一。</w:t>
      </w:r>
    </w:p>
    <w:p w14:paraId="1FF7FF86">
      <w:pPr>
        <w:pStyle w:val="23"/>
        <w:spacing w:line="360" w:lineRule="auto"/>
        <w:ind w:firstLine="422"/>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3、一般要求</w:t>
      </w:r>
    </w:p>
    <w:p w14:paraId="1FAACC95">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3.1</w:t>
      </w:r>
      <w:r>
        <w:rPr>
          <w:rFonts w:hint="eastAsia" w:ascii="宋体" w:hAnsi="宋体" w:eastAsia="宋体" w:cs="宋体"/>
          <w:b w:val="0"/>
          <w:bCs w:val="0"/>
          <w:color w:val="000000"/>
          <w:sz w:val="21"/>
          <w:szCs w:val="21"/>
        </w:rPr>
        <w:t>组件（件的组织）、分类、排列、编号、盖归档章。（具体规范见</w:t>
      </w:r>
      <w:r>
        <w:rPr>
          <w:rFonts w:hint="eastAsia" w:ascii="宋体" w:hAnsi="宋体" w:eastAsia="宋体" w:cs="宋体"/>
          <w:b w:val="0"/>
          <w:bCs w:val="0"/>
          <w:sz w:val="21"/>
          <w:szCs w:val="21"/>
        </w:rPr>
        <w:t>《归档文件整理规则》DA／T22-2015</w:t>
      </w:r>
      <w:r>
        <w:rPr>
          <w:rFonts w:hint="eastAsia" w:ascii="宋体" w:hAnsi="宋体" w:eastAsia="宋体" w:cs="宋体"/>
          <w:b w:val="0"/>
          <w:bCs w:val="0"/>
          <w:color w:val="000000"/>
          <w:sz w:val="21"/>
          <w:szCs w:val="21"/>
        </w:rPr>
        <w:t>）</w:t>
      </w:r>
    </w:p>
    <w:p w14:paraId="3BA3531E">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3.2</w:t>
      </w:r>
      <w:r>
        <w:rPr>
          <w:rFonts w:hint="eastAsia" w:ascii="宋体" w:hAnsi="宋体" w:eastAsia="宋体" w:cs="宋体"/>
          <w:b w:val="0"/>
          <w:bCs w:val="0"/>
          <w:color w:val="000000"/>
          <w:sz w:val="21"/>
          <w:szCs w:val="21"/>
        </w:rPr>
        <w:t>编目： 归档文件应依据档号顺序编制归档文件目录。编目应准确、详细，便于检索，具体如下：</w:t>
      </w:r>
    </w:p>
    <w:p w14:paraId="223676C7">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a）序号：填写归档文件顺序号。</w:t>
      </w:r>
    </w:p>
    <w:p w14:paraId="500C90A6">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b）档号。</w:t>
      </w:r>
    </w:p>
    <w:p w14:paraId="1BF14349">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c）文号：文件的发文字号。没有文号的，不用标识。</w:t>
      </w:r>
    </w:p>
    <w:p w14:paraId="40E969E1">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d）责任者：制发文件的组织或个人，即文件的发文机关或署名者。</w:t>
      </w:r>
    </w:p>
    <w:p w14:paraId="6B31FA73">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e）题名：文件标题。没有标题、标题不规范，或者标题不能反映文件主要内容、不方便检索的，应全部或部分自拟标题，自拟内容外加方括号“[ ]”。</w:t>
      </w:r>
    </w:p>
    <w:p w14:paraId="5EC2312A">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f）日期：文件的形成时间，以国际标准日期表示法标注年月日，如19990909。</w:t>
      </w:r>
    </w:p>
    <w:p w14:paraId="157085D8">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g) 密级：文件密级按文件实际标注情况填写。没有密级的，不用标识。</w:t>
      </w:r>
    </w:p>
    <w:p w14:paraId="1E4801F7">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h）页数：每一件归档文件的页面总数。文件中有图文的页面为一页。</w:t>
      </w:r>
    </w:p>
    <w:p w14:paraId="76A9738C">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i）备注：注释文件需说明的情况。</w:t>
      </w:r>
    </w:p>
    <w:p w14:paraId="7AF0DA96">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sz w:val="21"/>
          <w:szCs w:val="21"/>
        </w:rPr>
        <w:t>归档文件目录样式</w:t>
      </w:r>
    </w:p>
    <w:tbl>
      <w:tblPr>
        <w:tblStyle w:val="14"/>
        <w:tblW w:w="7317"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08"/>
        <w:gridCol w:w="929"/>
        <w:gridCol w:w="688"/>
        <w:gridCol w:w="901"/>
        <w:gridCol w:w="1127"/>
        <w:gridCol w:w="675"/>
        <w:gridCol w:w="676"/>
        <w:gridCol w:w="1034"/>
        <w:gridCol w:w="679"/>
      </w:tblGrid>
      <w:tr w14:paraId="1E092E9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60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67C8A92">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序号</w:t>
            </w:r>
          </w:p>
        </w:tc>
        <w:tc>
          <w:tcPr>
            <w:tcW w:w="9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5022FF5">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档号</w:t>
            </w:r>
          </w:p>
        </w:tc>
        <w:tc>
          <w:tcPr>
            <w:tcW w:w="6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F766891">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文号</w:t>
            </w:r>
          </w:p>
        </w:tc>
        <w:tc>
          <w:tcPr>
            <w:tcW w:w="90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80631A3">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责任者</w:t>
            </w:r>
          </w:p>
        </w:tc>
        <w:tc>
          <w:tcPr>
            <w:tcW w:w="112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FC0F57B">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题名</w:t>
            </w:r>
          </w:p>
        </w:tc>
        <w:tc>
          <w:tcPr>
            <w:tcW w:w="67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548CE8A">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日期</w:t>
            </w:r>
          </w:p>
        </w:tc>
        <w:tc>
          <w:tcPr>
            <w:tcW w:w="67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A820C66">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密级</w:t>
            </w:r>
          </w:p>
        </w:tc>
        <w:tc>
          <w:tcPr>
            <w:tcW w:w="10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A2ACB2F">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页数</w:t>
            </w:r>
          </w:p>
        </w:tc>
        <w:tc>
          <w:tcPr>
            <w:tcW w:w="67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73ABE69">
            <w:pPr>
              <w:pStyle w:val="23"/>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备注</w:t>
            </w:r>
          </w:p>
        </w:tc>
      </w:tr>
      <w:tr w14:paraId="1CA42B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60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5C8BF0">
            <w:pPr>
              <w:pStyle w:val="23"/>
              <w:spacing w:line="360" w:lineRule="auto"/>
              <w:jc w:val="center"/>
              <w:rPr>
                <w:rFonts w:hint="eastAsia" w:ascii="宋体" w:hAnsi="宋体" w:eastAsia="宋体" w:cs="宋体"/>
                <w:b w:val="0"/>
                <w:bCs w:val="0"/>
                <w:sz w:val="21"/>
                <w:szCs w:val="21"/>
              </w:rPr>
            </w:pPr>
          </w:p>
        </w:tc>
        <w:tc>
          <w:tcPr>
            <w:tcW w:w="9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846F8E9">
            <w:pPr>
              <w:spacing w:line="360" w:lineRule="auto"/>
              <w:rPr>
                <w:rFonts w:hint="eastAsia" w:ascii="宋体" w:hAnsi="宋体" w:eastAsia="宋体" w:cs="宋体"/>
                <w:b w:val="0"/>
                <w:bCs w:val="0"/>
                <w:sz w:val="21"/>
                <w:szCs w:val="21"/>
              </w:rPr>
            </w:pPr>
          </w:p>
        </w:tc>
        <w:tc>
          <w:tcPr>
            <w:tcW w:w="68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D85AF7">
            <w:pPr>
              <w:spacing w:line="360" w:lineRule="auto"/>
              <w:rPr>
                <w:rFonts w:hint="eastAsia" w:ascii="宋体" w:hAnsi="宋体" w:eastAsia="宋体" w:cs="宋体"/>
                <w:b w:val="0"/>
                <w:bCs w:val="0"/>
                <w:sz w:val="21"/>
                <w:szCs w:val="21"/>
              </w:rPr>
            </w:pPr>
          </w:p>
        </w:tc>
        <w:tc>
          <w:tcPr>
            <w:tcW w:w="90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847008">
            <w:pPr>
              <w:spacing w:line="360" w:lineRule="auto"/>
              <w:rPr>
                <w:rFonts w:hint="eastAsia" w:ascii="宋体" w:hAnsi="宋体" w:eastAsia="宋体" w:cs="宋体"/>
                <w:b w:val="0"/>
                <w:bCs w:val="0"/>
                <w:sz w:val="21"/>
                <w:szCs w:val="21"/>
              </w:rPr>
            </w:pPr>
          </w:p>
        </w:tc>
        <w:tc>
          <w:tcPr>
            <w:tcW w:w="112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D36353">
            <w:pPr>
              <w:spacing w:line="360" w:lineRule="auto"/>
              <w:rPr>
                <w:rFonts w:hint="eastAsia" w:ascii="宋体" w:hAnsi="宋体" w:eastAsia="宋体" w:cs="宋体"/>
                <w:b w:val="0"/>
                <w:bCs w:val="0"/>
                <w:sz w:val="21"/>
                <w:szCs w:val="21"/>
              </w:rPr>
            </w:pPr>
          </w:p>
        </w:tc>
        <w:tc>
          <w:tcPr>
            <w:tcW w:w="67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1D6A88A">
            <w:pPr>
              <w:spacing w:line="360" w:lineRule="auto"/>
              <w:rPr>
                <w:rFonts w:hint="eastAsia" w:ascii="宋体" w:hAnsi="宋体" w:eastAsia="宋体" w:cs="宋体"/>
                <w:b w:val="0"/>
                <w:bCs w:val="0"/>
                <w:sz w:val="21"/>
                <w:szCs w:val="21"/>
              </w:rPr>
            </w:pPr>
          </w:p>
        </w:tc>
        <w:tc>
          <w:tcPr>
            <w:tcW w:w="67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BC09B2C">
            <w:pPr>
              <w:spacing w:line="360" w:lineRule="auto"/>
              <w:rPr>
                <w:rFonts w:hint="eastAsia" w:ascii="宋体" w:hAnsi="宋体" w:eastAsia="宋体" w:cs="宋体"/>
                <w:b w:val="0"/>
                <w:bCs w:val="0"/>
                <w:sz w:val="21"/>
                <w:szCs w:val="21"/>
              </w:rPr>
            </w:pP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0FFB5E">
            <w:pPr>
              <w:spacing w:line="360" w:lineRule="auto"/>
              <w:rPr>
                <w:rFonts w:hint="eastAsia" w:ascii="宋体" w:hAnsi="宋体" w:eastAsia="宋体" w:cs="宋体"/>
                <w:b w:val="0"/>
                <w:bCs w:val="0"/>
                <w:sz w:val="21"/>
                <w:szCs w:val="21"/>
              </w:rPr>
            </w:pPr>
          </w:p>
        </w:tc>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457EAC">
            <w:pPr>
              <w:spacing w:line="360" w:lineRule="auto"/>
              <w:rPr>
                <w:rFonts w:hint="eastAsia" w:ascii="宋体" w:hAnsi="宋体" w:eastAsia="宋体" w:cs="宋体"/>
                <w:b w:val="0"/>
                <w:bCs w:val="0"/>
                <w:sz w:val="21"/>
                <w:szCs w:val="21"/>
              </w:rPr>
            </w:pPr>
          </w:p>
        </w:tc>
      </w:tr>
      <w:tr w14:paraId="059865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60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3D0CE3">
            <w:pPr>
              <w:spacing w:line="360" w:lineRule="auto"/>
              <w:rPr>
                <w:rFonts w:hint="eastAsia" w:ascii="宋体" w:hAnsi="宋体" w:eastAsia="宋体" w:cs="宋体"/>
                <w:b w:val="0"/>
                <w:bCs w:val="0"/>
                <w:sz w:val="21"/>
                <w:szCs w:val="21"/>
              </w:rPr>
            </w:pPr>
          </w:p>
        </w:tc>
        <w:tc>
          <w:tcPr>
            <w:tcW w:w="9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A661E8">
            <w:pPr>
              <w:spacing w:line="360" w:lineRule="auto"/>
              <w:rPr>
                <w:rFonts w:hint="eastAsia" w:ascii="宋体" w:hAnsi="宋体" w:eastAsia="宋体" w:cs="宋体"/>
                <w:b w:val="0"/>
                <w:bCs w:val="0"/>
                <w:sz w:val="21"/>
                <w:szCs w:val="21"/>
              </w:rPr>
            </w:pPr>
          </w:p>
        </w:tc>
        <w:tc>
          <w:tcPr>
            <w:tcW w:w="68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92E9436">
            <w:pPr>
              <w:spacing w:line="360" w:lineRule="auto"/>
              <w:rPr>
                <w:rFonts w:hint="eastAsia" w:ascii="宋体" w:hAnsi="宋体" w:eastAsia="宋体" w:cs="宋体"/>
                <w:b w:val="0"/>
                <w:bCs w:val="0"/>
                <w:sz w:val="21"/>
                <w:szCs w:val="21"/>
              </w:rPr>
            </w:pPr>
          </w:p>
        </w:tc>
        <w:tc>
          <w:tcPr>
            <w:tcW w:w="90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1B563C">
            <w:pPr>
              <w:spacing w:line="360" w:lineRule="auto"/>
              <w:rPr>
                <w:rFonts w:hint="eastAsia" w:ascii="宋体" w:hAnsi="宋体" w:eastAsia="宋体" w:cs="宋体"/>
                <w:b w:val="0"/>
                <w:bCs w:val="0"/>
                <w:sz w:val="21"/>
                <w:szCs w:val="21"/>
              </w:rPr>
            </w:pPr>
          </w:p>
        </w:tc>
        <w:tc>
          <w:tcPr>
            <w:tcW w:w="112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A38AA3">
            <w:pPr>
              <w:spacing w:line="360" w:lineRule="auto"/>
              <w:rPr>
                <w:rFonts w:hint="eastAsia" w:ascii="宋体" w:hAnsi="宋体" w:eastAsia="宋体" w:cs="宋体"/>
                <w:b w:val="0"/>
                <w:bCs w:val="0"/>
                <w:sz w:val="21"/>
                <w:szCs w:val="21"/>
              </w:rPr>
            </w:pPr>
          </w:p>
        </w:tc>
        <w:tc>
          <w:tcPr>
            <w:tcW w:w="67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A2D412">
            <w:pPr>
              <w:spacing w:line="360" w:lineRule="auto"/>
              <w:rPr>
                <w:rFonts w:hint="eastAsia" w:ascii="宋体" w:hAnsi="宋体" w:eastAsia="宋体" w:cs="宋体"/>
                <w:b w:val="0"/>
                <w:bCs w:val="0"/>
                <w:sz w:val="21"/>
                <w:szCs w:val="21"/>
              </w:rPr>
            </w:pPr>
          </w:p>
        </w:tc>
        <w:tc>
          <w:tcPr>
            <w:tcW w:w="67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A75059">
            <w:pPr>
              <w:spacing w:line="360" w:lineRule="auto"/>
              <w:rPr>
                <w:rFonts w:hint="eastAsia" w:ascii="宋体" w:hAnsi="宋体" w:eastAsia="宋体" w:cs="宋体"/>
                <w:b w:val="0"/>
                <w:bCs w:val="0"/>
                <w:sz w:val="21"/>
                <w:szCs w:val="21"/>
              </w:rPr>
            </w:pP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4F87FF">
            <w:pPr>
              <w:spacing w:line="360" w:lineRule="auto"/>
              <w:rPr>
                <w:rFonts w:hint="eastAsia" w:ascii="宋体" w:hAnsi="宋体" w:eastAsia="宋体" w:cs="宋体"/>
                <w:b w:val="0"/>
                <w:bCs w:val="0"/>
                <w:sz w:val="21"/>
                <w:szCs w:val="21"/>
              </w:rPr>
            </w:pPr>
          </w:p>
        </w:tc>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1D16A3">
            <w:pPr>
              <w:spacing w:line="360" w:lineRule="auto"/>
              <w:rPr>
                <w:rFonts w:hint="eastAsia" w:ascii="宋体" w:hAnsi="宋体" w:eastAsia="宋体" w:cs="宋体"/>
                <w:b w:val="0"/>
                <w:bCs w:val="0"/>
                <w:sz w:val="21"/>
                <w:szCs w:val="21"/>
              </w:rPr>
            </w:pPr>
          </w:p>
        </w:tc>
      </w:tr>
      <w:tr w14:paraId="59929E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60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AC04F6">
            <w:pPr>
              <w:spacing w:line="360" w:lineRule="auto"/>
              <w:rPr>
                <w:rFonts w:hint="eastAsia" w:ascii="宋体" w:hAnsi="宋体" w:eastAsia="宋体" w:cs="宋体"/>
                <w:b w:val="0"/>
                <w:bCs w:val="0"/>
                <w:sz w:val="21"/>
                <w:szCs w:val="21"/>
              </w:rPr>
            </w:pPr>
          </w:p>
        </w:tc>
        <w:tc>
          <w:tcPr>
            <w:tcW w:w="9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DF0B18F">
            <w:pPr>
              <w:spacing w:line="360" w:lineRule="auto"/>
              <w:rPr>
                <w:rFonts w:hint="eastAsia" w:ascii="宋体" w:hAnsi="宋体" w:eastAsia="宋体" w:cs="宋体"/>
                <w:b w:val="0"/>
                <w:bCs w:val="0"/>
                <w:sz w:val="21"/>
                <w:szCs w:val="21"/>
              </w:rPr>
            </w:pPr>
          </w:p>
        </w:tc>
        <w:tc>
          <w:tcPr>
            <w:tcW w:w="68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6168B44">
            <w:pPr>
              <w:spacing w:line="360" w:lineRule="auto"/>
              <w:rPr>
                <w:rFonts w:hint="eastAsia" w:ascii="宋体" w:hAnsi="宋体" w:eastAsia="宋体" w:cs="宋体"/>
                <w:b w:val="0"/>
                <w:bCs w:val="0"/>
                <w:sz w:val="21"/>
                <w:szCs w:val="21"/>
              </w:rPr>
            </w:pPr>
          </w:p>
        </w:tc>
        <w:tc>
          <w:tcPr>
            <w:tcW w:w="90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E1213F">
            <w:pPr>
              <w:spacing w:line="360" w:lineRule="auto"/>
              <w:rPr>
                <w:rFonts w:hint="eastAsia" w:ascii="宋体" w:hAnsi="宋体" w:eastAsia="宋体" w:cs="宋体"/>
                <w:b w:val="0"/>
                <w:bCs w:val="0"/>
                <w:sz w:val="21"/>
                <w:szCs w:val="21"/>
              </w:rPr>
            </w:pPr>
          </w:p>
        </w:tc>
        <w:tc>
          <w:tcPr>
            <w:tcW w:w="112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EECE5A">
            <w:pPr>
              <w:spacing w:line="360" w:lineRule="auto"/>
              <w:rPr>
                <w:rFonts w:hint="eastAsia" w:ascii="宋体" w:hAnsi="宋体" w:eastAsia="宋体" w:cs="宋体"/>
                <w:b w:val="0"/>
                <w:bCs w:val="0"/>
                <w:sz w:val="21"/>
                <w:szCs w:val="21"/>
              </w:rPr>
            </w:pPr>
          </w:p>
        </w:tc>
        <w:tc>
          <w:tcPr>
            <w:tcW w:w="67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E49830D">
            <w:pPr>
              <w:spacing w:line="360" w:lineRule="auto"/>
              <w:rPr>
                <w:rFonts w:hint="eastAsia" w:ascii="宋体" w:hAnsi="宋体" w:eastAsia="宋体" w:cs="宋体"/>
                <w:b w:val="0"/>
                <w:bCs w:val="0"/>
                <w:sz w:val="21"/>
                <w:szCs w:val="21"/>
              </w:rPr>
            </w:pPr>
          </w:p>
        </w:tc>
        <w:tc>
          <w:tcPr>
            <w:tcW w:w="67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4B473E">
            <w:pPr>
              <w:spacing w:line="360" w:lineRule="auto"/>
              <w:rPr>
                <w:rFonts w:hint="eastAsia" w:ascii="宋体" w:hAnsi="宋体" w:eastAsia="宋体" w:cs="宋体"/>
                <w:b w:val="0"/>
                <w:bCs w:val="0"/>
                <w:sz w:val="21"/>
                <w:szCs w:val="21"/>
              </w:rPr>
            </w:pP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265E1F">
            <w:pPr>
              <w:spacing w:line="360" w:lineRule="auto"/>
              <w:rPr>
                <w:rFonts w:hint="eastAsia" w:ascii="宋体" w:hAnsi="宋体" w:eastAsia="宋体" w:cs="宋体"/>
                <w:b w:val="0"/>
                <w:bCs w:val="0"/>
                <w:sz w:val="21"/>
                <w:szCs w:val="21"/>
              </w:rPr>
            </w:pPr>
          </w:p>
        </w:tc>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05CF5C">
            <w:pPr>
              <w:spacing w:line="360" w:lineRule="auto"/>
              <w:rPr>
                <w:rFonts w:hint="eastAsia" w:ascii="宋体" w:hAnsi="宋体" w:eastAsia="宋体" w:cs="宋体"/>
                <w:b w:val="0"/>
                <w:bCs w:val="0"/>
                <w:sz w:val="21"/>
                <w:szCs w:val="21"/>
              </w:rPr>
            </w:pPr>
          </w:p>
        </w:tc>
      </w:tr>
      <w:tr w14:paraId="5BFDD4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0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2179B2">
            <w:pPr>
              <w:spacing w:line="360" w:lineRule="auto"/>
              <w:rPr>
                <w:rFonts w:hint="eastAsia" w:ascii="宋体" w:hAnsi="宋体" w:eastAsia="宋体" w:cs="宋体"/>
                <w:b w:val="0"/>
                <w:bCs w:val="0"/>
                <w:sz w:val="21"/>
                <w:szCs w:val="21"/>
              </w:rPr>
            </w:pPr>
          </w:p>
        </w:tc>
        <w:tc>
          <w:tcPr>
            <w:tcW w:w="92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991914">
            <w:pPr>
              <w:spacing w:line="360" w:lineRule="auto"/>
              <w:rPr>
                <w:rFonts w:hint="eastAsia" w:ascii="宋体" w:hAnsi="宋体" w:eastAsia="宋体" w:cs="宋体"/>
                <w:b w:val="0"/>
                <w:bCs w:val="0"/>
                <w:sz w:val="21"/>
                <w:szCs w:val="21"/>
              </w:rPr>
            </w:pPr>
          </w:p>
        </w:tc>
        <w:tc>
          <w:tcPr>
            <w:tcW w:w="68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A4E9F9">
            <w:pPr>
              <w:spacing w:line="360" w:lineRule="auto"/>
              <w:rPr>
                <w:rFonts w:hint="eastAsia" w:ascii="宋体" w:hAnsi="宋体" w:eastAsia="宋体" w:cs="宋体"/>
                <w:b w:val="0"/>
                <w:bCs w:val="0"/>
                <w:sz w:val="21"/>
                <w:szCs w:val="21"/>
              </w:rPr>
            </w:pPr>
          </w:p>
        </w:tc>
        <w:tc>
          <w:tcPr>
            <w:tcW w:w="90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A25346">
            <w:pPr>
              <w:spacing w:line="360" w:lineRule="auto"/>
              <w:rPr>
                <w:rFonts w:hint="eastAsia" w:ascii="宋体" w:hAnsi="宋体" w:eastAsia="宋体" w:cs="宋体"/>
                <w:b w:val="0"/>
                <w:bCs w:val="0"/>
                <w:sz w:val="21"/>
                <w:szCs w:val="21"/>
              </w:rPr>
            </w:pPr>
          </w:p>
        </w:tc>
        <w:tc>
          <w:tcPr>
            <w:tcW w:w="112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CAD9DA">
            <w:pPr>
              <w:spacing w:line="360" w:lineRule="auto"/>
              <w:rPr>
                <w:rFonts w:hint="eastAsia" w:ascii="宋体" w:hAnsi="宋体" w:eastAsia="宋体" w:cs="宋体"/>
                <w:b w:val="0"/>
                <w:bCs w:val="0"/>
                <w:sz w:val="21"/>
                <w:szCs w:val="21"/>
              </w:rPr>
            </w:pPr>
          </w:p>
        </w:tc>
        <w:tc>
          <w:tcPr>
            <w:tcW w:w="67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2E41F8">
            <w:pPr>
              <w:spacing w:line="360" w:lineRule="auto"/>
              <w:rPr>
                <w:rFonts w:hint="eastAsia" w:ascii="宋体" w:hAnsi="宋体" w:eastAsia="宋体" w:cs="宋体"/>
                <w:b w:val="0"/>
                <w:bCs w:val="0"/>
                <w:sz w:val="21"/>
                <w:szCs w:val="21"/>
              </w:rPr>
            </w:pPr>
          </w:p>
        </w:tc>
        <w:tc>
          <w:tcPr>
            <w:tcW w:w="67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D57E62">
            <w:pPr>
              <w:spacing w:line="360" w:lineRule="auto"/>
              <w:rPr>
                <w:rFonts w:hint="eastAsia" w:ascii="宋体" w:hAnsi="宋体" w:eastAsia="宋体" w:cs="宋体"/>
                <w:b w:val="0"/>
                <w:bCs w:val="0"/>
                <w:sz w:val="21"/>
                <w:szCs w:val="21"/>
              </w:rPr>
            </w:pP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975EC69">
            <w:pPr>
              <w:spacing w:line="360" w:lineRule="auto"/>
              <w:rPr>
                <w:rFonts w:hint="eastAsia" w:ascii="宋体" w:hAnsi="宋体" w:eastAsia="宋体" w:cs="宋体"/>
                <w:b w:val="0"/>
                <w:bCs w:val="0"/>
                <w:sz w:val="21"/>
                <w:szCs w:val="21"/>
              </w:rPr>
            </w:pPr>
          </w:p>
        </w:tc>
        <w:tc>
          <w:tcPr>
            <w:tcW w:w="67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44E55E">
            <w:pPr>
              <w:spacing w:line="360" w:lineRule="auto"/>
              <w:rPr>
                <w:rFonts w:hint="eastAsia" w:ascii="宋体" w:hAnsi="宋体" w:eastAsia="宋体" w:cs="宋体"/>
                <w:b w:val="0"/>
                <w:bCs w:val="0"/>
                <w:sz w:val="21"/>
                <w:szCs w:val="21"/>
              </w:rPr>
            </w:pPr>
          </w:p>
        </w:tc>
      </w:tr>
    </w:tbl>
    <w:p w14:paraId="3C564100">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4、纸质归档文件的修整、装订、编页、装盒</w:t>
      </w:r>
    </w:p>
    <w:p w14:paraId="7FAC822E">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4.1</w:t>
      </w:r>
      <w:r>
        <w:rPr>
          <w:rFonts w:hint="eastAsia" w:ascii="宋体" w:hAnsi="宋体" w:eastAsia="宋体" w:cs="宋体"/>
          <w:b w:val="0"/>
          <w:bCs w:val="0"/>
          <w:color w:val="000000"/>
          <w:sz w:val="21"/>
          <w:szCs w:val="21"/>
        </w:rPr>
        <w:t>修整</w:t>
      </w:r>
    </w:p>
    <w:p w14:paraId="07164066">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a.归档文件装订前，应对不符合要求的文件材料进行修整。</w:t>
      </w:r>
    </w:p>
    <w:p w14:paraId="2F022979">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b.归档文件已破损的，应按照 DA/T 25-2000 予以修复；字迹模糊或易退变的，应予复制。</w:t>
      </w:r>
    </w:p>
    <w:p w14:paraId="7EF175C3">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c.归档文件应按照保管期限要求去除易锈蚀、易氧化的金属或塑料装订用品。</w:t>
      </w:r>
    </w:p>
    <w:p w14:paraId="619DFB8A">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d.对于幅面过大的文件，应在不影响其日后使用效果的前提下进行折叠。</w:t>
      </w:r>
    </w:p>
    <w:p w14:paraId="359E3AFC">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4.2</w:t>
      </w:r>
      <w:r>
        <w:rPr>
          <w:rFonts w:hint="eastAsia" w:ascii="宋体" w:hAnsi="宋体" w:eastAsia="宋体" w:cs="宋体"/>
          <w:b w:val="0"/>
          <w:bCs w:val="0"/>
          <w:color w:val="000000"/>
          <w:sz w:val="21"/>
          <w:szCs w:val="21"/>
        </w:rPr>
        <w:t>装订</w:t>
      </w:r>
    </w:p>
    <w:p w14:paraId="6DF5B4AF">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a.归档文件一般以件为单位装订。归档文件装订应牢固、安全、简便，做到文件不损页、不倒页、 不压字，装订后文件平整，有利于归档文件的保护和管理。装订应尽量减少对归档文件本身影响，原装订方式符合要求的，应维持不变。</w:t>
      </w:r>
    </w:p>
    <w:p w14:paraId="074D081C">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b.应根据归档文件保管期限确定装订方式，装订材料与保管期限要求相匹配。为便于管理，相同期 限的归档文件装订方式应尽量保持一致，不同期限的装订方式应相对统一。</w:t>
      </w:r>
    </w:p>
    <w:p w14:paraId="3F96ED39">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c.用于装订的材料，不能包含或产生可能损害归档文件的物质。不使用回形针、大头针、燕尾夹、 热熔胶、办公胶水、装订夹条、塑料封等装订材料进行装订。</w:t>
      </w:r>
    </w:p>
    <w:p w14:paraId="111198CD">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d.永久保管的归档文件，宜采取线装法装订。页数较少的，使用直角装订，文件较厚的，使用“三孔一线”装订。永久保管的归档文件，使用不锈钢订书钉或浆糊装订的，装订材料应满足归档文件长期保存的需要。</w:t>
      </w:r>
    </w:p>
    <w:p w14:paraId="377AB7A1">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4.3</w:t>
      </w:r>
      <w:r>
        <w:rPr>
          <w:rFonts w:hint="eastAsia" w:ascii="宋体" w:hAnsi="宋体" w:eastAsia="宋体" w:cs="宋体"/>
          <w:b w:val="0"/>
          <w:bCs w:val="0"/>
          <w:color w:val="000000"/>
          <w:sz w:val="21"/>
          <w:szCs w:val="21"/>
        </w:rPr>
        <w:t>编页</w:t>
      </w:r>
    </w:p>
    <w:p w14:paraId="2A649839">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a.纸质归档文件一般应以件为单位编制页码。</w:t>
      </w:r>
    </w:p>
    <w:p w14:paraId="13305A5C">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b.页码应逐页用铅笔编制，宜分别标注在文件正面右上角或背面左上角的空白位置。</w:t>
      </w:r>
    </w:p>
    <w:p w14:paraId="4DAED237">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c.文件材料已印制成册并编有页码的；拟编制页码与文件原有页码相同的，可以保持原有页码不变。</w:t>
      </w:r>
    </w:p>
    <w:p w14:paraId="7B739D58">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lang w:val="en-US" w:eastAsia="zh-CN"/>
        </w:rPr>
        <w:t>4.4</w:t>
      </w:r>
      <w:r>
        <w:rPr>
          <w:rFonts w:hint="eastAsia" w:ascii="宋体" w:hAnsi="宋体" w:eastAsia="宋体" w:cs="宋体"/>
          <w:b w:val="0"/>
          <w:bCs w:val="0"/>
          <w:color w:val="000000"/>
          <w:sz w:val="21"/>
          <w:szCs w:val="21"/>
        </w:rPr>
        <w:t>装盒</w:t>
      </w:r>
    </w:p>
    <w:p w14:paraId="2C3EA6DC">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将归档文件按顺序装入档案盒，并填写档案盒盒脊及备考表项目。不同年度、机构（问题）、保管期限的归档文件不能装入同一个档案盒。</w:t>
      </w:r>
    </w:p>
    <w:p w14:paraId="5F7D77BE">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备考表备考表置于盒内文件之后，项目包括盒内文件情况说明、整理人、整理日期、检查人、检查日期。</w:t>
      </w:r>
    </w:p>
    <w:p w14:paraId="1FABAAD1">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a）盒内文件情况说明：填写盒内文件缺损、修改、补充、移出、销毁等情况。</w:t>
      </w:r>
    </w:p>
    <w:p w14:paraId="18639F3D">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b）整理人：负责整理归档文件的人员签名或签章。</w:t>
      </w:r>
    </w:p>
    <w:p w14:paraId="41291011">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c）整理日期：归档文件整理完成日期。</w:t>
      </w:r>
    </w:p>
    <w:p w14:paraId="352ABE75">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d）检查人：负责检查归档文件整理质量的人员签名或签章。</w:t>
      </w:r>
    </w:p>
    <w:p w14:paraId="220930CC">
      <w:pPr>
        <w:pStyle w:val="23"/>
        <w:spacing w:line="360" w:lineRule="auto"/>
        <w:ind w:firstLine="420"/>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e）检查日期：归档文件检查完毕的日期。</w:t>
      </w:r>
    </w:p>
    <w:p w14:paraId="3D5A8B93">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4.5</w:t>
      </w:r>
      <w:r>
        <w:rPr>
          <w:rFonts w:hint="eastAsia" w:ascii="宋体" w:hAnsi="宋体" w:eastAsia="宋体" w:cs="宋体"/>
          <w:b w:val="0"/>
          <w:bCs w:val="0"/>
          <w:sz w:val="21"/>
          <w:szCs w:val="21"/>
        </w:rPr>
        <w:t>质检</w:t>
      </w:r>
    </w:p>
    <w:p w14:paraId="3A057539">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指定专人对档案整理成果进行抽检验收，抽检的比率应达到本次抽检总卷数的5%，合格率应达到100%。合格率=抽检合格卷数/抽检总数*100%。合格率低于100%以下，需再次抽检本次抽检总卷数的5%，进行检查验收。承担单位应对存在问题进行整改，整改合格后交于档案管理方完成验收(如承担方未对存在问题的档案进行整改，未整改壹卷将扣除拾卷费用)。</w:t>
      </w:r>
    </w:p>
    <w:p w14:paraId="4DF57C63">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对于验收合格档案资料，档案管理方应在“档案整理作业单”上签字确认，并且在“档案整理质量汇总确认表”上签字盖章作为最终验收结果。</w:t>
      </w:r>
    </w:p>
    <w:p w14:paraId="4994F53A">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4.6</w:t>
      </w:r>
      <w:r>
        <w:rPr>
          <w:rFonts w:hint="eastAsia" w:ascii="宋体" w:hAnsi="宋体" w:eastAsia="宋体" w:cs="宋体"/>
          <w:b w:val="0"/>
          <w:bCs w:val="0"/>
          <w:sz w:val="21"/>
          <w:szCs w:val="21"/>
        </w:rPr>
        <w:t>入库上架</w:t>
      </w:r>
    </w:p>
    <w:p w14:paraId="6840F224">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填写“领取还档登记表”。将整理完成并通过验收的纸质档案按照批次列出交接清单归还档案管理部门，档案归还前应提前向管理部门提出申请。外包服务商的借件人和管理部门有关人员一起，办理好归还手续，对拟归还的档案逐卷或逐件清点，共同进行档案内容、目录、数量的核对， 不能有任何差错。</w:t>
      </w:r>
    </w:p>
    <w:p w14:paraId="070CFD16">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发现错误，及时进行纠正。</w:t>
      </w:r>
    </w:p>
    <w:p w14:paraId="4404934F">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工作统计登记，责任到人。</w:t>
      </w:r>
    </w:p>
    <w:p w14:paraId="522CB1FC">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每周五下午，必须将临时档案柜中的档案交还库房，确保档案安全。</w:t>
      </w:r>
    </w:p>
    <w:p w14:paraId="165A21E7">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外包服务商在档案管理部门的监督和管理下进行档案的入库上架。</w:t>
      </w:r>
    </w:p>
    <w:p w14:paraId="553037AA">
      <w:pPr>
        <w:pStyle w:val="23"/>
        <w:spacing w:line="360" w:lineRule="auto"/>
        <w:ind w:firstLine="422"/>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（二）档案数字化加工及成果数据存储（含</w:t>
      </w:r>
      <w:r>
        <w:rPr>
          <w:rFonts w:hint="eastAsia" w:ascii="宋体" w:hAnsi="宋体" w:eastAsia="宋体" w:cs="宋体"/>
          <w:b w:val="0"/>
          <w:bCs w:val="0"/>
          <w:sz w:val="21"/>
          <w:szCs w:val="21"/>
          <w:lang w:eastAsia="zh-CN"/>
        </w:rPr>
        <w:t>矿权、业务、文书）</w:t>
      </w:r>
    </w:p>
    <w:p w14:paraId="5115BDBA">
      <w:pPr>
        <w:pStyle w:val="23"/>
        <w:spacing w:line="360" w:lineRule="auto"/>
        <w:ind w:firstLine="422"/>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1、档案调卷</w:t>
      </w:r>
    </w:p>
    <w:p w14:paraId="7C99F6DB">
      <w:pPr>
        <w:pStyle w:val="23"/>
        <w:spacing w:line="360" w:lineRule="auto"/>
        <w:ind w:left="15"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调卷数量控制为一周工作量，做到一周内扫完一批，周一上午调卷，周五下午还卷，扫一批还一批，数据提交一批，环环相扣，责任到人，将档案遗失风险降到最小。遵守库房管理制度，严格遵守保密制度，妥善保护、保存档案。</w:t>
      </w:r>
    </w:p>
    <w:p w14:paraId="77034082">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1.1</w:t>
      </w:r>
      <w:r>
        <w:rPr>
          <w:rFonts w:hint="eastAsia" w:ascii="宋体" w:hAnsi="宋体" w:eastAsia="宋体" w:cs="宋体"/>
          <w:b w:val="0"/>
          <w:bCs w:val="0"/>
          <w:sz w:val="21"/>
          <w:szCs w:val="21"/>
        </w:rPr>
        <w:t>项目组中有专门调卷工作人员，和库房人员一起，到库房根据清单，搬下相应的案卷，对提取的档案进行清点，共同进行档案目录、数量的核对，确保不出任何差错；</w:t>
      </w:r>
    </w:p>
    <w:p w14:paraId="172C1947">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rPr>
        <w:t>清点结束，双方在档案调借清单上确认签字；</w:t>
      </w:r>
    </w:p>
    <w:p w14:paraId="4CFA462B">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1.3</w:t>
      </w:r>
      <w:r>
        <w:rPr>
          <w:rFonts w:hint="eastAsia" w:ascii="宋体" w:hAnsi="宋体" w:eastAsia="宋体" w:cs="宋体"/>
          <w:b w:val="0"/>
          <w:bCs w:val="0"/>
          <w:sz w:val="21"/>
          <w:szCs w:val="21"/>
        </w:rPr>
        <w:t>档案保管人员与调卷人员共同进行全宗、目录、数量的二次核对，档案保管员进行数量统计，并进行登记，填写“借档还档登记表。</w:t>
      </w:r>
    </w:p>
    <w:p w14:paraId="0B39B9D4">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1.4</w:t>
      </w:r>
      <w:r>
        <w:rPr>
          <w:rFonts w:hint="eastAsia" w:ascii="宋体" w:hAnsi="宋体" w:eastAsia="宋体" w:cs="宋体"/>
          <w:b w:val="0"/>
          <w:bCs w:val="0"/>
          <w:sz w:val="21"/>
          <w:szCs w:val="21"/>
        </w:rPr>
        <w:t>放入临时档案保管柜，锁好，注意安全保存；</w:t>
      </w:r>
    </w:p>
    <w:p w14:paraId="73CC31AC">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1.5</w:t>
      </w:r>
      <w:r>
        <w:rPr>
          <w:rFonts w:hint="eastAsia" w:ascii="宋体" w:hAnsi="宋体" w:eastAsia="宋体" w:cs="宋体"/>
          <w:b w:val="0"/>
          <w:bCs w:val="0"/>
          <w:sz w:val="21"/>
          <w:szCs w:val="21"/>
        </w:rPr>
        <w:t>临时档案柜的存放位置由工作人员指定。</w:t>
      </w:r>
    </w:p>
    <w:p w14:paraId="6D263F93">
      <w:pPr>
        <w:pStyle w:val="23"/>
        <w:spacing w:line="360" w:lineRule="auto"/>
        <w:ind w:firstLine="422"/>
        <w:rPr>
          <w:rFonts w:hint="eastAsia" w:ascii="宋体" w:hAnsi="宋体" w:eastAsia="宋体" w:cs="宋体"/>
          <w:b w:val="0"/>
          <w:bCs w:val="0"/>
          <w:sz w:val="21"/>
          <w:szCs w:val="21"/>
        </w:rPr>
      </w:pPr>
      <w:r>
        <w:rPr>
          <w:rFonts w:hint="eastAsia" w:ascii="宋体" w:hAnsi="宋体" w:eastAsia="宋体" w:cs="宋体"/>
          <w:b w:val="0"/>
          <w:bCs w:val="0"/>
          <w:sz w:val="21"/>
          <w:szCs w:val="21"/>
        </w:rPr>
        <w:t>2、整理核对</w:t>
      </w:r>
    </w:p>
    <w:p w14:paraId="7963B106">
      <w:pPr>
        <w:pStyle w:val="23"/>
        <w:spacing w:after="120"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安排精通档案的专业人员，管理整理核对工作，其他核对人员必须工作认真细致，小心谨慎，严禁破损档案的一切行为，并严格遵守保密制度。</w:t>
      </w:r>
    </w:p>
    <w:p w14:paraId="74A396E7">
      <w:pPr>
        <w:pStyle w:val="23"/>
        <w:spacing w:after="120"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整理人员到档案保管人员处领取当日需要扫描的档案，并进行登记；同时，派专门人员，到目录室，把该批档案的目录取出来；按照档案整理的标准，依据目录对照档案原件再次核对。对照目录逐份逐页检查档案原件，发现错误疏漏，在工作人员的指导下，进行改正或者做出正确标识，位置错，重新归类，顺序不对，调整、放好，并确定目录无误，同时，填写差错报告。</w:t>
      </w:r>
    </w:p>
    <w:p w14:paraId="132EF70B">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检查档案实体的编制页码，档案实体的页码按顺序连续排列，如有错编或漏编页码则需要更正。工作统计登记，填写“页码修改登记表.xls”，责任到人。</w:t>
      </w:r>
    </w:p>
    <w:p w14:paraId="175BA0D2">
      <w:pPr>
        <w:pStyle w:val="23"/>
        <w:spacing w:line="360" w:lineRule="auto"/>
        <w:ind w:left="15" w:firstLine="411"/>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3、目录著录</w:t>
      </w:r>
    </w:p>
    <w:p w14:paraId="34D9E4BB">
      <w:pPr>
        <w:pStyle w:val="23"/>
        <w:spacing w:line="360" w:lineRule="auto"/>
        <w:ind w:left="15"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目录数据</w:t>
      </w:r>
      <w:r>
        <w:rPr>
          <w:rFonts w:hint="eastAsia" w:ascii="宋体" w:hAnsi="宋体" w:eastAsia="宋体" w:cs="宋体"/>
          <w:b w:val="0"/>
          <w:bCs w:val="0"/>
          <w:sz w:val="21"/>
          <w:szCs w:val="21"/>
          <w:lang w:val="en-US" w:eastAsia="zh-CN"/>
        </w:rPr>
        <w:t>包含</w:t>
      </w:r>
      <w:r>
        <w:rPr>
          <w:rFonts w:hint="eastAsia" w:ascii="宋体" w:hAnsi="宋体" w:eastAsia="宋体" w:cs="宋体"/>
          <w:b w:val="0"/>
          <w:bCs w:val="0"/>
          <w:sz w:val="21"/>
          <w:szCs w:val="21"/>
        </w:rPr>
        <w:t>序号、档号、文号、责任者、题名、日期、密</w:t>
      </w:r>
      <w:r>
        <w:rPr>
          <w:rFonts w:hint="eastAsia" w:ascii="宋体" w:hAnsi="宋体" w:eastAsia="宋体" w:cs="宋体"/>
          <w:b w:val="0"/>
          <w:bCs w:val="0"/>
          <w:sz w:val="21"/>
          <w:szCs w:val="21"/>
          <w:lang w:val="en-US" w:eastAsia="zh-CN"/>
        </w:rPr>
        <w:t>级</w:t>
      </w:r>
      <w:r>
        <w:rPr>
          <w:rFonts w:hint="eastAsia" w:ascii="宋体" w:hAnsi="宋体" w:eastAsia="宋体" w:cs="宋体"/>
          <w:b w:val="0"/>
          <w:bCs w:val="0"/>
          <w:sz w:val="21"/>
          <w:szCs w:val="21"/>
        </w:rPr>
        <w:t>、页数、备注、保管期限。</w:t>
      </w:r>
    </w:p>
    <w:p w14:paraId="51C2E156">
      <w:pPr>
        <w:pStyle w:val="23"/>
        <w:spacing w:line="360" w:lineRule="auto"/>
        <w:ind w:left="15" w:firstLine="411"/>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4、原件拆卷</w:t>
      </w:r>
    </w:p>
    <w:p w14:paraId="4E2350C3">
      <w:pPr>
        <w:pStyle w:val="23"/>
        <w:spacing w:line="360" w:lineRule="auto"/>
        <w:ind w:firstLine="48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在不去除装订物情况下，影响扫描工作进行的档案，应拆除装订物。拆除装订物时应保护档案不受损害。拆卷流程：拆卷是指将档案拆线，形成散页，便于扫描的过程，拆卷流程应注意一下要点：</w:t>
      </w:r>
    </w:p>
    <w:p w14:paraId="7C755D88">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4.1</w:t>
      </w:r>
      <w:r>
        <w:rPr>
          <w:rFonts w:hint="eastAsia" w:ascii="宋体" w:hAnsi="宋体" w:eastAsia="宋体" w:cs="宋体"/>
          <w:b w:val="0"/>
          <w:bCs w:val="0"/>
          <w:sz w:val="21"/>
          <w:szCs w:val="21"/>
        </w:rPr>
        <w:t>拆装人员应有高度的责任心，爱惜资料，保管好档案不受损害，负责资料拆装工作。</w:t>
      </w:r>
    </w:p>
    <w:p w14:paraId="4C89E017">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4.2</w:t>
      </w:r>
      <w:r>
        <w:rPr>
          <w:rFonts w:hint="eastAsia" w:ascii="宋体" w:hAnsi="宋体" w:eastAsia="宋体" w:cs="宋体"/>
          <w:b w:val="0"/>
          <w:bCs w:val="0"/>
          <w:sz w:val="21"/>
          <w:szCs w:val="21"/>
        </w:rPr>
        <w:t>拆开案卷，将案卷背面的封条小心撕干净，剪开装订线；</w:t>
      </w:r>
    </w:p>
    <w:p w14:paraId="055F467B">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4.3</w:t>
      </w:r>
      <w:r>
        <w:rPr>
          <w:rFonts w:hint="eastAsia" w:ascii="宋体" w:hAnsi="宋体" w:eastAsia="宋体" w:cs="宋体"/>
          <w:b w:val="0"/>
          <w:bCs w:val="0"/>
          <w:sz w:val="21"/>
          <w:szCs w:val="21"/>
        </w:rPr>
        <w:t>将案卷内页每页分开，对特殊页（如双面有页码，需做合页）做出标识提醒扫描人员注意；</w:t>
      </w:r>
    </w:p>
    <w:p w14:paraId="3DEF034E">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4.4</w:t>
      </w:r>
      <w:r>
        <w:rPr>
          <w:rFonts w:hint="eastAsia" w:ascii="宋体" w:hAnsi="宋体" w:eastAsia="宋体" w:cs="宋体"/>
          <w:b w:val="0"/>
          <w:bCs w:val="0"/>
          <w:sz w:val="21"/>
          <w:szCs w:val="21"/>
        </w:rPr>
        <w:t>注明每盒或每年度的页数及其他的特殊情况。在有不清楚的情况下，拆卷人员应该及时向档案员进行咨询，不得擅自对问题进行处理。</w:t>
      </w:r>
    </w:p>
    <w:p w14:paraId="3437AA75">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4.5</w:t>
      </w:r>
      <w:r>
        <w:rPr>
          <w:rFonts w:hint="eastAsia" w:ascii="宋体" w:hAnsi="宋体" w:eastAsia="宋体" w:cs="宋体"/>
          <w:b w:val="0"/>
          <w:bCs w:val="0"/>
          <w:sz w:val="21"/>
          <w:szCs w:val="21"/>
        </w:rPr>
        <w:t>去掉档案中所有金属物，如订书针、大头针和回形针等；对已装订的档案进行拆除，在拆除时须注意保护档案不受损害。</w:t>
      </w:r>
    </w:p>
    <w:p w14:paraId="1587E8CB">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4.6</w:t>
      </w:r>
      <w:r>
        <w:rPr>
          <w:rFonts w:hint="eastAsia" w:ascii="宋体" w:hAnsi="宋体" w:eastAsia="宋体" w:cs="宋体"/>
          <w:b w:val="0"/>
          <w:bCs w:val="0"/>
          <w:sz w:val="21"/>
          <w:szCs w:val="21"/>
        </w:rPr>
        <w:t>对于档案中小纸张或原档案破损严重、无法直接进行扫描的档案，应先进行技术修复，其原则是在将破损的部分粘贴修补时，不能将原件上的字迹内容遮挡，而粘贴后如产生折皱，对影响扫描质量；另如因加工过程属非恶意的人为损坏，同样由工作人员负责技术修复。</w:t>
      </w:r>
    </w:p>
    <w:p w14:paraId="04786C48">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4.7</w:t>
      </w:r>
      <w:r>
        <w:rPr>
          <w:rFonts w:hint="eastAsia" w:ascii="宋体" w:hAnsi="宋体" w:eastAsia="宋体" w:cs="宋体"/>
          <w:b w:val="0"/>
          <w:bCs w:val="0"/>
          <w:sz w:val="21"/>
          <w:szCs w:val="21"/>
        </w:rPr>
        <w:t>拆封档案后，要对档案内夹页、不正确的内容进行整理，重新编制页码和卷内目录。扫描完成后，拆除过装订物的档案应按原档案保管单位重新装订（采用三孔装订），并保持每页档案原有的排列顺序不变，文件不掉页、右边和底边整齐。</w:t>
      </w:r>
    </w:p>
    <w:p w14:paraId="20D301C2">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4.8</w:t>
      </w:r>
      <w:r>
        <w:rPr>
          <w:rFonts w:hint="eastAsia" w:ascii="宋体" w:hAnsi="宋体" w:eastAsia="宋体" w:cs="宋体"/>
          <w:b w:val="0"/>
          <w:bCs w:val="0"/>
          <w:sz w:val="21"/>
          <w:szCs w:val="21"/>
        </w:rPr>
        <w:t>在拆装档案过程中如发现原件有夹带实物的，应根据原件给实物编号，并用塑料袋妥善保管好，装订时再按原样复原。</w:t>
      </w:r>
    </w:p>
    <w:p w14:paraId="0965F0BE">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4.9</w:t>
      </w:r>
      <w:r>
        <w:rPr>
          <w:rFonts w:hint="eastAsia" w:ascii="宋体" w:hAnsi="宋体" w:eastAsia="宋体" w:cs="宋体"/>
          <w:b w:val="0"/>
          <w:bCs w:val="0"/>
          <w:sz w:val="21"/>
          <w:szCs w:val="21"/>
        </w:rPr>
        <w:t>装订前必须清查档案的页数，不能出现漏页、错页，并保证资料的顺序、方向正确，装订面的左侧和底面必须成直角；如档案原来就存在的问题，应如实填写“核查问题登记表.doc”。</w:t>
      </w:r>
    </w:p>
    <w:p w14:paraId="39E989D8">
      <w:pPr>
        <w:pStyle w:val="23"/>
        <w:spacing w:line="360" w:lineRule="auto"/>
        <w:ind w:left="15" w:firstLine="411"/>
        <w:jc w:val="both"/>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5、档案扫描</w:t>
      </w:r>
    </w:p>
    <w:p w14:paraId="74639E42">
      <w:pPr>
        <w:pStyle w:val="23"/>
        <w:spacing w:line="360" w:lineRule="auto"/>
        <w:ind w:left="15" w:firstLine="420"/>
        <w:jc w:val="both"/>
        <w:rPr>
          <w:rFonts w:hint="eastAsia" w:ascii="宋体" w:hAnsi="宋体" w:eastAsia="宋体" w:cs="宋体"/>
          <w:b w:val="0"/>
          <w:bCs w:val="0"/>
          <w:sz w:val="21"/>
          <w:szCs w:val="21"/>
        </w:rPr>
      </w:pPr>
      <w:r>
        <w:rPr>
          <w:rFonts w:hint="eastAsia" w:ascii="宋体" w:hAnsi="宋体" w:eastAsia="宋体" w:cs="宋体"/>
          <w:b w:val="0"/>
          <w:bCs w:val="0"/>
          <w:color w:val="000000"/>
          <w:sz w:val="21"/>
          <w:szCs w:val="21"/>
        </w:rPr>
        <w:t>采用专业文件扫描仪，采用流水线作业方式；</w:t>
      </w:r>
      <w:r>
        <w:rPr>
          <w:rFonts w:hint="eastAsia" w:ascii="宋体" w:hAnsi="宋体" w:eastAsia="宋体" w:cs="宋体"/>
          <w:b w:val="0"/>
          <w:bCs w:val="0"/>
          <w:sz w:val="21"/>
          <w:szCs w:val="21"/>
        </w:rPr>
        <w:t>扫描人员到拆卷人员处领取文件，当面清点，核实无误，双方进行登记；发现错误，进行原件拆卷的返工；</w:t>
      </w:r>
    </w:p>
    <w:p w14:paraId="55295FF0">
      <w:pPr>
        <w:pStyle w:val="23"/>
        <w:spacing w:line="360" w:lineRule="auto"/>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扫描完成，进行清点，按原先秩序放回档案袋，交付原件装订人员。工作统计登记，责任到人。</w:t>
      </w:r>
    </w:p>
    <w:p w14:paraId="6094CB5B">
      <w:pPr>
        <w:pStyle w:val="23"/>
        <w:spacing w:line="360" w:lineRule="auto"/>
        <w:ind w:left="15" w:firstLine="409"/>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根据档案原件质量的情况，将纸质较差的或幅面较大的放置平台扫描仪上单页扫描；只有较好纸张使用高速扫描。全部采用彩色模式进行扫描，分辨率为300dpi以上。</w:t>
      </w:r>
    </w:p>
    <w:p w14:paraId="5602B768">
      <w:pPr>
        <w:pStyle w:val="23"/>
        <w:spacing w:line="360" w:lineRule="auto"/>
        <w:ind w:firstLine="402"/>
        <w:rPr>
          <w:rFonts w:hint="eastAsia" w:ascii="宋体" w:hAnsi="宋体" w:eastAsia="宋体" w:cs="宋体"/>
          <w:b w:val="0"/>
          <w:bCs w:val="0"/>
          <w:sz w:val="21"/>
          <w:szCs w:val="21"/>
        </w:rPr>
      </w:pPr>
      <w:r>
        <w:rPr>
          <w:rFonts w:hint="eastAsia" w:ascii="宋体" w:hAnsi="宋体" w:eastAsia="宋体" w:cs="宋体"/>
          <w:b w:val="0"/>
          <w:bCs w:val="0"/>
          <w:sz w:val="21"/>
          <w:szCs w:val="21"/>
        </w:rPr>
        <w:t>6、存储格式</w:t>
      </w:r>
    </w:p>
    <w:p w14:paraId="3C3E4612">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6.1</w:t>
      </w:r>
      <w:r>
        <w:rPr>
          <w:rFonts w:hint="eastAsia" w:ascii="宋体" w:hAnsi="宋体" w:eastAsia="宋体" w:cs="宋体"/>
          <w:b w:val="0"/>
          <w:bCs w:val="0"/>
          <w:sz w:val="21"/>
          <w:szCs w:val="21"/>
        </w:rPr>
        <w:t>纸质档案数字图像保存格式统一为JPEG或TIFF通用格式，JPEG压缩品质采用“高”以上级别。最终将图像转换为PDF和OFD格式各一套。</w:t>
      </w:r>
    </w:p>
    <w:p w14:paraId="0C1758D1">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6.2</w:t>
      </w:r>
      <w:r>
        <w:rPr>
          <w:rFonts w:hint="eastAsia" w:ascii="宋体" w:hAnsi="宋体" w:eastAsia="宋体" w:cs="宋体"/>
          <w:b w:val="0"/>
          <w:bCs w:val="0"/>
          <w:sz w:val="21"/>
          <w:szCs w:val="21"/>
        </w:rPr>
        <w:t>图像存储路径和命名</w:t>
      </w:r>
    </w:p>
    <w:p w14:paraId="0B0E6A50">
      <w:pPr>
        <w:pStyle w:val="23"/>
        <w:spacing w:line="360" w:lineRule="auto"/>
        <w:ind w:firstLine="402"/>
        <w:rPr>
          <w:rFonts w:hint="eastAsia" w:ascii="宋体" w:hAnsi="宋体" w:eastAsia="宋体" w:cs="宋体"/>
          <w:b w:val="0"/>
          <w:bCs w:val="0"/>
          <w:sz w:val="21"/>
          <w:szCs w:val="21"/>
        </w:rPr>
      </w:pPr>
      <w:r>
        <w:rPr>
          <w:rFonts w:hint="eastAsia" w:ascii="宋体" w:hAnsi="宋体" w:eastAsia="宋体" w:cs="宋体"/>
          <w:b w:val="0"/>
          <w:bCs w:val="0"/>
          <w:sz w:val="21"/>
          <w:szCs w:val="21"/>
        </w:rPr>
        <w:t>单页图像文件</w:t>
      </w:r>
    </w:p>
    <w:p w14:paraId="07D450A2">
      <w:pPr>
        <w:pStyle w:val="23"/>
        <w:spacing w:line="360" w:lineRule="auto"/>
        <w:ind w:firstLine="4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a）按卷整理的档案文件夹结构：\全宗号\类别号\案卷号/组号/册号\件号</w:t>
      </w:r>
    </w:p>
    <w:p w14:paraId="713B5ADA">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示例：按卷整理第J300全宗，1目，第135卷，第3份文件的文件夹：\J300\001\00135\003\</w:t>
      </w:r>
    </w:p>
    <w:p w14:paraId="4E20BEE9">
      <w:pPr>
        <w:pStyle w:val="23"/>
        <w:spacing w:line="360" w:lineRule="auto"/>
        <w:ind w:firstLine="4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b）按件整理的档案文件夹结构：\全宗号\类别号\件号</w:t>
      </w:r>
    </w:p>
    <w:p w14:paraId="1F83CC7D">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示例1：J300全宗，2021年，永久，件号为135的文件夹：\J300\WS·2021·Y\00135\</w:t>
      </w:r>
    </w:p>
    <w:p w14:paraId="310D1E2C">
      <w:pPr>
        <w:pStyle w:val="23"/>
        <w:spacing w:line="360" w:lineRule="auto"/>
        <w:ind w:firstLine="4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示例2：J300全宗，2021年，定期30年，办公室，件号为135 的文件夹：\J300\WS·2021·D30·办公室\00135\</w:t>
      </w:r>
    </w:p>
    <w:p w14:paraId="710F6760">
      <w:pPr>
        <w:pStyle w:val="23"/>
        <w:spacing w:line="360" w:lineRule="auto"/>
        <w:ind w:firstLine="40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文件夹内的图像文件名一般以固定位数数字命名，文件名排序和页码顺序一致即可。</w:t>
      </w:r>
    </w:p>
    <w:p w14:paraId="79D8A389">
      <w:pPr>
        <w:pStyle w:val="23"/>
        <w:spacing w:line="360" w:lineRule="auto"/>
        <w:ind w:firstLine="402"/>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多页PDF（OFD） </w:t>
      </w:r>
    </w:p>
    <w:p w14:paraId="274401A9">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a）按卷整理的档案文件夹结构：\全宗号\类别号\案卷号/组号/册号</w:t>
      </w:r>
    </w:p>
    <w:p w14:paraId="4A942F83">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rPr>
        <w:t>文件夹内的文件名以档号命名。</w:t>
      </w:r>
    </w:p>
    <w:p w14:paraId="4EA8E874">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示例：J300全宗，1目，第135卷，第3份文件，pdf格式</w:t>
      </w:r>
    </w:p>
    <w:p w14:paraId="2C41E255">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存储路径和文件名：\J300\001\00135\J123-001-00135-003.pdf</w:t>
      </w:r>
    </w:p>
    <w:p w14:paraId="71C7D2C4">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案卷卷皮、目录、备考表存储路径和文件名：\J300\001\00135\J123-001-00135.pdf</w:t>
      </w:r>
    </w:p>
    <w:p w14:paraId="323C207D">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b）按件整理的档案文件夹结构：\全宗号\类别号</w:t>
      </w:r>
    </w:p>
    <w:p w14:paraId="55F1C3DA">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示例1：J300全宗，2021年，永久，件号为135，pdf格式</w:t>
      </w:r>
    </w:p>
    <w:p w14:paraId="650F8D18">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存储路径和文件名：</w:t>
      </w:r>
    </w:p>
    <w:p w14:paraId="6974F09F">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\J300\WS·2021·Y \J123-WS·2021·Y-0135.pdf</w:t>
      </w:r>
    </w:p>
    <w:p w14:paraId="3898564E">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示例2：简化文书档案300全宗，2021年，定期30年， 办公室，件号为135，pdf格式</w:t>
      </w:r>
    </w:p>
    <w:p w14:paraId="0FD39BEC">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存储路径和文件名：</w:t>
      </w:r>
    </w:p>
    <w:p w14:paraId="7B1C48BC">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\J300\WS·2021·D30·办公室\J123-WS·2021·D30·办公室-0135.pdf</w:t>
      </w:r>
    </w:p>
    <w:p w14:paraId="1DE82621">
      <w:pPr>
        <w:pStyle w:val="23"/>
        <w:spacing w:line="360" w:lineRule="auto"/>
        <w:ind w:firstLine="402"/>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7</w:t>
      </w:r>
      <w:r>
        <w:rPr>
          <w:rFonts w:hint="eastAsia" w:ascii="宋体" w:hAnsi="宋体" w:eastAsia="宋体" w:cs="宋体"/>
          <w:b w:val="0"/>
          <w:bCs w:val="0"/>
          <w:sz w:val="21"/>
          <w:szCs w:val="21"/>
        </w:rPr>
        <w:t>、图像处理</w:t>
      </w:r>
    </w:p>
    <w:p w14:paraId="640DB442">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7.1</w:t>
      </w:r>
      <w:r>
        <w:rPr>
          <w:rFonts w:hint="eastAsia" w:ascii="宋体" w:hAnsi="宋体" w:eastAsia="宋体" w:cs="宋体"/>
          <w:b w:val="0"/>
          <w:bCs w:val="0"/>
          <w:sz w:val="21"/>
          <w:szCs w:val="21"/>
          <w:lang w:eastAsia="zh-CN"/>
        </w:rPr>
        <w:t>图像拼接：</w:t>
      </w:r>
      <w:r>
        <w:rPr>
          <w:rFonts w:hint="eastAsia" w:ascii="宋体" w:hAnsi="宋体" w:eastAsia="宋体" w:cs="宋体"/>
          <w:b w:val="0"/>
          <w:bCs w:val="0"/>
          <w:sz w:val="21"/>
          <w:szCs w:val="21"/>
        </w:rPr>
        <w:t>对分幅扫描形成的多幅数字图像，应进行拼接处理，合并为一个完整的图像，以保证纸质档案数字图像的整体性。拼接时应确保拼接处紧密地融合，拼接后整幅图像无明显拼接痕迹。</w:t>
      </w:r>
    </w:p>
    <w:p w14:paraId="4AFEE3A9">
      <w:pPr>
        <w:pStyle w:val="23"/>
        <w:spacing w:line="360" w:lineRule="auto"/>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7.2</w:t>
      </w:r>
      <w:r>
        <w:rPr>
          <w:rFonts w:hint="eastAsia" w:ascii="宋体" w:hAnsi="宋体" w:eastAsia="宋体" w:cs="宋体"/>
          <w:b w:val="0"/>
          <w:bCs w:val="0"/>
          <w:sz w:val="21"/>
          <w:szCs w:val="21"/>
        </w:rPr>
        <w:t>旋转及纠偏：对不符合阅读方向的数字图像应进行旋转还原。对出现偏斜的图像应进行纠偏处理，以达到视觉上基本不感觉偏斜为准。如果原档内容与原档纸张的偏斜度不一致时，应在尽可能考虑档案内容的前提下按照档案纸张进行旋转纠偏。</w:t>
      </w:r>
    </w:p>
    <w:p w14:paraId="284BB637">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7.3</w:t>
      </w:r>
      <w:r>
        <w:rPr>
          <w:rFonts w:hint="eastAsia" w:ascii="宋体" w:hAnsi="宋体" w:eastAsia="宋体" w:cs="宋体"/>
          <w:b w:val="0"/>
          <w:bCs w:val="0"/>
          <w:sz w:val="21"/>
          <w:szCs w:val="21"/>
        </w:rPr>
        <w:t>裁边</w:t>
      </w:r>
    </w:p>
    <w:p w14:paraId="661E3442">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如需对数字图像进行裁边处理，应在距页边最外延至少2 至 3 毫米处裁剪图像。</w:t>
      </w:r>
    </w:p>
    <w:p w14:paraId="7EFEA485">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粘连档案应保留粘连处图像信息。</w:t>
      </w:r>
    </w:p>
    <w:p w14:paraId="3BAED254">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筒子页档案如编制为两页，从筒子页中缝无内容处裁剪，该裁剪处不再做留边处理。</w:t>
      </w:r>
    </w:p>
    <w:p w14:paraId="761651F3">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7.4</w:t>
      </w:r>
      <w:r>
        <w:rPr>
          <w:rFonts w:hint="eastAsia" w:ascii="宋体" w:hAnsi="宋体" w:eastAsia="宋体" w:cs="宋体"/>
          <w:b w:val="0"/>
          <w:bCs w:val="0"/>
          <w:sz w:val="21"/>
          <w:szCs w:val="21"/>
        </w:rPr>
        <w:t>去污</w:t>
      </w:r>
    </w:p>
    <w:p w14:paraId="6B4D1E29">
      <w:pPr>
        <w:pStyle w:val="23"/>
        <w:spacing w:line="360" w:lineRule="auto"/>
        <w:ind w:firstLine="400"/>
        <w:rPr>
          <w:rFonts w:hint="eastAsia" w:ascii="宋体" w:hAnsi="宋体" w:eastAsia="宋体" w:cs="宋体"/>
          <w:b w:val="0"/>
          <w:bCs w:val="0"/>
          <w:sz w:val="21"/>
          <w:szCs w:val="21"/>
        </w:rPr>
      </w:pPr>
      <w:r>
        <w:rPr>
          <w:rFonts w:hint="eastAsia" w:ascii="宋体" w:hAnsi="宋体" w:eastAsia="宋体" w:cs="宋体"/>
          <w:b w:val="0"/>
          <w:bCs w:val="0"/>
          <w:sz w:val="21"/>
          <w:szCs w:val="21"/>
        </w:rPr>
        <w:t>如需对数字图像进行去污处理，以去除在扫描过程中产生的污点、污线、黑边等影响图像质量的杂质，应遵循展现档案原貌的原则，处理过程中不得去除档案页面原有的纸张褪变斑点、水渍、污点、装订孔等痕迹。</w:t>
      </w:r>
    </w:p>
    <w:p w14:paraId="3843BB15">
      <w:pPr>
        <w:pStyle w:val="23"/>
        <w:spacing w:line="360" w:lineRule="auto"/>
        <w:ind w:firstLine="402"/>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8</w:t>
      </w:r>
      <w:r>
        <w:rPr>
          <w:rFonts w:hint="eastAsia" w:ascii="宋体" w:hAnsi="宋体" w:eastAsia="宋体" w:cs="宋体"/>
          <w:b w:val="0"/>
          <w:bCs w:val="0"/>
          <w:sz w:val="21"/>
          <w:szCs w:val="21"/>
        </w:rPr>
        <w:t>、图像质量检查</w:t>
      </w:r>
    </w:p>
    <w:p w14:paraId="26CCA66A">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数字图像不完整、无法清晰识别或图像失真度较大时，应重新扫描。</w:t>
      </w:r>
    </w:p>
    <w:p w14:paraId="61A22D9B">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对于漏扫、重扫、多扫等情况，应及时改正。</w:t>
      </w:r>
    </w:p>
    <w:p w14:paraId="11EC5A73">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数字图像的排列顺序与档案原件不一致时，应及时进行调整。</w:t>
      </w:r>
    </w:p>
    <w:p w14:paraId="1258E0E3">
      <w:pPr>
        <w:pStyle w:val="23"/>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对数字图像拼接、旋转及纠偏、裁边、去污等处理情况进行检查，发现不符合图像质量要求时，应重新进行图像处理。</w:t>
      </w:r>
    </w:p>
    <w:p w14:paraId="1D74DD37">
      <w:pPr>
        <w:pStyle w:val="23"/>
        <w:spacing w:line="360" w:lineRule="auto"/>
        <w:ind w:firstLine="422"/>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9、</w:t>
      </w:r>
      <w:r>
        <w:rPr>
          <w:rFonts w:hint="eastAsia" w:ascii="宋体" w:hAnsi="宋体" w:eastAsia="宋体" w:cs="宋体"/>
          <w:b w:val="0"/>
          <w:bCs w:val="0"/>
          <w:sz w:val="21"/>
          <w:szCs w:val="21"/>
        </w:rPr>
        <w:t>数据存储、备份</w:t>
      </w:r>
    </w:p>
    <w:p w14:paraId="333A96F0">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经验收合格的完整数据应及时进行备份。包括原始数据及相关说明性文件。涉密数据与非涉密数据应分开备份，单独存储。</w:t>
      </w:r>
    </w:p>
    <w:p w14:paraId="3CF71D64">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9.1</w:t>
      </w:r>
      <w:r>
        <w:rPr>
          <w:rFonts w:hint="eastAsia" w:ascii="宋体" w:hAnsi="宋体" w:eastAsia="宋体" w:cs="宋体"/>
          <w:b w:val="0"/>
          <w:bCs w:val="0"/>
          <w:sz w:val="21"/>
          <w:szCs w:val="21"/>
        </w:rPr>
        <w:t>为保证数据安全，备份载体的选择应多样化，采用硬盘及其他载体同时备份，同一套数据原则上应制作三套备份数据，一套封存，一套异地保存，一套提供利用。</w:t>
      </w:r>
    </w:p>
    <w:p w14:paraId="753DEB3F">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9.2</w:t>
      </w:r>
      <w:r>
        <w:rPr>
          <w:rFonts w:hint="eastAsia" w:ascii="宋体" w:hAnsi="宋体" w:eastAsia="宋体" w:cs="宋体"/>
          <w:b w:val="0"/>
          <w:bCs w:val="0"/>
          <w:sz w:val="21"/>
          <w:szCs w:val="21"/>
        </w:rPr>
        <w:t>备份数据的检验内容主要包括备份数据准确性、完整性、安全性检验，能否打开、数据信息是否完整、文件数量是否准确等。</w:t>
      </w:r>
    </w:p>
    <w:p w14:paraId="0E1C5C45">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9.3</w:t>
      </w:r>
      <w:r>
        <w:rPr>
          <w:rFonts w:hint="eastAsia" w:ascii="宋体" w:hAnsi="宋体" w:eastAsia="宋体" w:cs="宋体"/>
          <w:b w:val="0"/>
          <w:bCs w:val="0"/>
          <w:sz w:val="21"/>
          <w:szCs w:val="21"/>
        </w:rPr>
        <w:t>备份标签，数据备份后应在相应的备份载体上做好标签，以便查找和管理。载体标识内容包括全宗号、年度、载体顺序号、数据量、密级、保管期限、存入日期、运行环境等。</w:t>
      </w:r>
    </w:p>
    <w:p w14:paraId="049156DD">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9.4</w:t>
      </w:r>
      <w:r>
        <w:rPr>
          <w:rFonts w:hint="eastAsia" w:ascii="宋体" w:hAnsi="宋体" w:eastAsia="宋体" w:cs="宋体"/>
          <w:b w:val="0"/>
          <w:bCs w:val="0"/>
          <w:sz w:val="21"/>
          <w:szCs w:val="21"/>
        </w:rPr>
        <w:t>备份登记，填写档案数据备份管理登记表。</w:t>
      </w:r>
    </w:p>
    <w:p w14:paraId="442FC37B">
      <w:pPr>
        <w:pStyle w:val="23"/>
        <w:spacing w:line="360" w:lineRule="auto"/>
        <w:ind w:firstLine="420" w:firstLineChars="200"/>
        <w:jc w:val="both"/>
        <w:rPr>
          <w:rFonts w:hint="eastAsia" w:ascii="宋体" w:hAnsi="宋体" w:eastAsia="宋体" w:cs="宋体"/>
          <w:b w:val="0"/>
          <w:bCs w:val="0"/>
          <w:color w:val="auto"/>
          <w:sz w:val="21"/>
          <w:szCs w:val="21"/>
        </w:rPr>
      </w:pPr>
      <w:r>
        <w:rPr>
          <w:rFonts w:hint="eastAsia" w:ascii="宋体" w:hAnsi="宋体" w:eastAsia="宋体" w:cs="宋体"/>
          <w:b w:val="0"/>
          <w:bCs w:val="0"/>
          <w:sz w:val="21"/>
          <w:szCs w:val="21"/>
          <w:lang w:val="en-US" w:eastAsia="zh-CN"/>
        </w:rPr>
        <w:t>9.5</w:t>
      </w:r>
      <w:r>
        <w:rPr>
          <w:rFonts w:hint="eastAsia" w:ascii="宋体" w:hAnsi="宋体" w:eastAsia="宋体" w:cs="宋体"/>
          <w:b w:val="0"/>
          <w:bCs w:val="0"/>
          <w:sz w:val="21"/>
          <w:szCs w:val="21"/>
        </w:rPr>
        <w:t>移交验收合格的数据应及时向档案馆移交，并履行交接手续。移交档案数字化原文</w:t>
      </w:r>
      <w:r>
        <w:rPr>
          <w:rFonts w:hint="eastAsia" w:ascii="宋体" w:hAnsi="宋体" w:eastAsia="宋体" w:cs="宋体"/>
          <w:b w:val="0"/>
          <w:bCs w:val="0"/>
          <w:color w:val="auto"/>
          <w:sz w:val="21"/>
          <w:szCs w:val="21"/>
        </w:rPr>
        <w:t>数据时，目录数据库也应一并移交。移交的原文数据格式为JPEG 或TIFF，以及转换的</w:t>
      </w:r>
      <w:r>
        <w:rPr>
          <w:rFonts w:hint="eastAsia" w:ascii="宋体" w:hAnsi="宋体" w:eastAsia="宋体" w:cs="宋体"/>
          <w:b w:val="0"/>
          <w:bCs w:val="0"/>
          <w:color w:val="auto"/>
          <w:sz w:val="21"/>
          <w:szCs w:val="21"/>
          <w:lang w:val="en-US" w:eastAsia="zh-CN"/>
        </w:rPr>
        <w:t>单双层</w:t>
      </w:r>
      <w:r>
        <w:rPr>
          <w:rFonts w:hint="eastAsia" w:ascii="宋体" w:hAnsi="宋体" w:eastAsia="宋体" w:cs="宋体"/>
          <w:b w:val="0"/>
          <w:bCs w:val="0"/>
          <w:color w:val="auto"/>
          <w:sz w:val="21"/>
          <w:szCs w:val="21"/>
        </w:rPr>
        <w:t xml:space="preserve"> PDF、OFD格式，同时提交两种格式。</w:t>
      </w:r>
    </w:p>
    <w:p w14:paraId="10771662">
      <w:pPr>
        <w:pStyle w:val="23"/>
        <w:spacing w:line="360" w:lineRule="auto"/>
        <w:ind w:firstLine="422"/>
        <w:jc w:val="both"/>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eastAsia="zh-CN"/>
        </w:rPr>
        <w:t>10、</w:t>
      </w:r>
      <w:r>
        <w:rPr>
          <w:rFonts w:hint="eastAsia" w:ascii="宋体" w:hAnsi="宋体" w:eastAsia="宋体" w:cs="宋体"/>
          <w:b w:val="0"/>
          <w:bCs w:val="0"/>
          <w:color w:val="auto"/>
          <w:sz w:val="21"/>
          <w:szCs w:val="21"/>
        </w:rPr>
        <w:t>质量检查</w:t>
      </w:r>
    </w:p>
    <w:p w14:paraId="496506D8">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color w:val="auto"/>
          <w:sz w:val="21"/>
          <w:szCs w:val="21"/>
        </w:rPr>
        <w:t>检查人员对前面所有工作进行详</w:t>
      </w:r>
      <w:r>
        <w:rPr>
          <w:rFonts w:hint="eastAsia" w:ascii="宋体" w:hAnsi="宋体" w:eastAsia="宋体" w:cs="宋体"/>
          <w:b w:val="0"/>
          <w:bCs w:val="0"/>
          <w:sz w:val="21"/>
          <w:szCs w:val="21"/>
        </w:rPr>
        <w:t>细检查，并采用先进的档案数据检测软件进行检测，要求保证扫描形成的图片文件与目录数据一致，编号无误，清晰度和格式符合标准。</w:t>
      </w:r>
    </w:p>
    <w:p w14:paraId="270CA6EF">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10.1</w:t>
      </w:r>
      <w:r>
        <w:rPr>
          <w:rFonts w:hint="eastAsia" w:ascii="宋体" w:hAnsi="宋体" w:eastAsia="宋体" w:cs="宋体"/>
          <w:b w:val="0"/>
          <w:bCs w:val="0"/>
          <w:sz w:val="21"/>
          <w:szCs w:val="21"/>
        </w:rPr>
        <w:t>对扫描前处理情况进行检查。发现错误及时修正，并对相应的扫描图像重新扫描和处理。</w:t>
      </w:r>
    </w:p>
    <w:p w14:paraId="5C4644EA">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10.2</w:t>
      </w:r>
      <w:r>
        <w:rPr>
          <w:rFonts w:hint="eastAsia" w:ascii="宋体" w:hAnsi="宋体" w:eastAsia="宋体" w:cs="宋体"/>
          <w:b w:val="0"/>
          <w:bCs w:val="0"/>
          <w:sz w:val="21"/>
          <w:szCs w:val="21"/>
        </w:rPr>
        <w:t>对图像偏斜度、清晰度、失真度等进行检查。发现不符合图像质量要求时，应重新进行图像的处理。</w:t>
      </w:r>
    </w:p>
    <w:p w14:paraId="4F8AECD1">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10.3</w:t>
      </w:r>
      <w:r>
        <w:rPr>
          <w:rFonts w:hint="eastAsia" w:ascii="宋体" w:hAnsi="宋体" w:eastAsia="宋体" w:cs="宋体"/>
          <w:b w:val="0"/>
          <w:bCs w:val="0"/>
          <w:sz w:val="21"/>
          <w:szCs w:val="21"/>
        </w:rPr>
        <w:t>由于操作不当，造成扫描的图像文件不完整或无法清晰识别时，应重新扫描。</w:t>
      </w:r>
    </w:p>
    <w:p w14:paraId="4C4DDC27">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10.4</w:t>
      </w:r>
      <w:r>
        <w:rPr>
          <w:rFonts w:hint="eastAsia" w:ascii="宋体" w:hAnsi="宋体" w:eastAsia="宋体" w:cs="宋体"/>
          <w:b w:val="0"/>
          <w:bCs w:val="0"/>
          <w:sz w:val="21"/>
          <w:szCs w:val="21"/>
        </w:rPr>
        <w:t>扫描图像方向端正，应符合平常阅读的习惯。</w:t>
      </w:r>
    </w:p>
    <w:p w14:paraId="6064F7EC">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10.5</w:t>
      </w:r>
      <w:r>
        <w:rPr>
          <w:rFonts w:hint="eastAsia" w:ascii="宋体" w:hAnsi="宋体" w:eastAsia="宋体" w:cs="宋体"/>
          <w:b w:val="0"/>
          <w:bCs w:val="0"/>
          <w:sz w:val="21"/>
          <w:szCs w:val="21"/>
        </w:rPr>
        <w:t>发现文件或资料漏扫时，应及时补扫并正确插入图像。</w:t>
      </w:r>
    </w:p>
    <w:p w14:paraId="367A974E">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10.6</w:t>
      </w:r>
      <w:r>
        <w:rPr>
          <w:rFonts w:hint="eastAsia" w:ascii="宋体" w:hAnsi="宋体" w:eastAsia="宋体" w:cs="宋体"/>
          <w:b w:val="0"/>
          <w:bCs w:val="0"/>
          <w:sz w:val="21"/>
          <w:szCs w:val="21"/>
        </w:rPr>
        <w:t>发现扫描图像的排列顺序与档案原件不一致时，应及时进行调整。</w:t>
      </w:r>
    </w:p>
    <w:p w14:paraId="6FCC043C">
      <w:pPr>
        <w:pStyle w:val="23"/>
        <w:spacing w:line="360" w:lineRule="auto"/>
        <w:ind w:firstLine="420" w:firstLineChars="20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10.7</w:t>
      </w:r>
      <w:r>
        <w:rPr>
          <w:rFonts w:hint="eastAsia" w:ascii="宋体" w:hAnsi="宋体" w:eastAsia="宋体" w:cs="宋体"/>
          <w:b w:val="0"/>
          <w:bCs w:val="0"/>
          <w:sz w:val="21"/>
          <w:szCs w:val="21"/>
        </w:rPr>
        <w:t>认真填写相关表单，记录自检结果和处理意见，并提交审核同意后，进行处理。</w:t>
      </w:r>
    </w:p>
    <w:p w14:paraId="4E162FAE">
      <w:pPr>
        <w:pStyle w:val="23"/>
        <w:spacing w:line="360" w:lineRule="auto"/>
        <w:ind w:firstLine="422"/>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11、</w:t>
      </w:r>
      <w:r>
        <w:rPr>
          <w:rFonts w:hint="eastAsia" w:ascii="宋体" w:hAnsi="宋体" w:eastAsia="宋体" w:cs="宋体"/>
          <w:b w:val="0"/>
          <w:bCs w:val="0"/>
          <w:sz w:val="21"/>
          <w:szCs w:val="21"/>
        </w:rPr>
        <w:t>原件装订</w:t>
      </w:r>
    </w:p>
    <w:p w14:paraId="1C0BE104">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保持档案的排列顺序不变，安全、准确、无遗漏；以卷为单位的档案，三孔一线，装订牢固；以件为单位的档案，用不锈钢钉装订还原。</w:t>
      </w:r>
    </w:p>
    <w:p w14:paraId="7389A975">
      <w:pPr>
        <w:pStyle w:val="23"/>
        <w:spacing w:line="360" w:lineRule="auto"/>
        <w:ind w:left="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工作统计登记，责任到人。</w:t>
      </w:r>
    </w:p>
    <w:p w14:paraId="3C6FD97C">
      <w:pPr>
        <w:pStyle w:val="23"/>
        <w:spacing w:line="360" w:lineRule="auto"/>
        <w:ind w:left="420"/>
        <w:jc w:val="both"/>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12、</w:t>
      </w:r>
      <w:r>
        <w:rPr>
          <w:rFonts w:hint="eastAsia" w:ascii="宋体" w:hAnsi="宋体" w:eastAsia="宋体" w:cs="宋体"/>
          <w:b w:val="0"/>
          <w:bCs w:val="0"/>
          <w:sz w:val="21"/>
          <w:szCs w:val="21"/>
        </w:rPr>
        <w:t>档案归还</w:t>
      </w:r>
    </w:p>
    <w:p w14:paraId="1A67EE60">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填写“领取还档登记表”归还档案。将扫描完成并通过验收的纸质档案按照批次列出交接清单归还档案管理部门，档案归还前应提前向档案管理部门提出申请。外包服务商的调卷人和有关人员一起，办理好归还手续，对拟归还的档案逐卷或逐件清点，共同进行档案内容、目录、数量的核对，不能有任何差错。</w:t>
      </w:r>
    </w:p>
    <w:p w14:paraId="1D8C7168">
      <w:pPr>
        <w:pStyle w:val="23"/>
        <w:spacing w:line="360" w:lineRule="auto"/>
        <w:ind w:firstLine="420"/>
        <w:jc w:val="both"/>
        <w:rPr>
          <w:rFonts w:hint="eastAsia" w:ascii="宋体" w:hAnsi="宋体" w:eastAsia="宋体" w:cs="宋体"/>
          <w:b w:val="0"/>
          <w:bCs w:val="0"/>
          <w:sz w:val="21"/>
          <w:szCs w:val="21"/>
        </w:rPr>
      </w:pPr>
      <w:r>
        <w:rPr>
          <w:rFonts w:hint="eastAsia" w:ascii="宋体" w:hAnsi="宋体" w:eastAsia="宋体" w:cs="宋体"/>
          <w:b w:val="0"/>
          <w:bCs w:val="0"/>
          <w:sz w:val="21"/>
          <w:szCs w:val="21"/>
        </w:rPr>
        <w:t>档案归还时有双方负责人当面对数量进行清点，并在“领取还档登记表”上签字确认。档案归还人员，对档案逐页清点，办理归还手续。不得有差错。根据调卷登记表，对档案逐页清点；发现错误，进行更正；填写工作统计登记，责任到人。</w:t>
      </w:r>
    </w:p>
    <w:p w14:paraId="441CF342">
      <w:pPr>
        <w:pStyle w:val="23"/>
        <w:spacing w:line="360" w:lineRule="auto"/>
        <w:ind w:firstLine="42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每周五下午，必须将临时档案柜中的档案交还库房，确保档案安全。</w:t>
      </w:r>
    </w:p>
    <w:p w14:paraId="726E7001">
      <w:pPr>
        <w:pStyle w:val="23"/>
        <w:spacing w:line="360" w:lineRule="auto"/>
        <w:ind w:firstLine="42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（三）历史档案数据清洗治理</w:t>
      </w:r>
    </w:p>
    <w:p w14:paraId="1BB04C80">
      <w:pPr>
        <w:pStyle w:val="23"/>
        <w:spacing w:line="360" w:lineRule="auto"/>
        <w:ind w:firstLine="42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1、</w:t>
      </w:r>
      <w:r>
        <w:rPr>
          <w:rFonts w:hint="eastAsia" w:ascii="宋体" w:hAnsi="宋体" w:eastAsia="宋体" w:cs="宋体"/>
          <w:b w:val="0"/>
          <w:bCs w:val="0"/>
          <w:sz w:val="21"/>
          <w:szCs w:val="21"/>
        </w:rPr>
        <w:t>清洗范围：文书档案2000-2022年度、矿权1987-2022年度、土地批复2000-2023年度。</w:t>
      </w:r>
    </w:p>
    <w:p w14:paraId="0A216626">
      <w:pPr>
        <w:pStyle w:val="23"/>
        <w:spacing w:line="360" w:lineRule="auto"/>
        <w:ind w:firstLine="42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2、</w:t>
      </w:r>
      <w:r>
        <w:rPr>
          <w:rFonts w:hint="eastAsia" w:ascii="宋体" w:hAnsi="宋体" w:eastAsia="宋体" w:cs="宋体"/>
          <w:b w:val="0"/>
          <w:bCs w:val="0"/>
          <w:sz w:val="21"/>
          <w:szCs w:val="21"/>
        </w:rPr>
        <w:t>清洗内容</w:t>
      </w:r>
    </w:p>
    <w:p w14:paraId="02BC77B4">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2.1</w:t>
      </w:r>
      <w:r>
        <w:rPr>
          <w:rFonts w:hint="eastAsia" w:ascii="宋体" w:hAnsi="宋体" w:eastAsia="宋体" w:cs="宋体"/>
          <w:b w:val="0"/>
          <w:bCs w:val="0"/>
          <w:sz w:val="21"/>
          <w:szCs w:val="21"/>
        </w:rPr>
        <w:t>涉密文件清理：所有带密字样文件的电子文件单独存放，包括档案附件带密、内部文件、都按涉密文件处理。（封存文件保持原样，只标明封存。）</w:t>
      </w:r>
    </w:p>
    <w:p w14:paraId="7E271D09">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2.2</w:t>
      </w:r>
      <w:r>
        <w:rPr>
          <w:rFonts w:hint="eastAsia" w:ascii="宋体" w:hAnsi="宋体" w:eastAsia="宋体" w:cs="宋体"/>
          <w:b w:val="0"/>
          <w:bCs w:val="0"/>
          <w:sz w:val="21"/>
          <w:szCs w:val="21"/>
        </w:rPr>
        <w:t>文书档案清洗</w:t>
      </w:r>
    </w:p>
    <w:p w14:paraId="0DCB7B3D">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2.3</w:t>
      </w:r>
      <w:r>
        <w:rPr>
          <w:rFonts w:hint="eastAsia" w:ascii="宋体" w:hAnsi="宋体" w:eastAsia="宋体" w:cs="宋体"/>
          <w:b w:val="0"/>
          <w:bCs w:val="0"/>
          <w:sz w:val="21"/>
          <w:szCs w:val="21"/>
        </w:rPr>
        <w:t>核对电子档案中的jpg.文件扫描规范性，是否存在模糊不清，缺页少页，页码顺序错误，图像颠倒，切字，图像处理不规范等问题。存在问题按规范要求纠正处理。</w:t>
      </w:r>
    </w:p>
    <w:p w14:paraId="75DD6DB8">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比对原档案核对目录著录九大要素，错误的进行修改。</w:t>
      </w:r>
    </w:p>
    <w:p w14:paraId="453D6ED4">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土地批复件清洗</w:t>
      </w:r>
    </w:p>
    <w:p w14:paraId="25BE6FC0">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3.1</w:t>
      </w:r>
      <w:r>
        <w:rPr>
          <w:rFonts w:hint="eastAsia" w:ascii="宋体" w:hAnsi="宋体" w:eastAsia="宋体" w:cs="宋体"/>
          <w:b w:val="0"/>
          <w:bCs w:val="0"/>
          <w:sz w:val="21"/>
          <w:szCs w:val="21"/>
        </w:rPr>
        <w:t>核对电子档案中的jpg.文件扫描的规范性，是否存在模糊不清，缺页少页，页码顺序错误，图像颠倒，切字，图像处理不规范等问题。存在问题按规范要求纠正处理。</w:t>
      </w:r>
    </w:p>
    <w:p w14:paraId="37CCA47C">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3.2</w:t>
      </w:r>
      <w:r>
        <w:rPr>
          <w:rFonts w:hint="eastAsia" w:ascii="宋体" w:hAnsi="宋体" w:eastAsia="宋体" w:cs="宋体"/>
          <w:b w:val="0"/>
          <w:bCs w:val="0"/>
          <w:sz w:val="21"/>
          <w:szCs w:val="21"/>
        </w:rPr>
        <w:t>核对目录信息，错误的进行修改。</w:t>
      </w:r>
    </w:p>
    <w:p w14:paraId="19ADDE5D">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矿权档案清洗</w:t>
      </w:r>
    </w:p>
    <w:p w14:paraId="40138299">
      <w:pPr>
        <w:pStyle w:val="23"/>
        <w:spacing w:line="360" w:lineRule="auto"/>
        <w:ind w:firstLine="420" w:firstLineChars="200"/>
        <w:jc w:val="both"/>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4.1</w:t>
      </w:r>
      <w:r>
        <w:rPr>
          <w:rFonts w:hint="eastAsia" w:ascii="宋体" w:hAnsi="宋体" w:eastAsia="宋体" w:cs="宋体"/>
          <w:b w:val="0"/>
          <w:bCs w:val="0"/>
          <w:sz w:val="21"/>
          <w:szCs w:val="21"/>
        </w:rPr>
        <w:t>核对电子档案中的jpg.文件扫描的规范性，是否存在模糊不清，缺页少页，页码顺序错误，图像颠倒，切字，图像处理不规范等问题。存在问题按规范要求纠正处理。</w:t>
      </w:r>
    </w:p>
    <w:p w14:paraId="267A9F2D">
      <w:pPr>
        <w:pStyle w:val="23"/>
        <w:spacing w:line="360" w:lineRule="auto"/>
        <w:ind w:firstLine="420" w:firstLineChars="200"/>
        <w:jc w:val="both"/>
        <w:rPr>
          <w:rFonts w:hint="eastAsia" w:ascii="宋体" w:hAnsi="宋体" w:eastAsia="宋体" w:cs="宋体"/>
          <w:b w:val="0"/>
          <w:bCs w:val="0"/>
          <w:color w:val="auto"/>
          <w:sz w:val="21"/>
          <w:szCs w:val="21"/>
          <w:highlight w:val="none"/>
        </w:rPr>
      </w:pPr>
      <w:r>
        <w:rPr>
          <w:rFonts w:hint="eastAsia" w:ascii="宋体" w:hAnsi="宋体" w:eastAsia="宋体" w:cs="宋体"/>
          <w:b w:val="0"/>
          <w:bCs w:val="0"/>
          <w:sz w:val="21"/>
          <w:szCs w:val="21"/>
          <w:lang w:val="en-US" w:eastAsia="zh-CN"/>
        </w:rPr>
        <w:t>4.2</w:t>
      </w:r>
      <w:r>
        <w:rPr>
          <w:rFonts w:hint="eastAsia" w:ascii="宋体" w:hAnsi="宋体" w:eastAsia="宋体" w:cs="宋体"/>
          <w:b w:val="0"/>
          <w:bCs w:val="0"/>
          <w:sz w:val="21"/>
          <w:szCs w:val="21"/>
        </w:rPr>
        <w:t>核对目</w:t>
      </w:r>
      <w:r>
        <w:rPr>
          <w:rFonts w:hint="eastAsia" w:ascii="宋体" w:hAnsi="宋体" w:eastAsia="宋体" w:cs="宋体"/>
          <w:b w:val="0"/>
          <w:bCs w:val="0"/>
          <w:color w:val="auto"/>
          <w:sz w:val="21"/>
          <w:szCs w:val="21"/>
          <w:highlight w:val="none"/>
        </w:rPr>
        <w:t>录信息，错误的进行修改。</w:t>
      </w:r>
    </w:p>
    <w:p w14:paraId="01447EF1">
      <w:pPr>
        <w:pStyle w:val="26"/>
        <w:spacing w:line="360" w:lineRule="auto"/>
        <w:ind w:left="0" w:leftChars="0" w:firstLine="420" w:firstLineChars="200"/>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val="en-US" w:eastAsia="zh-CN"/>
        </w:rPr>
        <w:t>4.3</w:t>
      </w:r>
      <w:r>
        <w:rPr>
          <w:rFonts w:hint="eastAsia" w:ascii="宋体" w:hAnsi="宋体" w:eastAsia="宋体" w:cs="宋体"/>
          <w:b w:val="0"/>
          <w:bCs w:val="0"/>
          <w:color w:val="auto"/>
          <w:kern w:val="0"/>
          <w:sz w:val="21"/>
          <w:szCs w:val="21"/>
          <w:highlight w:val="none"/>
          <w:lang w:eastAsia="zh-Hans"/>
        </w:rPr>
        <w:t>清理完成后电子文件按归档要求进行归档</w:t>
      </w:r>
      <w:r>
        <w:rPr>
          <w:rFonts w:hint="eastAsia" w:ascii="宋体" w:hAnsi="宋体" w:eastAsia="宋体" w:cs="宋体"/>
          <w:b w:val="0"/>
          <w:bCs w:val="0"/>
          <w:color w:val="auto"/>
          <w:kern w:val="0"/>
          <w:sz w:val="21"/>
          <w:szCs w:val="21"/>
          <w:highlight w:val="none"/>
          <w:lang w:eastAsia="zh-CN"/>
        </w:rPr>
        <w:t>。</w:t>
      </w:r>
    </w:p>
    <w:p w14:paraId="22EDA576">
      <w:pPr>
        <w:pStyle w:val="26"/>
        <w:spacing w:line="360" w:lineRule="auto"/>
        <w:ind w:left="0" w:leftChars="0" w:firstLine="420" w:firstLineChars="200"/>
        <w:rPr>
          <w:rFonts w:hint="eastAsia" w:ascii="宋体" w:hAnsi="宋体" w:eastAsia="宋体" w:cs="宋体"/>
          <w:b w:val="0"/>
          <w:bCs w:val="0"/>
          <w:color w:val="auto"/>
          <w:kern w:val="0"/>
          <w:sz w:val="21"/>
          <w:szCs w:val="21"/>
          <w:highlight w:val="none"/>
          <w:lang w:eastAsia="zh-Hans"/>
        </w:rPr>
      </w:pPr>
      <w:r>
        <w:rPr>
          <w:rFonts w:hint="eastAsia" w:ascii="宋体" w:hAnsi="宋体" w:eastAsia="宋体" w:cs="宋体"/>
          <w:b w:val="0"/>
          <w:bCs w:val="0"/>
          <w:color w:val="auto"/>
          <w:kern w:val="0"/>
          <w:sz w:val="21"/>
          <w:szCs w:val="21"/>
          <w:highlight w:val="none"/>
          <w:lang w:val="en-US" w:eastAsia="zh-CN"/>
        </w:rPr>
        <w:t>4.4</w:t>
      </w:r>
      <w:r>
        <w:rPr>
          <w:rFonts w:hint="eastAsia" w:ascii="宋体" w:hAnsi="宋体" w:eastAsia="宋体" w:cs="宋体"/>
          <w:b w:val="0"/>
          <w:bCs w:val="0"/>
          <w:color w:val="auto"/>
          <w:kern w:val="0"/>
          <w:sz w:val="21"/>
          <w:szCs w:val="21"/>
          <w:highlight w:val="none"/>
          <w:lang w:eastAsia="zh-Hans"/>
        </w:rPr>
        <w:t>关于涉密目录标识题名用********替代。</w:t>
      </w:r>
    </w:p>
    <w:p w14:paraId="1AC6D17B">
      <w:pPr>
        <w:pStyle w:val="26"/>
        <w:spacing w:line="360" w:lineRule="auto"/>
        <w:ind w:left="0" w:leftChars="0" w:firstLine="0" w:firstLineChars="0"/>
        <w:outlineLvl w:val="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第二部分  </w:t>
      </w:r>
      <w:r>
        <w:rPr>
          <w:rFonts w:hint="eastAsia" w:ascii="宋体" w:hAnsi="宋体" w:eastAsia="宋体" w:cs="宋体"/>
          <w:b/>
          <w:bCs/>
          <w:color w:val="auto"/>
          <w:sz w:val="21"/>
          <w:szCs w:val="21"/>
          <w:highlight w:val="none"/>
          <w:lang w:eastAsia="zh-CN"/>
        </w:rPr>
        <w:t>电子档案数据档案信息管理服务平台适配</w:t>
      </w:r>
      <w:r>
        <w:rPr>
          <w:rFonts w:hint="eastAsia" w:ascii="宋体" w:hAnsi="宋体" w:eastAsia="宋体" w:cs="宋体"/>
          <w:b/>
          <w:bCs/>
          <w:color w:val="auto"/>
          <w:sz w:val="21"/>
          <w:szCs w:val="21"/>
          <w:highlight w:val="none"/>
          <w:lang w:val="en-US" w:eastAsia="zh-CN"/>
        </w:rPr>
        <w:t>服务</w:t>
      </w:r>
    </w:p>
    <w:p w14:paraId="3053B6BD">
      <w:pPr>
        <w:pStyle w:val="23"/>
        <w:spacing w:line="360" w:lineRule="auto"/>
        <w:ind w:firstLine="422"/>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一、2024年度机关档案</w:t>
      </w:r>
      <w:r>
        <w:rPr>
          <w:rFonts w:hint="eastAsia" w:ascii="宋体" w:hAnsi="宋体" w:eastAsia="宋体" w:cs="宋体"/>
          <w:b/>
          <w:bCs/>
          <w:color w:val="auto"/>
          <w:sz w:val="21"/>
          <w:szCs w:val="21"/>
          <w:highlight w:val="none"/>
          <w:lang w:eastAsia="zh-CN"/>
        </w:rPr>
        <w:t>数据挂接及秦政通公文自动归档服务内容及要求</w:t>
      </w:r>
    </w:p>
    <w:p w14:paraId="5AA2D31A">
      <w:pPr>
        <w:pStyle w:val="23"/>
        <w:spacing w:line="360" w:lineRule="auto"/>
        <w:ind w:firstLine="422"/>
        <w:jc w:val="both"/>
        <w:rPr>
          <w:rFonts w:hint="eastAsia" w:ascii="宋体" w:hAnsi="宋体" w:eastAsia="宋体" w:cs="宋体"/>
          <w:b w:val="0"/>
          <w:bCs w:val="0"/>
          <w:color w:val="auto"/>
          <w:kern w:val="0"/>
          <w:sz w:val="21"/>
          <w:szCs w:val="21"/>
          <w:highlight w:val="none"/>
          <w:lang w:val="en-US" w:eastAsia="zh-Hans" w:bidi="ar-SA"/>
        </w:rPr>
      </w:pPr>
      <w:r>
        <w:rPr>
          <w:rFonts w:hint="eastAsia" w:ascii="宋体" w:hAnsi="宋体" w:eastAsia="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Hans" w:bidi="ar-SA"/>
        </w:rPr>
        <w:t>一</w:t>
      </w:r>
      <w:r>
        <w:rPr>
          <w:rFonts w:hint="eastAsia" w:ascii="宋体" w:hAnsi="宋体" w:eastAsia="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kern w:val="0"/>
          <w:sz w:val="21"/>
          <w:szCs w:val="21"/>
          <w:highlight w:val="none"/>
          <w:lang w:val="en-US" w:eastAsia="zh-Hans" w:bidi="ar-SA"/>
        </w:rPr>
        <w:t>执行标准及依据</w:t>
      </w:r>
    </w:p>
    <w:p w14:paraId="3DD43D71">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color w:val="auto"/>
          <w:kern w:val="0"/>
          <w:sz w:val="21"/>
          <w:szCs w:val="21"/>
          <w:highlight w:val="none"/>
          <w:lang w:val="en-US" w:eastAsia="zh-Hans" w:bidi="ar-SA"/>
        </w:rPr>
        <w:t>本项目应严格执行国家及行业现行有关法律法规和技术</w:t>
      </w:r>
      <w:r>
        <w:rPr>
          <w:rFonts w:hint="eastAsia" w:ascii="宋体" w:hAnsi="宋体" w:eastAsia="宋体" w:cs="宋体"/>
          <w:b w:val="0"/>
          <w:bCs w:val="0"/>
          <w:kern w:val="0"/>
          <w:sz w:val="21"/>
          <w:szCs w:val="21"/>
          <w:lang w:val="en-US" w:eastAsia="zh-Hans" w:bidi="ar-SA"/>
        </w:rPr>
        <w:t>标准，主要包括：</w:t>
      </w:r>
    </w:p>
    <w:p w14:paraId="359B700D">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1. 《中华人民共和国档案法》；</w:t>
      </w:r>
    </w:p>
    <w:p w14:paraId="7E7FC951">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2. 《纸质档案数字化规范》（DA/T 31—2017）；</w:t>
      </w:r>
    </w:p>
    <w:p w14:paraId="41C5D831">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3. 《档案著录规则》（DA/T 18—2022）；</w:t>
      </w:r>
    </w:p>
    <w:p w14:paraId="6567A5F2">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4. 《归档文件整理规则》（DA/T 22—2015）；</w:t>
      </w:r>
    </w:p>
    <w:p w14:paraId="72B75AB0">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5. 《电子文件归档与电子档案管理规范》（GB/T 18894—2016）；</w:t>
      </w:r>
    </w:p>
    <w:p w14:paraId="35A812B2">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6. 《党政机关电子公文归档规范》（GB/T 39362—2020）；</w:t>
      </w:r>
    </w:p>
    <w:p w14:paraId="30BE80CA">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7. 《电子档案管理系统通用功能要求》（GB/T 39784—2021）；</w:t>
      </w:r>
    </w:p>
    <w:p w14:paraId="3DF8EE01">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8. 《文书类电子文件元数据方案》（DA/T 46—2009）、《党政机关电子公文元数据规范》（GB/T 33480—2016）；</w:t>
      </w:r>
    </w:p>
    <w:p w14:paraId="28FE996C">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9. 《党政机关电子公文交换接口规范》（GB/T 33479—2016）、《党政机关电子公文应用接口规范》（GB/T 33478—2016）；</w:t>
      </w:r>
    </w:p>
    <w:p w14:paraId="28EC5C79">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10. 《电子文件存储与交换格式 版式文档》（GB/T 33190—2016）、《文书类电子档案检测一般要求》（DA/T 70—2018）；</w:t>
      </w:r>
    </w:p>
    <w:p w14:paraId="794C481C">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11. 采购人现行档案管理制度、专业档案分类方案、“秦政通”协同办公系统及档案管理系统的相关技术要求；</w:t>
      </w:r>
    </w:p>
    <w:p w14:paraId="70A0F855">
      <w:pPr>
        <w:spacing w:after="50" w:line="360" w:lineRule="auto"/>
        <w:ind w:firstLine="56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12. 国家及行业现行其他有关标准规范。</w:t>
      </w:r>
    </w:p>
    <w:p w14:paraId="43194010">
      <w:pPr>
        <w:spacing w:before="200" w:after="6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（二）</w:t>
      </w:r>
      <w:r>
        <w:rPr>
          <w:rFonts w:hint="eastAsia" w:ascii="宋体" w:hAnsi="宋体" w:eastAsia="宋体" w:cs="宋体"/>
          <w:b w:val="0"/>
          <w:bCs w:val="0"/>
          <w:kern w:val="0"/>
          <w:sz w:val="21"/>
          <w:szCs w:val="21"/>
          <w:lang w:val="en-US" w:eastAsia="zh-Hans" w:bidi="ar-SA"/>
        </w:rPr>
        <w:t>服务范围</w:t>
      </w:r>
    </w:p>
    <w:p w14:paraId="71D6ABF2">
      <w:pPr>
        <w:spacing w:before="90" w:after="4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1.</w:t>
      </w:r>
      <w:r>
        <w:rPr>
          <w:rFonts w:hint="eastAsia" w:ascii="宋体" w:hAnsi="宋体" w:eastAsia="宋体" w:cs="宋体"/>
          <w:b w:val="0"/>
          <w:bCs w:val="0"/>
          <w:kern w:val="0"/>
          <w:sz w:val="21"/>
          <w:szCs w:val="21"/>
          <w:lang w:val="en-US" w:eastAsia="zh-Hans" w:bidi="ar-SA"/>
        </w:rPr>
        <w:t>数据挂接服务目标</w:t>
      </w:r>
    </w:p>
    <w:p w14:paraId="518D249A">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1.1</w:t>
      </w:r>
      <w:r>
        <w:rPr>
          <w:rFonts w:hint="eastAsia" w:ascii="宋体" w:hAnsi="宋体" w:eastAsia="宋体" w:cs="宋体"/>
          <w:b w:val="0"/>
          <w:bCs w:val="0"/>
          <w:kern w:val="0"/>
          <w:sz w:val="21"/>
          <w:szCs w:val="21"/>
          <w:lang w:val="en-US" w:eastAsia="zh-Hans" w:bidi="ar-SA"/>
        </w:rPr>
        <w:t>对2024年存量未挂接档案盒条目信息（全宗号、盒号、年度、档号、文号、责任者、题名、日期、密级、页数、备注、档案存址）进行数据清洗、规范化整理，批量挂接至陕西省自然资源信息中心（陕西省地质资料档案馆）档案管理系统，确保电子条目信息可被检索。</w:t>
      </w:r>
    </w:p>
    <w:p w14:paraId="02687D6F">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1.2</w:t>
      </w:r>
      <w:r>
        <w:rPr>
          <w:rFonts w:hint="eastAsia" w:ascii="宋体" w:hAnsi="宋体" w:eastAsia="宋体" w:cs="宋体"/>
          <w:b w:val="0"/>
          <w:bCs w:val="0"/>
          <w:kern w:val="0"/>
          <w:sz w:val="21"/>
          <w:szCs w:val="21"/>
          <w:lang w:val="en-US" w:eastAsia="zh-Hans" w:bidi="ar-SA"/>
        </w:rPr>
        <w:t>对2024年存量约</w:t>
      </w:r>
      <w:r>
        <w:rPr>
          <w:rFonts w:hint="eastAsia" w:ascii="宋体" w:hAnsi="宋体" w:eastAsia="宋体" w:cs="宋体"/>
          <w:b w:val="0"/>
          <w:bCs w:val="0"/>
          <w:kern w:val="0"/>
          <w:sz w:val="21"/>
          <w:szCs w:val="21"/>
          <w:lang w:val="en-US" w:eastAsia="zh-CN" w:bidi="ar-SA"/>
        </w:rPr>
        <w:t>5000档</w:t>
      </w:r>
      <w:r>
        <w:rPr>
          <w:rFonts w:hint="eastAsia" w:ascii="宋体" w:hAnsi="宋体" w:eastAsia="宋体" w:cs="宋体"/>
          <w:b w:val="0"/>
          <w:bCs w:val="0"/>
          <w:kern w:val="0"/>
          <w:sz w:val="21"/>
          <w:szCs w:val="21"/>
          <w:lang w:val="en-US" w:eastAsia="zh-Hans" w:bidi="ar-SA"/>
        </w:rPr>
        <w:t>未挂接档案（包括纸质、电子文件）与档案管理系统中的元数据、目录结构进行关联，确保档案可被系统识别、检索和利用。</w:t>
      </w:r>
    </w:p>
    <w:p w14:paraId="34D00526">
      <w:pPr>
        <w:spacing w:before="90" w:after="4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2.</w:t>
      </w:r>
      <w:r>
        <w:rPr>
          <w:rFonts w:hint="eastAsia" w:ascii="宋体" w:hAnsi="宋体" w:eastAsia="宋体" w:cs="宋体"/>
          <w:b w:val="0"/>
          <w:bCs w:val="0"/>
          <w:kern w:val="0"/>
          <w:sz w:val="21"/>
          <w:szCs w:val="21"/>
          <w:lang w:val="en-US" w:eastAsia="zh-Hans" w:bidi="ar-SA"/>
        </w:rPr>
        <w:t>档案类型</w:t>
      </w:r>
    </w:p>
    <w:p w14:paraId="09A4DB16">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2.1</w:t>
      </w:r>
      <w:r>
        <w:rPr>
          <w:rFonts w:hint="eastAsia" w:ascii="宋体" w:hAnsi="宋体" w:eastAsia="宋体" w:cs="宋体"/>
          <w:b w:val="0"/>
          <w:bCs w:val="0"/>
          <w:kern w:val="0"/>
          <w:sz w:val="21"/>
          <w:szCs w:val="21"/>
          <w:lang w:val="en-US" w:eastAsia="zh-Hans" w:bidi="ar-SA"/>
        </w:rPr>
        <w:t>文书档案：公文、合同、报告、会议纪要等。</w:t>
      </w:r>
    </w:p>
    <w:p w14:paraId="27EBE593">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2.2</w:t>
      </w:r>
      <w:r>
        <w:rPr>
          <w:rFonts w:hint="eastAsia" w:ascii="宋体" w:hAnsi="宋体" w:eastAsia="宋体" w:cs="宋体"/>
          <w:b w:val="0"/>
          <w:bCs w:val="0"/>
          <w:kern w:val="0"/>
          <w:sz w:val="21"/>
          <w:szCs w:val="21"/>
          <w:lang w:val="en-US" w:eastAsia="zh-Hans" w:bidi="ar-SA"/>
        </w:rPr>
        <w:t>专业档案：土地批复件、矿业权档案、储量处业务档案、勘查处业务档案、环境处业务档案等。</w:t>
      </w:r>
    </w:p>
    <w:p w14:paraId="0B8DF6B0">
      <w:pPr>
        <w:spacing w:before="90" w:after="4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3.</w:t>
      </w:r>
      <w:r>
        <w:rPr>
          <w:rFonts w:hint="eastAsia" w:ascii="宋体" w:hAnsi="宋体" w:eastAsia="宋体" w:cs="宋体"/>
          <w:b w:val="0"/>
          <w:bCs w:val="0"/>
          <w:kern w:val="0"/>
          <w:sz w:val="21"/>
          <w:szCs w:val="21"/>
          <w:lang w:val="en-US" w:eastAsia="zh-Hans" w:bidi="ar-SA"/>
        </w:rPr>
        <w:t>秦政通公文自动归档目标</w:t>
      </w:r>
    </w:p>
    <w:p w14:paraId="3E0F7AFD">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Hans" w:bidi="ar-SA"/>
        </w:rPr>
        <w:t>开发省自然资源厅“秦政通”协同办公系统公文流程归档功能，使公文数据（行政发文、党组发文、联合行文、便函）按照档案管理要求进行自动整理，存储至厅机关各处室电子文件库，实现厅机关各处室公文数据条目及文件的定时批量推送至档案系统预归档库，打通省厅“秦政通”与厅档案系统数字化最后一公里。</w:t>
      </w:r>
    </w:p>
    <w:p w14:paraId="2E9D5B55">
      <w:pPr>
        <w:spacing w:before="200" w:after="6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CN" w:bidi="ar-SA"/>
        </w:rPr>
        <w:t>（三）</w:t>
      </w:r>
      <w:r>
        <w:rPr>
          <w:rFonts w:hint="eastAsia" w:ascii="宋体" w:hAnsi="宋体" w:eastAsia="宋体" w:cs="宋体"/>
          <w:b w:val="0"/>
          <w:bCs w:val="0"/>
          <w:kern w:val="0"/>
          <w:sz w:val="21"/>
          <w:szCs w:val="21"/>
          <w:highlight w:val="none"/>
          <w:lang w:val="en-US" w:eastAsia="zh-Hans" w:bidi="ar-SA"/>
        </w:rPr>
        <w:t>技术要求</w:t>
      </w:r>
    </w:p>
    <w:p w14:paraId="08CB165F">
      <w:pPr>
        <w:spacing w:before="90" w:after="40" w:line="360" w:lineRule="auto"/>
        <w:ind w:firstLine="420" w:firstLineChars="20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w:t>
      </w:r>
      <w:r>
        <w:rPr>
          <w:rFonts w:hint="eastAsia" w:ascii="宋体" w:hAnsi="宋体" w:eastAsia="宋体" w:cs="宋体"/>
          <w:b w:val="0"/>
          <w:bCs w:val="0"/>
          <w:kern w:val="0"/>
          <w:sz w:val="21"/>
          <w:szCs w:val="21"/>
          <w:highlight w:val="none"/>
          <w:lang w:val="en-US" w:eastAsia="zh-Hans" w:bidi="ar-SA"/>
        </w:rPr>
        <w:t>文书档案挂接要求</w:t>
      </w:r>
    </w:p>
    <w:p w14:paraId="755A0B5E">
      <w:pPr>
        <w:spacing w:after="5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数据格式与元数据：支持PDF、Word、Excel、扫描件（JPG/TIFF）等格式挂接。</w:t>
      </w:r>
    </w:p>
    <w:p w14:paraId="6B2574C9">
      <w:pPr>
        <w:spacing w:after="5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元数据字段：序号、档号、文号、责任者、题名、日期、密级、页数、备注。挂接时自动提取元数据，并允许人工校对修正。</w:t>
      </w:r>
    </w:p>
    <w:p w14:paraId="1BF62C5F">
      <w:pPr>
        <w:spacing w:after="50" w:line="360" w:lineRule="auto"/>
        <w:ind w:firstLine="630" w:firstLineChars="3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挂接规则：按“全宗-门类-年度”三级目录挂接，与现有系统目录结构一致。支持批量挂接（单次≥1000份文件），挂接准确率≥96%。</w:t>
      </w:r>
    </w:p>
    <w:p w14:paraId="573E8A07">
      <w:pPr>
        <w:spacing w:before="90" w:after="4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w:t>
      </w:r>
      <w:r>
        <w:rPr>
          <w:rFonts w:hint="eastAsia" w:ascii="宋体" w:hAnsi="宋体" w:eastAsia="宋体" w:cs="宋体"/>
          <w:b w:val="0"/>
          <w:bCs w:val="0"/>
          <w:kern w:val="0"/>
          <w:sz w:val="21"/>
          <w:szCs w:val="21"/>
          <w:highlight w:val="none"/>
          <w:lang w:val="en-US" w:eastAsia="zh-CN" w:bidi="ar-SA"/>
        </w:rPr>
        <w:t>四</w:t>
      </w:r>
      <w:r>
        <w:rPr>
          <w:rFonts w:hint="eastAsia" w:ascii="宋体" w:hAnsi="宋体" w:eastAsia="宋体" w:cs="宋体"/>
          <w:b w:val="0"/>
          <w:bCs w:val="0"/>
          <w:kern w:val="0"/>
          <w:sz w:val="21"/>
          <w:szCs w:val="21"/>
          <w:highlight w:val="none"/>
          <w:lang w:val="en-US" w:eastAsia="zh-Hans" w:bidi="ar-SA"/>
        </w:rPr>
        <w:t>）专业档案挂接要求</w:t>
      </w:r>
    </w:p>
    <w:p w14:paraId="46866A27">
      <w:pPr>
        <w:spacing w:before="90" w:after="4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数据格式与元数据：支持地质图件（DWG、SHP、GeoJSON）、勘探数据（Excel、CSV、数据库文件）挂接。</w:t>
      </w:r>
    </w:p>
    <w:p w14:paraId="66975D43">
      <w:pPr>
        <w:spacing w:after="5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挂接规则：按“全宗-门类-分类”挂接，可根据实际情况调整修正或增加挂接规则，如增加年度。</w:t>
      </w:r>
    </w:p>
    <w:p w14:paraId="56C131CC">
      <w:pPr>
        <w:spacing w:before="90" w:after="4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CN" w:bidi="ar-SA"/>
        </w:rPr>
        <w:t>（五</w:t>
      </w:r>
      <w:r>
        <w:rPr>
          <w:rFonts w:hint="eastAsia" w:ascii="宋体" w:hAnsi="宋体" w:eastAsia="宋体" w:cs="宋体"/>
          <w:b w:val="0"/>
          <w:bCs w:val="0"/>
          <w:kern w:val="0"/>
          <w:sz w:val="21"/>
          <w:szCs w:val="21"/>
          <w:highlight w:val="none"/>
          <w:lang w:val="en-US" w:eastAsia="zh-Hans" w:bidi="ar-SA"/>
        </w:rPr>
        <w:t>）秦政通公文自动归档要求</w:t>
      </w:r>
    </w:p>
    <w:p w14:paraId="5E91D497">
      <w:pPr>
        <w:spacing w:after="50" w:line="360" w:lineRule="auto"/>
        <w:ind w:firstLine="420" w:firstLineChars="20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在省自然资源厅“秦政通”协同办公系统中开发公文流程自动归档功能，主要开发内容包括：</w:t>
      </w:r>
    </w:p>
    <w:p w14:paraId="2A9BA163">
      <w:pPr>
        <w:spacing w:after="50" w:line="360" w:lineRule="auto"/>
        <w:ind w:firstLine="56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1. 开发电子文件库（公文数据）按照厅机关各处室进行分级分权管理。</w:t>
      </w:r>
    </w:p>
    <w:p w14:paraId="62350346">
      <w:pPr>
        <w:spacing w:after="50" w:line="360" w:lineRule="auto"/>
        <w:ind w:firstLine="56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2. 开发公文流程审批结束后，由各处室档案员进行保存期限的填写，并自动归档至各处室电子文件库。</w:t>
      </w:r>
    </w:p>
    <w:p w14:paraId="639E5634">
      <w:pPr>
        <w:spacing w:after="50" w:line="360" w:lineRule="auto"/>
        <w:ind w:firstLine="56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3. 开发定时任务，按照档案管理要求自动将电子文件库公文数据进行条目生成和元数据整理打包。</w:t>
      </w:r>
    </w:p>
    <w:p w14:paraId="4CD0A4D8">
      <w:pPr>
        <w:spacing w:after="50" w:line="360" w:lineRule="auto"/>
        <w:ind w:firstLine="56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4. 各类型发文中增加档案室归档环节，文件用印完成后按照拟稿处室自动流转至所在处室档案员待办中，进行保存期限等字段的补全。</w:t>
      </w:r>
    </w:p>
    <w:p w14:paraId="71D28C22">
      <w:pPr>
        <w:spacing w:after="50" w:line="360" w:lineRule="auto"/>
        <w:ind w:firstLine="560"/>
        <w:rPr>
          <w:rFonts w:hint="eastAsia" w:ascii="宋体" w:hAnsi="宋体" w:eastAsia="宋体" w:cs="宋体"/>
          <w:b w:val="0"/>
          <w:bCs w:val="0"/>
          <w:kern w:val="0"/>
          <w:sz w:val="21"/>
          <w:szCs w:val="21"/>
          <w:highlight w:val="none"/>
          <w:lang w:val="en-US" w:eastAsia="zh-Hans" w:bidi="ar-SA"/>
        </w:rPr>
      </w:pPr>
      <w:r>
        <w:rPr>
          <w:rFonts w:hint="eastAsia" w:ascii="宋体" w:hAnsi="宋体" w:eastAsia="宋体" w:cs="宋体"/>
          <w:b w:val="0"/>
          <w:bCs w:val="0"/>
          <w:kern w:val="0"/>
          <w:sz w:val="21"/>
          <w:szCs w:val="21"/>
          <w:highlight w:val="none"/>
          <w:lang w:val="en-US" w:eastAsia="zh-Hans" w:bidi="ar-SA"/>
        </w:rPr>
        <w:t>5. 由档案管理员进行最终审核整理，审核整理完成后，进入已整理库，系统定时自动推送至档案管理系统预归档库。</w:t>
      </w:r>
    </w:p>
    <w:p w14:paraId="225032E4">
      <w:pPr>
        <w:spacing w:before="200" w:after="6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（六）</w:t>
      </w:r>
      <w:r>
        <w:rPr>
          <w:rFonts w:hint="eastAsia" w:ascii="宋体" w:hAnsi="宋体" w:eastAsia="宋体" w:cs="宋体"/>
          <w:b w:val="0"/>
          <w:bCs w:val="0"/>
          <w:kern w:val="0"/>
          <w:sz w:val="21"/>
          <w:szCs w:val="21"/>
          <w:lang w:val="en-US" w:eastAsia="zh-Hans" w:bidi="ar-SA"/>
        </w:rPr>
        <w:t>服务能力要求</w:t>
      </w:r>
    </w:p>
    <w:p w14:paraId="761186D0">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1.</w:t>
      </w:r>
      <w:r>
        <w:rPr>
          <w:rFonts w:hint="eastAsia" w:ascii="宋体" w:hAnsi="宋体" w:eastAsia="宋体" w:cs="宋体"/>
          <w:b w:val="0"/>
          <w:bCs w:val="0"/>
          <w:kern w:val="0"/>
          <w:sz w:val="21"/>
          <w:szCs w:val="21"/>
          <w:lang w:val="en-US" w:eastAsia="zh-Hans" w:bidi="ar-SA"/>
        </w:rPr>
        <w:t>具备档案数字化及数据挂接服务经验，熟悉纸质、电子档案的整理、著录规则及档案管理系统数据挂接的技术规范。</w:t>
      </w:r>
    </w:p>
    <w:p w14:paraId="08F9D706">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2.</w:t>
      </w:r>
      <w:r>
        <w:rPr>
          <w:rFonts w:hint="eastAsia" w:ascii="宋体" w:hAnsi="宋体" w:eastAsia="宋体" w:cs="宋体"/>
          <w:b w:val="0"/>
          <w:bCs w:val="0"/>
          <w:kern w:val="0"/>
          <w:sz w:val="21"/>
          <w:szCs w:val="21"/>
          <w:lang w:val="en-US" w:eastAsia="zh-Hans" w:bidi="ar-SA"/>
        </w:rPr>
        <w:t>具备协同办公系统二次开发和系统集成能力，熟悉档案管理系统、电子公文系统的接口开发规范，能够完成“秦政通”公文自动归档功能开发及与档案管理系统预归档库的对接联调。</w:t>
      </w:r>
    </w:p>
    <w:p w14:paraId="33F0AAE5">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3.</w:t>
      </w:r>
      <w:r>
        <w:rPr>
          <w:rFonts w:hint="eastAsia" w:ascii="宋体" w:hAnsi="宋体" w:eastAsia="宋体" w:cs="宋体"/>
          <w:b w:val="0"/>
          <w:bCs w:val="0"/>
          <w:kern w:val="0"/>
          <w:sz w:val="21"/>
          <w:szCs w:val="21"/>
          <w:lang w:val="en-US" w:eastAsia="zh-Hans" w:bidi="ar-SA"/>
        </w:rPr>
        <w:t>配备满足本项目所需的项目管理、软件开发、系统集成及档案业务等专业人员，保障数据挂接与秦政通归档开发两项工作协同实施。</w:t>
      </w:r>
    </w:p>
    <w:p w14:paraId="530CA106">
      <w:pPr>
        <w:spacing w:before="200" w:after="6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（七）</w:t>
      </w:r>
      <w:r>
        <w:rPr>
          <w:rFonts w:hint="eastAsia" w:ascii="宋体" w:hAnsi="宋体" w:eastAsia="宋体" w:cs="宋体"/>
          <w:b w:val="0"/>
          <w:bCs w:val="0"/>
          <w:kern w:val="0"/>
          <w:sz w:val="21"/>
          <w:szCs w:val="21"/>
          <w:lang w:val="en-US" w:eastAsia="zh-Hans" w:bidi="ar-SA"/>
        </w:rPr>
        <w:t>售后服务要求</w:t>
      </w:r>
    </w:p>
    <w:p w14:paraId="69AFC307">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1.</w:t>
      </w:r>
      <w:r>
        <w:rPr>
          <w:rFonts w:hint="eastAsia" w:ascii="宋体" w:hAnsi="宋体" w:eastAsia="宋体" w:cs="宋体"/>
          <w:b w:val="0"/>
          <w:bCs w:val="0"/>
          <w:kern w:val="0"/>
          <w:sz w:val="21"/>
          <w:szCs w:val="21"/>
          <w:lang w:val="en-US" w:eastAsia="zh-Hans" w:bidi="ar-SA"/>
        </w:rPr>
        <w:t>质量保证期：本项目（含数据挂接成果及秦政通公文自动归档功能）验收合格后提供3年内免费维护，修复因挂接错误导致的数据关联等问题，以及秦政通归档功能运行中出现的系统缺陷、故障。</w:t>
      </w:r>
    </w:p>
    <w:p w14:paraId="4FF2D274">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2.</w:t>
      </w:r>
      <w:r>
        <w:rPr>
          <w:rFonts w:hint="eastAsia" w:ascii="宋体" w:hAnsi="宋体" w:eastAsia="宋体" w:cs="宋体"/>
          <w:b w:val="0"/>
          <w:bCs w:val="0"/>
          <w:kern w:val="0"/>
          <w:sz w:val="21"/>
          <w:szCs w:val="21"/>
          <w:lang w:val="en-US" w:eastAsia="zh-Hans" w:bidi="ar-SA"/>
        </w:rPr>
        <w:t>应急响应：挂接档案出现检索异常，或秦政通公文归档、预归档推送出现故障时，2小时内响应，8小时内修复。</w:t>
      </w:r>
    </w:p>
    <w:p w14:paraId="1110B261">
      <w:pPr>
        <w:spacing w:after="50" w:line="360" w:lineRule="auto"/>
        <w:ind w:firstLine="420" w:firstLineChars="200"/>
        <w:rPr>
          <w:rFonts w:hint="eastAsia" w:ascii="宋体" w:hAnsi="宋体" w:eastAsia="宋体" w:cs="宋体"/>
          <w:b w:val="0"/>
          <w:bCs w:val="0"/>
          <w:kern w:val="0"/>
          <w:sz w:val="21"/>
          <w:szCs w:val="21"/>
          <w:lang w:val="en-US" w:eastAsia="zh-Hans" w:bidi="ar-SA"/>
        </w:rPr>
      </w:pPr>
      <w:r>
        <w:rPr>
          <w:rFonts w:hint="eastAsia" w:ascii="宋体" w:hAnsi="宋体" w:eastAsia="宋体" w:cs="宋体"/>
          <w:b w:val="0"/>
          <w:bCs w:val="0"/>
          <w:kern w:val="0"/>
          <w:sz w:val="21"/>
          <w:szCs w:val="21"/>
          <w:lang w:val="en-US" w:eastAsia="zh-CN" w:bidi="ar-SA"/>
        </w:rPr>
        <w:t>3.</w:t>
      </w:r>
      <w:r>
        <w:rPr>
          <w:rFonts w:hint="eastAsia" w:ascii="宋体" w:hAnsi="宋体" w:eastAsia="宋体" w:cs="宋体"/>
          <w:b w:val="0"/>
          <w:bCs w:val="0"/>
          <w:kern w:val="0"/>
          <w:sz w:val="21"/>
          <w:szCs w:val="21"/>
          <w:lang w:val="en-US" w:eastAsia="zh-Hans" w:bidi="ar-SA"/>
        </w:rPr>
        <w:t>培训服务：根据客户需求提供10次现场培训，辅导档案管理员掌握挂接规则、异常处理及秦政通公文自动归档功能操作等常规性操作。</w:t>
      </w:r>
    </w:p>
    <w:p w14:paraId="3E56B0A3">
      <w:pPr>
        <w:spacing w:after="50" w:line="360" w:lineRule="auto"/>
        <w:ind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kern w:val="0"/>
          <w:sz w:val="21"/>
          <w:szCs w:val="21"/>
          <w:lang w:val="en-US" w:eastAsia="zh-CN" w:bidi="ar-SA"/>
        </w:rPr>
        <w:t>4.</w:t>
      </w:r>
      <w:r>
        <w:rPr>
          <w:rFonts w:hint="eastAsia" w:ascii="宋体" w:hAnsi="宋体" w:eastAsia="宋体" w:cs="宋体"/>
          <w:b w:val="0"/>
          <w:bCs w:val="0"/>
          <w:kern w:val="0"/>
          <w:sz w:val="21"/>
          <w:szCs w:val="21"/>
          <w:lang w:val="en-US" w:eastAsia="zh-Hans" w:bidi="ar-SA"/>
        </w:rPr>
        <w:t>技术服务：免费维护期内，提供每周不少于一次的驻场服务，每月不少于一次的巡检服务，通过专业技术团队对数据挂接成果及秦政通归档系统的运行状态进行全面检测，确保系统稳定高效运行，实时优化潜在风险，驻场签署驻场记录表、巡检输出巡检报告。</w:t>
      </w:r>
    </w:p>
    <w:p w14:paraId="69FEE9F1">
      <w:pPr>
        <w:pStyle w:val="23"/>
        <w:numPr>
          <w:ilvl w:val="0"/>
          <w:numId w:val="0"/>
        </w:numPr>
        <w:spacing w:line="360" w:lineRule="auto"/>
        <w:ind w:firstLine="422" w:firstLineChars="200"/>
        <w:jc w:val="both"/>
        <w:rPr>
          <w:rFonts w:hint="eastAsia" w:ascii="宋体" w:hAnsi="宋体" w:eastAsia="宋体" w:cs="宋体"/>
          <w:b/>
          <w:bCs/>
          <w:kern w:val="0"/>
          <w:sz w:val="21"/>
          <w:szCs w:val="21"/>
          <w:lang w:val="en-US" w:eastAsia="zh-CN" w:bidi="ar-SA"/>
        </w:rPr>
      </w:pPr>
      <w:r>
        <w:rPr>
          <w:rFonts w:hint="eastAsia" w:ascii="宋体" w:hAnsi="宋体" w:eastAsia="宋体" w:cs="宋体"/>
          <w:b/>
          <w:bCs/>
          <w:kern w:val="0"/>
          <w:sz w:val="21"/>
          <w:szCs w:val="21"/>
          <w:lang w:val="en-US" w:eastAsia="zh-CN" w:bidi="ar-SA"/>
        </w:rPr>
        <w:t>二、安控系统档案管理服务平台适配</w:t>
      </w:r>
    </w:p>
    <w:p w14:paraId="33D71C6B">
      <w:pPr>
        <w:pStyle w:val="23"/>
        <w:spacing w:line="360" w:lineRule="auto"/>
        <w:ind w:firstLine="422"/>
        <w:jc w:val="both"/>
        <w:rPr>
          <w:rFonts w:hint="eastAsia" w:ascii="宋体" w:hAnsi="宋体" w:eastAsia="宋体" w:cs="宋体"/>
          <w:kern w:val="0"/>
          <w:sz w:val="21"/>
          <w:szCs w:val="20"/>
          <w:highlight w:val="none"/>
          <w:lang w:val="en-US" w:eastAsia="zh-Hans" w:bidi="ar-SA"/>
        </w:rPr>
      </w:pPr>
      <w:r>
        <w:rPr>
          <w:rFonts w:hint="eastAsia" w:ascii="宋体" w:hAnsi="宋体" w:eastAsia="宋体" w:cs="宋体"/>
          <w:kern w:val="0"/>
          <w:sz w:val="21"/>
          <w:szCs w:val="20"/>
          <w:highlight w:val="none"/>
          <w:lang w:val="en-US" w:eastAsia="zh-Hans" w:bidi="ar-SA"/>
        </w:rPr>
        <w:t>一、执行标准及依据</w:t>
      </w:r>
    </w:p>
    <w:p w14:paraId="6F4B4EAE">
      <w:pPr>
        <w:pStyle w:val="2"/>
        <w:tabs>
          <w:tab w:val="left" w:pos="567"/>
        </w:tabs>
        <w:spacing w:line="360" w:lineRule="auto"/>
        <w:rPr>
          <w:rFonts w:hint="eastAsia" w:ascii="宋体" w:hAnsi="宋体" w:eastAsia="宋体" w:cs="宋体"/>
          <w:kern w:val="0"/>
          <w:sz w:val="21"/>
          <w:szCs w:val="20"/>
          <w:highlight w:val="none"/>
          <w:lang w:val="en-US" w:eastAsia="zh-Hans" w:bidi="ar-SA"/>
        </w:rPr>
      </w:pPr>
      <w:r>
        <w:rPr>
          <w:rFonts w:hint="eastAsia" w:ascii="宋体" w:hAnsi="宋体" w:eastAsia="宋体" w:cs="宋体"/>
          <w:kern w:val="0"/>
          <w:sz w:val="21"/>
          <w:szCs w:val="20"/>
          <w:highlight w:val="none"/>
          <w:lang w:val="en-US" w:eastAsia="zh-Hans" w:bidi="ar-SA"/>
        </w:rPr>
        <w:t>本项目应严格执行国家及行业现行有关法律法规和技术标准，主要包括：</w:t>
      </w:r>
    </w:p>
    <w:p w14:paraId="67A4FF2D">
      <w:pPr>
        <w:pStyle w:val="2"/>
        <w:tabs>
          <w:tab w:val="left" w:pos="567"/>
        </w:tabs>
        <w:spacing w:line="360" w:lineRule="auto"/>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Hans" w:bidi="ar-SA"/>
        </w:rPr>
        <w:t>1.</w:t>
      </w:r>
      <w:r>
        <w:rPr>
          <w:rFonts w:hint="eastAsia" w:ascii="宋体" w:hAnsi="宋体" w:eastAsia="宋体" w:cs="宋体"/>
          <w:kern w:val="0"/>
          <w:sz w:val="21"/>
          <w:szCs w:val="20"/>
          <w:highlight w:val="none"/>
          <w:lang w:val="zh-CN" w:eastAsia="zh-Hans" w:bidi="ar-SA"/>
        </w:rPr>
        <w:t>《中华人民共和国数据安全法》（2021）</w:t>
      </w:r>
    </w:p>
    <w:p w14:paraId="2D27EC29">
      <w:pPr>
        <w:pStyle w:val="2"/>
        <w:tabs>
          <w:tab w:val="left" w:pos="567"/>
        </w:tabs>
        <w:spacing w:line="360" w:lineRule="auto"/>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CN" w:bidi="ar-SA"/>
        </w:rPr>
        <w:t>2.</w:t>
      </w:r>
      <w:r>
        <w:rPr>
          <w:rFonts w:hint="eastAsia" w:ascii="宋体" w:hAnsi="宋体" w:eastAsia="宋体" w:cs="宋体"/>
          <w:kern w:val="0"/>
          <w:sz w:val="21"/>
          <w:szCs w:val="20"/>
          <w:highlight w:val="none"/>
          <w:lang w:val="zh-CN" w:eastAsia="zh-Hans" w:bidi="ar-SA"/>
        </w:rPr>
        <w:t>《中华人民共和国网络安全法》</w:t>
      </w:r>
    </w:p>
    <w:p w14:paraId="5D9A3E15">
      <w:pPr>
        <w:pStyle w:val="2"/>
        <w:tabs>
          <w:tab w:val="left" w:pos="567"/>
        </w:tabs>
        <w:spacing w:line="360" w:lineRule="auto"/>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CN" w:bidi="ar-SA"/>
        </w:rPr>
        <w:t>3.</w:t>
      </w:r>
      <w:r>
        <w:rPr>
          <w:rFonts w:hint="eastAsia" w:ascii="宋体" w:hAnsi="宋体" w:eastAsia="宋体" w:cs="宋体"/>
          <w:kern w:val="0"/>
          <w:sz w:val="21"/>
          <w:szCs w:val="20"/>
          <w:highlight w:val="none"/>
          <w:lang w:val="zh-CN" w:eastAsia="zh-Hans" w:bidi="ar-SA"/>
        </w:rPr>
        <w:t>《网络安全等级保护基本要求》（G/T22239-2019）</w:t>
      </w:r>
    </w:p>
    <w:p w14:paraId="4AE33801">
      <w:pPr>
        <w:pStyle w:val="2"/>
        <w:tabs>
          <w:tab w:val="left" w:pos="567"/>
        </w:tabs>
        <w:spacing w:line="360" w:lineRule="auto"/>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CN" w:bidi="ar-SA"/>
        </w:rPr>
        <w:t>4.</w:t>
      </w:r>
      <w:r>
        <w:rPr>
          <w:rFonts w:hint="eastAsia" w:ascii="宋体" w:hAnsi="宋体" w:eastAsia="宋体" w:cs="宋体"/>
          <w:kern w:val="0"/>
          <w:sz w:val="21"/>
          <w:szCs w:val="20"/>
          <w:highlight w:val="none"/>
          <w:lang w:val="zh-CN" w:eastAsia="zh-Hans" w:bidi="ar-SA"/>
        </w:rPr>
        <w:t>《中华人民共和国测绘法》（2017新版）</w:t>
      </w:r>
    </w:p>
    <w:p w14:paraId="6A5757AC">
      <w:pPr>
        <w:pStyle w:val="2"/>
        <w:tabs>
          <w:tab w:val="left" w:pos="567"/>
        </w:tabs>
        <w:spacing w:line="360" w:lineRule="auto"/>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5.</w:t>
      </w:r>
      <w:r>
        <w:rPr>
          <w:rFonts w:hint="eastAsia" w:ascii="宋体" w:hAnsi="宋体" w:eastAsia="宋体" w:cs="宋体"/>
          <w:kern w:val="0"/>
          <w:sz w:val="21"/>
          <w:szCs w:val="20"/>
          <w:highlight w:val="none"/>
          <w:lang w:val="zh-CN" w:eastAsia="zh-Hans" w:bidi="ar-SA"/>
        </w:rPr>
        <w:t>《测绘地理信息管理工作国家秘密范围的规定（自然资发【2020】95号）</w:t>
      </w:r>
    </w:p>
    <w:p w14:paraId="730029C8">
      <w:pPr>
        <w:pStyle w:val="2"/>
        <w:tabs>
          <w:tab w:val="left" w:pos="567"/>
        </w:tabs>
        <w:spacing w:line="360" w:lineRule="auto"/>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CN" w:bidi="ar-SA"/>
        </w:rPr>
        <w:t>6.</w:t>
      </w:r>
      <w:r>
        <w:rPr>
          <w:rFonts w:hint="eastAsia" w:ascii="宋体" w:hAnsi="宋体" w:eastAsia="宋体" w:cs="宋体"/>
          <w:kern w:val="0"/>
          <w:sz w:val="21"/>
          <w:szCs w:val="20"/>
          <w:highlight w:val="none"/>
          <w:lang w:val="zh-CN" w:eastAsia="zh-Hans" w:bidi="ar-SA"/>
        </w:rPr>
        <w:t>《自然资源领域数据安全管理办法》（自然资发〔2024〕57号）</w:t>
      </w:r>
    </w:p>
    <w:p w14:paraId="27DB1785">
      <w:pPr>
        <w:pStyle w:val="2"/>
        <w:tabs>
          <w:tab w:val="left" w:pos="567"/>
        </w:tabs>
        <w:spacing w:line="360" w:lineRule="auto"/>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CN" w:bidi="ar-SA"/>
        </w:rPr>
        <w:t>7.</w:t>
      </w:r>
      <w:r>
        <w:rPr>
          <w:rFonts w:hint="eastAsia" w:ascii="宋体" w:hAnsi="宋体" w:eastAsia="宋体" w:cs="宋体"/>
          <w:kern w:val="0"/>
          <w:sz w:val="21"/>
          <w:szCs w:val="20"/>
          <w:highlight w:val="none"/>
          <w:lang w:val="zh-CN" w:eastAsia="zh-Hans" w:bidi="ar-SA"/>
        </w:rPr>
        <w:t>《涉密基础测绘成果提供使用管理办法》（自然资规〔2023〕3号 ）</w:t>
      </w:r>
    </w:p>
    <w:p w14:paraId="2474708C">
      <w:pPr>
        <w:pStyle w:val="23"/>
        <w:spacing w:line="360" w:lineRule="auto"/>
        <w:ind w:firstLine="422"/>
        <w:jc w:val="both"/>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二</w:t>
      </w:r>
      <w:r>
        <w:rPr>
          <w:rFonts w:hint="eastAsia" w:ascii="宋体" w:hAnsi="宋体" w:eastAsia="宋体" w:cs="宋体"/>
          <w:kern w:val="0"/>
          <w:sz w:val="21"/>
          <w:szCs w:val="20"/>
          <w:highlight w:val="none"/>
          <w:lang w:val="en-US" w:eastAsia="zh-Hans" w:bidi="ar-SA"/>
        </w:rPr>
        <w:t>、</w:t>
      </w:r>
      <w:r>
        <w:rPr>
          <w:rFonts w:hint="eastAsia" w:ascii="宋体" w:hAnsi="宋体" w:eastAsia="宋体" w:cs="宋体"/>
          <w:kern w:val="0"/>
          <w:sz w:val="21"/>
          <w:szCs w:val="20"/>
          <w:highlight w:val="none"/>
          <w:lang w:val="en-US" w:eastAsia="zh-CN" w:bidi="ar-SA"/>
        </w:rPr>
        <w:t>服务范围</w:t>
      </w:r>
    </w:p>
    <w:p w14:paraId="4A3B72B4">
      <w:pPr>
        <w:spacing w:before="200" w:after="60" w:line="360" w:lineRule="auto"/>
        <w:ind w:firstLine="1054" w:firstLineChars="500"/>
        <w:rPr>
          <w:rFonts w:hint="eastAsia" w:ascii="宋体" w:hAnsi="宋体" w:eastAsia="宋体" w:cs="宋体"/>
          <w:b/>
          <w:bCs/>
          <w:kern w:val="0"/>
          <w:sz w:val="21"/>
          <w:szCs w:val="20"/>
          <w:highlight w:val="none"/>
          <w:lang w:val="en-US" w:eastAsia="zh-CN" w:bidi="ar-SA"/>
        </w:rPr>
      </w:pPr>
      <w:r>
        <w:rPr>
          <w:rFonts w:hint="eastAsia" w:ascii="宋体" w:hAnsi="宋体" w:eastAsia="宋体" w:cs="宋体"/>
          <w:b/>
          <w:bCs/>
          <w:kern w:val="0"/>
          <w:sz w:val="21"/>
          <w:szCs w:val="20"/>
          <w:highlight w:val="none"/>
          <w:lang w:val="en-US" w:eastAsia="zh-CN" w:bidi="ar-SA"/>
        </w:rPr>
        <w:t>（一）Windows操作系统及各类应用程序的适配</w:t>
      </w:r>
    </w:p>
    <w:p w14:paraId="20FD419F">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优化Windows操作系统适配：对管理端和客户端的操作系统升级适配window 7、Window 10、Window 11操作系统（包括32位和64位版本）。</w:t>
      </w:r>
    </w:p>
    <w:p w14:paraId="4C69696F">
      <w:pPr>
        <w:spacing w:before="200" w:after="60" w:line="360" w:lineRule="auto"/>
        <w:ind w:firstLine="1050" w:firstLineChars="500"/>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zh-CN" w:eastAsia="zh-Hans" w:bidi="ar-SA"/>
        </w:rPr>
        <w:t>优化支持打开加密数据的应用程序，包括但不限于如下常见测绘平台：AutoCAD(dwg、dxf）、3dsmax、南方CASS、Mapgis、Wps系列、office系列、ArcGIS（shp、mdb、gdb）、影像数据格式（tif、img、jpg）、skyline（mpt）、supermap（sdd、sdb）、清华山维（Edb、esp、vbs、mdb）、3Dmax（3ds、max、m3g）、天际航、大势智慧（dem、dwg、shp、osgb、obj）等，还应支持对单位自研软件和格式的适配。</w:t>
      </w:r>
    </w:p>
    <w:p w14:paraId="18CF4C70">
      <w:pPr>
        <w:spacing w:before="200" w:after="60" w:line="360" w:lineRule="auto"/>
        <w:ind w:firstLine="1054" w:firstLineChars="500"/>
        <w:rPr>
          <w:rFonts w:hint="eastAsia" w:ascii="宋体" w:hAnsi="宋体" w:eastAsia="宋体" w:cs="宋体"/>
          <w:b/>
          <w:bCs/>
          <w:kern w:val="0"/>
          <w:sz w:val="21"/>
          <w:szCs w:val="20"/>
          <w:highlight w:val="none"/>
          <w:lang w:val="zh-CN" w:eastAsia="zh-Hans" w:bidi="ar-SA"/>
        </w:rPr>
      </w:pPr>
      <w:r>
        <w:rPr>
          <w:rFonts w:hint="eastAsia" w:ascii="宋体" w:hAnsi="宋体" w:eastAsia="宋体" w:cs="宋体"/>
          <w:b/>
          <w:bCs/>
          <w:kern w:val="0"/>
          <w:sz w:val="21"/>
          <w:szCs w:val="20"/>
          <w:highlight w:val="none"/>
          <w:lang w:val="en-US" w:eastAsia="zh-CN" w:bidi="ar-SA"/>
        </w:rPr>
        <w:t>（二）</w:t>
      </w:r>
      <w:r>
        <w:rPr>
          <w:rFonts w:hint="eastAsia" w:ascii="宋体" w:hAnsi="宋体" w:eastAsia="宋体" w:cs="宋体"/>
          <w:b/>
          <w:bCs/>
          <w:kern w:val="0"/>
          <w:sz w:val="21"/>
          <w:szCs w:val="20"/>
          <w:highlight w:val="none"/>
          <w:lang w:val="zh-CN" w:eastAsia="zh-Hans" w:bidi="ar-SA"/>
        </w:rPr>
        <w:t>国产</w:t>
      </w:r>
      <w:r>
        <w:rPr>
          <w:rFonts w:hint="eastAsia" w:ascii="宋体" w:hAnsi="宋体" w:eastAsia="宋体" w:cs="宋体"/>
          <w:b/>
          <w:bCs/>
          <w:kern w:val="0"/>
          <w:sz w:val="21"/>
          <w:szCs w:val="20"/>
          <w:highlight w:val="none"/>
          <w:lang w:val="en-US" w:eastAsia="zh-CN" w:bidi="ar-SA"/>
        </w:rPr>
        <w:t>电脑操作</w:t>
      </w:r>
      <w:r>
        <w:rPr>
          <w:rFonts w:hint="eastAsia" w:ascii="宋体" w:hAnsi="宋体" w:eastAsia="宋体" w:cs="宋体"/>
          <w:b/>
          <w:bCs/>
          <w:kern w:val="0"/>
          <w:sz w:val="21"/>
          <w:szCs w:val="20"/>
          <w:highlight w:val="none"/>
          <w:lang w:val="zh-CN" w:eastAsia="zh-Hans" w:bidi="ar-SA"/>
        </w:rPr>
        <w:t>系统及国产</w:t>
      </w:r>
      <w:r>
        <w:rPr>
          <w:rFonts w:hint="eastAsia" w:ascii="宋体" w:hAnsi="宋体" w:eastAsia="宋体" w:cs="宋体"/>
          <w:b/>
          <w:bCs/>
          <w:kern w:val="0"/>
          <w:sz w:val="21"/>
          <w:szCs w:val="20"/>
          <w:highlight w:val="none"/>
          <w:lang w:val="en-US" w:eastAsia="zh-CN" w:bidi="ar-SA"/>
        </w:rPr>
        <w:t>数据库、应用平台</w:t>
      </w:r>
      <w:r>
        <w:rPr>
          <w:rFonts w:hint="eastAsia" w:ascii="宋体" w:hAnsi="宋体" w:eastAsia="宋体" w:cs="宋体"/>
          <w:b/>
          <w:bCs/>
          <w:kern w:val="0"/>
          <w:sz w:val="21"/>
          <w:szCs w:val="20"/>
          <w:highlight w:val="none"/>
          <w:lang w:val="zh-CN" w:eastAsia="zh-Hans" w:bidi="ar-SA"/>
        </w:rPr>
        <w:t>适配</w:t>
      </w:r>
    </w:p>
    <w:p w14:paraId="505C9904">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国产化电脑操作系统适配：管理端和客户端新增主流国产电脑操作系统适配。包括：银河麒麟操作系统、统信操作系统（UOS）、中标麒麟（NeoKylin）操作系统、中科方德操作系统。</w:t>
      </w:r>
    </w:p>
    <w:p w14:paraId="22196357">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国产数据库适配：达梦数据库、人大金仓。</w:t>
      </w:r>
    </w:p>
    <w:p w14:paraId="01117D28">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国产应用平台适配：包含但不限于SuperMap GIS、MapGIS、GeoStar、中望CAD、浩辰CAD、大势智慧等。</w:t>
      </w:r>
    </w:p>
    <w:p w14:paraId="5A9480BD">
      <w:pPr>
        <w:spacing w:before="200" w:after="60" w:line="360" w:lineRule="auto"/>
        <w:ind w:firstLine="1054" w:firstLineChars="500"/>
        <w:rPr>
          <w:rFonts w:hint="eastAsia" w:ascii="宋体" w:hAnsi="宋体" w:eastAsia="宋体" w:cs="宋体"/>
          <w:b/>
          <w:bCs/>
          <w:kern w:val="0"/>
          <w:sz w:val="21"/>
          <w:szCs w:val="20"/>
          <w:highlight w:val="none"/>
          <w:lang w:val="en-US" w:eastAsia="zh-CN" w:bidi="ar-SA"/>
        </w:rPr>
      </w:pPr>
      <w:r>
        <w:rPr>
          <w:rFonts w:hint="eastAsia" w:ascii="宋体" w:hAnsi="宋体" w:eastAsia="宋体" w:cs="宋体"/>
          <w:b/>
          <w:bCs/>
          <w:kern w:val="0"/>
          <w:sz w:val="21"/>
          <w:szCs w:val="20"/>
          <w:highlight w:val="none"/>
          <w:lang w:val="en-US" w:eastAsia="zh-CN" w:bidi="ar-SA"/>
        </w:rPr>
        <w:t>（三）安全管控系统功能更新</w:t>
      </w:r>
    </w:p>
    <w:p w14:paraId="1CD33182">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数据处理功能：具有数据加密（处理方式、另存路径、忽略格式）、数据解密、新建任务（单位名称、资料用途等）、创建许可（授权有效期、打包授权等）及查询等功能。</w:t>
      </w:r>
    </w:p>
    <w:p w14:paraId="55F846DC">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策略管理：权限控制（对加密数据的权限控制，是否允许文本拷贝或是否允许打印以及连接数据库等操作）。</w:t>
      </w:r>
    </w:p>
    <w:p w14:paraId="6FB1DBB4">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平台控制功能：根据领取数据的具体情况，可以选择允许数据的使用平台，选择了的平台可以正常使用数据，未选择平台禁止打开加密数据。</w:t>
      </w:r>
    </w:p>
    <w:p w14:paraId="6F4BD17B">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开放格式功能：设置开放格式后，加密数据导出的数据格式与开放格式一致时，则该格式数据不加密。</w:t>
      </w:r>
    </w:p>
    <w:p w14:paraId="614DDD38">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统计报表功能：可以查看历史总计、当年总计、当月总计和当日总计等详细信息，也可根据单位进行加解密和授权等统计分析。</w:t>
      </w:r>
    </w:p>
    <w:p w14:paraId="1F7DD5AC">
      <w:pPr>
        <w:spacing w:before="200" w:after="60" w:line="360" w:lineRule="auto"/>
        <w:ind w:firstLine="1050" w:firstLineChars="500"/>
        <w:rPr>
          <w:rFonts w:hint="eastAsia" w:ascii="宋体" w:hAnsi="宋体" w:eastAsia="宋体" w:cs="宋体"/>
          <w:kern w:val="0"/>
          <w:sz w:val="21"/>
          <w:szCs w:val="20"/>
          <w:highlight w:val="none"/>
          <w:lang w:val="en-US" w:eastAsia="zh-CN" w:bidi="ar-SA"/>
        </w:rPr>
      </w:pPr>
      <w:r>
        <w:rPr>
          <w:rFonts w:hint="eastAsia" w:ascii="宋体" w:hAnsi="宋体" w:eastAsia="宋体" w:cs="宋体"/>
          <w:kern w:val="0"/>
          <w:sz w:val="21"/>
          <w:szCs w:val="20"/>
          <w:highlight w:val="none"/>
          <w:lang w:val="en-US" w:eastAsia="zh-CN" w:bidi="ar-SA"/>
        </w:rPr>
        <w:t>日志管理功能：加解密日志、授权延期日志、日志导出下载等功能。</w:t>
      </w:r>
    </w:p>
    <w:p w14:paraId="36853651">
      <w:pPr>
        <w:spacing w:before="200" w:after="60" w:line="360" w:lineRule="auto"/>
        <w:ind w:firstLine="1050" w:firstLineChars="500"/>
        <w:rPr>
          <w:rFonts w:hint="eastAsia" w:ascii="宋体" w:hAnsi="宋体" w:eastAsia="宋体" w:cs="宋体"/>
          <w:kern w:val="0"/>
          <w:sz w:val="21"/>
          <w:szCs w:val="20"/>
          <w:highlight w:val="none"/>
          <w:lang w:val="zh-CN" w:eastAsia="zh-Hans" w:bidi="ar-SA"/>
        </w:rPr>
      </w:pPr>
      <w:r>
        <w:rPr>
          <w:rFonts w:hint="eastAsia" w:ascii="宋体" w:hAnsi="宋体" w:eastAsia="宋体" w:cs="宋体"/>
          <w:kern w:val="0"/>
          <w:sz w:val="21"/>
          <w:szCs w:val="20"/>
          <w:highlight w:val="none"/>
          <w:lang w:val="en-US" w:eastAsia="zh-CN" w:bidi="ar-SA"/>
        </w:rPr>
        <w:t>系统管理功能：部门管理（显示整个系统中的部门结构，可对部门进行增删改查，便于用户管理）、角色管理（显示整个系统中的所有角色，实现不同用户的不同角色职责）、用户管理（显示整个系统中的所有用户，可对用户进行增删改查。新增的用户可以登录系统，在已分配的角色权限下使用系统多个模块）、备份管理（鉴于部门、用户和日志等重要数据均存储于服务器数据库中，为防范数据库损坏并便于服务器迁移，对数据库内的数据进行备份，可立即备份和按天备份，查看备份状态，进行备份恢复）等功能。</w:t>
      </w:r>
    </w:p>
    <w:p w14:paraId="14F8086B">
      <w:pPr>
        <w:pStyle w:val="23"/>
        <w:spacing w:line="360" w:lineRule="auto"/>
        <w:ind w:firstLine="422"/>
        <w:jc w:val="both"/>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三</w:t>
      </w:r>
      <w:r>
        <w:rPr>
          <w:rFonts w:hint="eastAsia" w:ascii="宋体" w:hAnsi="宋体" w:eastAsia="宋体" w:cs="宋体"/>
          <w:color w:val="auto"/>
          <w:kern w:val="0"/>
          <w:sz w:val="21"/>
          <w:szCs w:val="20"/>
          <w:highlight w:val="none"/>
          <w:lang w:val="en-US" w:eastAsia="zh-Hans" w:bidi="ar-SA"/>
        </w:rPr>
        <w:t>、</w:t>
      </w:r>
      <w:r>
        <w:rPr>
          <w:rFonts w:hint="eastAsia" w:ascii="宋体" w:hAnsi="宋体" w:eastAsia="宋体" w:cs="宋体"/>
          <w:color w:val="auto"/>
          <w:kern w:val="0"/>
          <w:sz w:val="21"/>
          <w:szCs w:val="20"/>
          <w:highlight w:val="none"/>
          <w:lang w:val="en-US" w:eastAsia="zh-CN" w:bidi="ar-SA"/>
        </w:rPr>
        <w:t>技术要求</w:t>
      </w:r>
    </w:p>
    <w:p w14:paraId="5D940C68">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1.系统应具有较强的升级扩容能力，要求在网络结构基本不变、现有设备基本无须替换的情况下具有一定规模的扩容能力。并预留新增其它数据格式无缝加解密的能力。</w:t>
      </w:r>
    </w:p>
    <w:p w14:paraId="1DC78D4A">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2.系统必须具备完善的系统管理功能，可以根据用户需求定制不同数据格式文件的加密。通过严格的权限控制，保证系统的使用安全。</w:t>
      </w:r>
    </w:p>
    <w:p w14:paraId="36DBF6BE">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3.系统应采用符合国际国内标准的、稳定成熟的先进技术，兼顾档案管理新技术的发展方向，适应数字技术发展的要求。</w:t>
      </w:r>
    </w:p>
    <w:p w14:paraId="518C9541">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4.系统应根据我单位的实际要求，配置合理、功能完善、界面简单，易于操作。同时要考虑加密后对系统性能的影响以及对大文件使用的影响，确保不会显著降低效率。</w:t>
      </w:r>
    </w:p>
    <w:p w14:paraId="492B2050">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5.系统应包含终端管理、系统管理、日志管理等多个模块，并且能够将后期新增的格式纳入系统；在现有客户端数量的基础上具备一定的可扩展能力。</w:t>
      </w:r>
    </w:p>
    <w:p w14:paraId="0C0745C9">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6.系统须与单位原有安全管控系统兼容。原有加密数据可以在新的系统下正常使用（包含打开、加密、解密等），满⾜单位对数据安全防护能力的延续性要求。</w:t>
      </w:r>
    </w:p>
    <w:p w14:paraId="23B5BD6F">
      <w:pPr>
        <w:pStyle w:val="2"/>
        <w:tabs>
          <w:tab w:val="left" w:pos="567"/>
        </w:tabs>
        <w:spacing w:line="360" w:lineRule="auto"/>
        <w:ind w:left="575" w:leftChars="174" w:hanging="210" w:hangingChars="100"/>
        <w:rPr>
          <w:rFonts w:hint="eastAsia" w:ascii="宋体" w:hAnsi="宋体" w:eastAsia="宋体" w:cs="宋体"/>
          <w:color w:val="auto"/>
          <w:highlight w:val="none"/>
          <w:lang w:val="en-US" w:eastAsia="zh-CN"/>
        </w:rPr>
      </w:pPr>
      <w:r>
        <w:rPr>
          <w:rFonts w:hint="eastAsia" w:ascii="宋体" w:hAnsi="宋体" w:eastAsia="宋体" w:cs="宋体"/>
          <w:color w:val="auto"/>
          <w:kern w:val="0"/>
          <w:sz w:val="21"/>
          <w:szCs w:val="20"/>
          <w:highlight w:val="none"/>
          <w:lang w:val="en-US" w:eastAsia="zh-CN" w:bidi="ar-SA"/>
        </w:rPr>
        <w:t>7.软件系统架构升级：从原有的C/S单机架构升级到B/S服务器模式架构，降低管理人员安全管理成本，提升工作效率。</w:t>
      </w:r>
    </w:p>
    <w:p w14:paraId="359F84ED">
      <w:pPr>
        <w:pStyle w:val="23"/>
        <w:spacing w:line="360" w:lineRule="auto"/>
        <w:ind w:firstLine="422"/>
        <w:jc w:val="both"/>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三</w:t>
      </w:r>
      <w:r>
        <w:rPr>
          <w:rFonts w:hint="eastAsia" w:ascii="宋体" w:hAnsi="宋体" w:eastAsia="宋体" w:cs="宋体"/>
          <w:color w:val="auto"/>
          <w:kern w:val="0"/>
          <w:sz w:val="21"/>
          <w:szCs w:val="20"/>
          <w:highlight w:val="none"/>
          <w:lang w:val="en-US" w:eastAsia="zh-Hans" w:bidi="ar-SA"/>
        </w:rPr>
        <w:t>、</w:t>
      </w:r>
      <w:r>
        <w:rPr>
          <w:rFonts w:hint="eastAsia" w:ascii="宋体" w:hAnsi="宋体" w:eastAsia="宋体" w:cs="宋体"/>
          <w:color w:val="auto"/>
          <w:kern w:val="0"/>
          <w:sz w:val="21"/>
          <w:szCs w:val="20"/>
          <w:highlight w:val="none"/>
          <w:lang w:val="en-US" w:eastAsia="zh-CN" w:bidi="ar-SA"/>
        </w:rPr>
        <w:t>服务要求</w:t>
      </w:r>
    </w:p>
    <w:p w14:paraId="674C982B">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1.须免费提供详细的操作指南及技术培训，培训次数不少于1次，培训需按照系统管理员、系统操作人员等不同层级开展，培训内容包含系统使用、系统运维，以及与系统相关的技术操作和管理，保证用户能够熟练掌握本系统的使用、维护和管理，达到能独立操作及运维的效果。</w:t>
      </w:r>
    </w:p>
    <w:p w14:paraId="2420253A">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zh-CN" w:eastAsia="zh-CN" w:bidi="ar-SA"/>
        </w:rPr>
      </w:pPr>
      <w:r>
        <w:rPr>
          <w:rFonts w:hint="eastAsia" w:ascii="宋体" w:hAnsi="宋体" w:eastAsia="宋体" w:cs="宋体"/>
          <w:color w:val="auto"/>
          <w:kern w:val="0"/>
          <w:sz w:val="21"/>
          <w:szCs w:val="20"/>
          <w:highlight w:val="none"/>
          <w:lang w:val="en-US" w:eastAsia="zh-CN" w:bidi="ar-SA"/>
        </w:rPr>
        <w:t>2.</w:t>
      </w:r>
      <w:r>
        <w:rPr>
          <w:rFonts w:hint="eastAsia" w:ascii="宋体" w:hAnsi="宋体" w:eastAsia="宋体" w:cs="宋体"/>
          <w:color w:val="auto"/>
          <w:kern w:val="0"/>
          <w:sz w:val="21"/>
          <w:szCs w:val="20"/>
          <w:highlight w:val="none"/>
          <w:lang w:val="zh-CN" w:eastAsia="zh-CN" w:bidi="ar-SA"/>
        </w:rPr>
        <w:t>提供技术服务热线，在收到用户要求服务的通知后，有关技术人员应立即做出响应并安排专业人员解答本项目有关技术问题</w:t>
      </w:r>
      <w:r>
        <w:rPr>
          <w:rFonts w:hint="eastAsia" w:ascii="宋体" w:hAnsi="宋体" w:eastAsia="宋体" w:cs="宋体"/>
          <w:color w:val="auto"/>
          <w:kern w:val="0"/>
          <w:sz w:val="21"/>
          <w:szCs w:val="20"/>
          <w:highlight w:val="none"/>
          <w:lang w:val="en-US" w:eastAsia="zh-CN" w:bidi="ar-SA"/>
        </w:rPr>
        <w:t>。</w:t>
      </w:r>
    </w:p>
    <w:p w14:paraId="18707801">
      <w:pPr>
        <w:pStyle w:val="2"/>
        <w:tabs>
          <w:tab w:val="left" w:pos="567"/>
        </w:tabs>
        <w:spacing w:line="360" w:lineRule="auto"/>
        <w:ind w:left="575" w:leftChars="174" w:hanging="210" w:hangingChars="10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3.</w:t>
      </w:r>
      <w:r>
        <w:rPr>
          <w:rFonts w:hint="eastAsia" w:ascii="宋体" w:hAnsi="宋体" w:eastAsia="宋体" w:cs="宋体"/>
          <w:color w:val="auto"/>
          <w:kern w:val="0"/>
          <w:sz w:val="21"/>
          <w:szCs w:val="20"/>
          <w:highlight w:val="none"/>
          <w:lang w:val="zh-CN" w:eastAsia="zh-CN" w:bidi="ar-SA"/>
        </w:rPr>
        <w:t>在合同服务期内，</w:t>
      </w:r>
      <w:r>
        <w:rPr>
          <w:rFonts w:hint="eastAsia" w:ascii="宋体" w:hAnsi="宋体" w:eastAsia="宋体" w:cs="宋体"/>
          <w:color w:val="auto"/>
          <w:kern w:val="0"/>
          <w:sz w:val="21"/>
          <w:szCs w:val="20"/>
          <w:highlight w:val="none"/>
          <w:lang w:val="en-US" w:eastAsia="zh-CN" w:bidi="ar-SA"/>
        </w:rPr>
        <w:t>提供7×24小时的技术支持响应服务，需现场解决的问题，在故障发生12小时内，派技术人员到达现场，12小时内解决问题。</w:t>
      </w:r>
    </w:p>
    <w:p w14:paraId="6445C8DF">
      <w:pPr>
        <w:pStyle w:val="2"/>
        <w:tabs>
          <w:tab w:val="left" w:pos="567"/>
        </w:tabs>
        <w:outlineLvl w:val="0"/>
        <w:rPr>
          <w:rFonts w:hint="eastAsia" w:ascii="宋体" w:hAnsi="宋体" w:eastAsia="宋体" w:cs="宋体"/>
          <w:color w:val="auto"/>
          <w:kern w:val="0"/>
          <w:sz w:val="21"/>
          <w:szCs w:val="20"/>
          <w:highlight w:val="none"/>
          <w:lang w:val="en-US" w:eastAsia="zh-CN" w:bidi="ar-SA"/>
        </w:rPr>
      </w:pPr>
      <w:r>
        <w:rPr>
          <w:rFonts w:hint="eastAsia" w:ascii="宋体" w:hAnsi="宋体" w:eastAsia="宋体" w:cs="宋体"/>
          <w:color w:val="auto"/>
          <w:kern w:val="0"/>
          <w:sz w:val="21"/>
          <w:szCs w:val="20"/>
          <w:highlight w:val="none"/>
          <w:lang w:val="en-US" w:eastAsia="zh-CN" w:bidi="ar-SA"/>
        </w:rPr>
        <w:t>4.项目终验完成后，至少有1名技术人员，配合采购人解决现场技术问题</w:t>
      </w:r>
    </w:p>
    <w:p w14:paraId="76B50097">
      <w:pPr>
        <w:pStyle w:val="2"/>
        <w:tabs>
          <w:tab w:val="left" w:pos="567"/>
        </w:tabs>
        <w:outlineLvl w:val="0"/>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第三部分  本次服务项目明细表</w:t>
      </w:r>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996"/>
        <w:gridCol w:w="1525"/>
        <w:gridCol w:w="3224"/>
      </w:tblGrid>
      <w:tr w14:paraId="7D4A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54" w:type="pct"/>
            <w:vAlign w:val="center"/>
          </w:tcPr>
          <w:p w14:paraId="736C9D87">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序号</w:t>
            </w:r>
          </w:p>
        </w:tc>
        <w:tc>
          <w:tcPr>
            <w:tcW w:w="1758" w:type="pct"/>
            <w:vAlign w:val="center"/>
          </w:tcPr>
          <w:p w14:paraId="7486C0B2">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服务名称</w:t>
            </w:r>
          </w:p>
        </w:tc>
        <w:tc>
          <w:tcPr>
            <w:tcW w:w="895" w:type="pct"/>
            <w:vAlign w:val="center"/>
          </w:tcPr>
          <w:p w14:paraId="732202C6">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数量</w:t>
            </w:r>
          </w:p>
        </w:tc>
        <w:tc>
          <w:tcPr>
            <w:tcW w:w="1892" w:type="pct"/>
            <w:vAlign w:val="center"/>
          </w:tcPr>
          <w:p w14:paraId="462C85F9">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备注</w:t>
            </w:r>
          </w:p>
        </w:tc>
      </w:tr>
      <w:tr w14:paraId="18FD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54" w:type="pct"/>
            <w:vAlign w:val="center"/>
          </w:tcPr>
          <w:p w14:paraId="7F1AAF0B">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1</w:t>
            </w:r>
          </w:p>
        </w:tc>
        <w:tc>
          <w:tcPr>
            <w:tcW w:w="1758" w:type="pct"/>
            <w:vAlign w:val="center"/>
          </w:tcPr>
          <w:p w14:paraId="66502F57">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矿业权积压档案整理</w:t>
            </w:r>
          </w:p>
        </w:tc>
        <w:tc>
          <w:tcPr>
            <w:tcW w:w="895" w:type="pct"/>
            <w:vAlign w:val="center"/>
          </w:tcPr>
          <w:p w14:paraId="1C68C2A8">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28164档</w:t>
            </w:r>
          </w:p>
        </w:tc>
        <w:tc>
          <w:tcPr>
            <w:tcW w:w="1892" w:type="pct"/>
            <w:vAlign w:val="center"/>
          </w:tcPr>
          <w:p w14:paraId="78BE1A25">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整理编页、装盒、目录著录</w:t>
            </w:r>
          </w:p>
        </w:tc>
      </w:tr>
      <w:tr w14:paraId="3F8E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54" w:type="pct"/>
            <w:vAlign w:val="center"/>
          </w:tcPr>
          <w:p w14:paraId="3619CDB1">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2</w:t>
            </w:r>
          </w:p>
        </w:tc>
        <w:tc>
          <w:tcPr>
            <w:tcW w:w="1758" w:type="pct"/>
            <w:vAlign w:val="center"/>
          </w:tcPr>
          <w:p w14:paraId="2C411AAB">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2024年厅机关文书档案整理、数字化加工及成果数据存储</w:t>
            </w:r>
          </w:p>
        </w:tc>
        <w:tc>
          <w:tcPr>
            <w:tcW w:w="895" w:type="pct"/>
            <w:vAlign w:val="center"/>
          </w:tcPr>
          <w:p w14:paraId="1746C609">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3750件</w:t>
            </w:r>
          </w:p>
        </w:tc>
        <w:tc>
          <w:tcPr>
            <w:tcW w:w="1892" w:type="pct"/>
            <w:vAlign w:val="center"/>
          </w:tcPr>
          <w:p w14:paraId="2AFFED72">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结合上年度数量预估</w:t>
            </w:r>
          </w:p>
        </w:tc>
      </w:tr>
      <w:tr w14:paraId="408A5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54" w:type="pct"/>
            <w:vAlign w:val="center"/>
          </w:tcPr>
          <w:p w14:paraId="37CE7CD6">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3</w:t>
            </w:r>
          </w:p>
        </w:tc>
        <w:tc>
          <w:tcPr>
            <w:tcW w:w="1758" w:type="pct"/>
            <w:vAlign w:val="center"/>
          </w:tcPr>
          <w:p w14:paraId="7D622DD3">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机关业务档案整理、数字化加工及成果数据存储</w:t>
            </w:r>
          </w:p>
        </w:tc>
        <w:tc>
          <w:tcPr>
            <w:tcW w:w="895" w:type="pct"/>
            <w:vAlign w:val="center"/>
          </w:tcPr>
          <w:p w14:paraId="54EB7F8C">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2500卷</w:t>
            </w:r>
          </w:p>
        </w:tc>
        <w:tc>
          <w:tcPr>
            <w:tcW w:w="1892" w:type="pct"/>
            <w:vAlign w:val="center"/>
          </w:tcPr>
          <w:p w14:paraId="4092202D">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结合上年度数量预估</w:t>
            </w:r>
          </w:p>
        </w:tc>
      </w:tr>
      <w:tr w14:paraId="4500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54" w:type="pct"/>
            <w:vAlign w:val="center"/>
          </w:tcPr>
          <w:p w14:paraId="31A486F2">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4</w:t>
            </w:r>
          </w:p>
        </w:tc>
        <w:tc>
          <w:tcPr>
            <w:tcW w:w="1758" w:type="pct"/>
            <w:vAlign w:val="center"/>
          </w:tcPr>
          <w:p w14:paraId="63DF1C22">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历史档案数据清洗治理（第一期）</w:t>
            </w:r>
          </w:p>
        </w:tc>
        <w:tc>
          <w:tcPr>
            <w:tcW w:w="895" w:type="pct"/>
            <w:vAlign w:val="center"/>
          </w:tcPr>
          <w:p w14:paraId="6DEB89BA">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100000条</w:t>
            </w:r>
          </w:p>
        </w:tc>
        <w:tc>
          <w:tcPr>
            <w:tcW w:w="1892" w:type="pct"/>
            <w:vAlign w:val="center"/>
          </w:tcPr>
          <w:p w14:paraId="4554F631">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密级清理、目录核对、修图、成果数据格式转换存储</w:t>
            </w:r>
          </w:p>
        </w:tc>
      </w:tr>
      <w:tr w14:paraId="6C10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454" w:type="pct"/>
            <w:vAlign w:val="center"/>
          </w:tcPr>
          <w:p w14:paraId="111776AE">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5</w:t>
            </w:r>
          </w:p>
        </w:tc>
        <w:tc>
          <w:tcPr>
            <w:tcW w:w="1758" w:type="pct"/>
            <w:vAlign w:val="center"/>
          </w:tcPr>
          <w:p w14:paraId="2BE6A1B6">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2024年厅机关文书档案、机关业务档案数字化成果数据挂接</w:t>
            </w:r>
          </w:p>
        </w:tc>
        <w:tc>
          <w:tcPr>
            <w:tcW w:w="895" w:type="pct"/>
            <w:vAlign w:val="center"/>
          </w:tcPr>
          <w:p w14:paraId="61A5F9C4">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1项</w:t>
            </w:r>
          </w:p>
        </w:tc>
        <w:tc>
          <w:tcPr>
            <w:tcW w:w="1892" w:type="pct"/>
            <w:vAlign w:val="center"/>
          </w:tcPr>
          <w:p w14:paraId="5E71F893">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数据源分析、清洗、挂接、质检</w:t>
            </w:r>
          </w:p>
        </w:tc>
      </w:tr>
      <w:tr w14:paraId="634F7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454" w:type="pct"/>
            <w:vAlign w:val="center"/>
          </w:tcPr>
          <w:p w14:paraId="6FCB1908">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6</w:t>
            </w:r>
          </w:p>
        </w:tc>
        <w:tc>
          <w:tcPr>
            <w:tcW w:w="1758" w:type="pct"/>
            <w:vAlign w:val="center"/>
          </w:tcPr>
          <w:p w14:paraId="38A0DFB2">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秦政通自动归档机关文书档案</w:t>
            </w:r>
          </w:p>
        </w:tc>
        <w:tc>
          <w:tcPr>
            <w:tcW w:w="895" w:type="pct"/>
            <w:vAlign w:val="center"/>
          </w:tcPr>
          <w:p w14:paraId="322E2B1C">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1项</w:t>
            </w:r>
          </w:p>
        </w:tc>
        <w:tc>
          <w:tcPr>
            <w:tcW w:w="1892" w:type="pct"/>
            <w:vAlign w:val="center"/>
          </w:tcPr>
          <w:p w14:paraId="6BD83AFA">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秦政通公文自动归档、电子条目信息补全、页码补全、系统自动推送预归档库</w:t>
            </w:r>
          </w:p>
        </w:tc>
      </w:tr>
      <w:tr w14:paraId="5983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454" w:type="pct"/>
            <w:vAlign w:val="center"/>
          </w:tcPr>
          <w:p w14:paraId="1CB49959">
            <w:pPr>
              <w:pStyle w:val="26"/>
              <w:spacing w:line="360" w:lineRule="auto"/>
              <w:ind w:left="0"/>
              <w:jc w:val="center"/>
              <w:rPr>
                <w:rFonts w:hint="eastAsia" w:ascii="宋体" w:hAnsi="宋体" w:eastAsia="宋体" w:cs="宋体"/>
                <w:b w:val="0"/>
                <w:bCs w:val="0"/>
                <w:kern w:val="0"/>
                <w:sz w:val="21"/>
                <w:szCs w:val="21"/>
                <w:lang w:val="en-US" w:eastAsia="zh-CN" w:bidi="ar-SA"/>
              </w:rPr>
            </w:pPr>
            <w:r>
              <w:rPr>
                <w:rFonts w:hint="eastAsia" w:ascii="宋体" w:hAnsi="宋体" w:eastAsia="宋体" w:cs="宋体"/>
                <w:b w:val="0"/>
                <w:bCs w:val="0"/>
                <w:kern w:val="0"/>
                <w:sz w:val="21"/>
                <w:szCs w:val="21"/>
                <w:lang w:val="en-US" w:eastAsia="zh-CN" w:bidi="ar-SA"/>
              </w:rPr>
              <w:t>7</w:t>
            </w:r>
          </w:p>
        </w:tc>
        <w:tc>
          <w:tcPr>
            <w:tcW w:w="1758" w:type="pct"/>
            <w:vAlign w:val="center"/>
          </w:tcPr>
          <w:p w14:paraId="5D4BCFF7">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安控系统档案管理服务平台适配</w:t>
            </w:r>
          </w:p>
        </w:tc>
        <w:tc>
          <w:tcPr>
            <w:tcW w:w="895" w:type="pct"/>
            <w:vAlign w:val="center"/>
          </w:tcPr>
          <w:p w14:paraId="3E15005B">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1套</w:t>
            </w:r>
          </w:p>
        </w:tc>
        <w:tc>
          <w:tcPr>
            <w:tcW w:w="1892" w:type="pct"/>
            <w:vAlign w:val="center"/>
          </w:tcPr>
          <w:p w14:paraId="3323036A">
            <w:pPr>
              <w:pStyle w:val="26"/>
              <w:spacing w:line="360" w:lineRule="auto"/>
              <w:ind w:left="0" w:leftChars="0" w:firstLine="0" w:firstLineChars="0"/>
              <w:jc w:val="center"/>
              <w:rPr>
                <w:rFonts w:hint="eastAsia" w:ascii="宋体" w:hAnsi="宋体" w:eastAsia="宋体" w:cs="宋体"/>
                <w:b w:val="0"/>
                <w:bCs w:val="0"/>
                <w:kern w:val="0"/>
                <w:sz w:val="21"/>
                <w:szCs w:val="21"/>
                <w:lang w:val="zh-CN" w:eastAsia="zh-Hans" w:bidi="ar-SA"/>
              </w:rPr>
            </w:pPr>
            <w:r>
              <w:rPr>
                <w:rFonts w:hint="eastAsia" w:ascii="宋体" w:hAnsi="宋体" w:eastAsia="宋体" w:cs="宋体"/>
                <w:b w:val="0"/>
                <w:bCs w:val="0"/>
                <w:kern w:val="0"/>
                <w:sz w:val="21"/>
                <w:szCs w:val="21"/>
                <w:lang w:val="zh-CN" w:eastAsia="zh-Hans" w:bidi="ar-SA"/>
              </w:rPr>
              <w:t>档案管理服务平台系统安控</w:t>
            </w:r>
          </w:p>
        </w:tc>
      </w:tr>
    </w:tbl>
    <w:p w14:paraId="755A41D6">
      <w:pPr>
        <w:pStyle w:val="9"/>
        <w:rPr>
          <w:rFonts w:hint="eastAsia" w:ascii="宋体" w:hAnsi="宋体" w:eastAsia="宋体" w:cs="宋体"/>
        </w:rPr>
      </w:pPr>
    </w:p>
    <w:p w14:paraId="33722B2C">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六、项目实施及管理</w:t>
      </w:r>
    </w:p>
    <w:p w14:paraId="65D690ED">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1、工作时间安排</w:t>
      </w:r>
    </w:p>
    <w:p w14:paraId="26FC6788">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本项目工作自合同签订之日起启动至</w:t>
      </w:r>
      <w:r>
        <w:rPr>
          <w:rFonts w:hint="eastAsia" w:ascii="宋体" w:hAnsi="宋体" w:eastAsia="宋体" w:cs="宋体"/>
          <w:sz w:val="24"/>
          <w:u w:val="single"/>
          <w:lang w:val="en-US" w:eastAsia="zh-CN"/>
        </w:rPr>
        <w:t xml:space="preserve">       </w:t>
      </w:r>
      <w:r>
        <w:rPr>
          <w:rFonts w:hint="eastAsia" w:ascii="宋体" w:hAnsi="宋体" w:eastAsia="宋体" w:cs="宋体"/>
          <w:sz w:val="24"/>
        </w:rPr>
        <w:t>日前完成。主要工作分三个阶段进行：</w:t>
      </w:r>
    </w:p>
    <w:p w14:paraId="04651CB4">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（1）第一阶段：前期准备阶段，合同签订之日起15天内。主要工作为确定本项目内容要点、制定项目实施计划、前期资料梳理、人员培训和设备入场等基础性工作。</w:t>
      </w:r>
    </w:p>
    <w:p w14:paraId="12F04B92">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（2）第二阶段：项目实施阶段，合同签订之日起1-5个月内。主要工作：</w:t>
      </w:r>
    </w:p>
    <w:p w14:paraId="092C85C4">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1.陕西省自然资源厅机关文书、业务档案数字化及整理</w:t>
      </w:r>
    </w:p>
    <w:p w14:paraId="270CFC72">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2.陕西省自然资源厅电子档案数据迁移备份</w:t>
      </w:r>
    </w:p>
    <w:p w14:paraId="158EBB17">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（3）第三阶段：项目验收阶段，合同签订之日起第5个月，按照相关验收标准组织人员对项目进行验收。</w:t>
      </w:r>
    </w:p>
    <w:p w14:paraId="04C002C9">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2、工作成果</w:t>
      </w:r>
    </w:p>
    <w:p w14:paraId="19F322F2">
      <w:pPr>
        <w:tabs>
          <w:tab w:val="left" w:pos="480"/>
        </w:tabs>
        <w:spacing w:line="570" w:lineRule="exact"/>
        <w:ind w:firstLine="480" w:firstLineChars="200"/>
        <w:jc w:val="left"/>
        <w:rPr>
          <w:rFonts w:hint="eastAsia" w:ascii="宋体" w:hAnsi="宋体" w:eastAsia="宋体" w:cs="宋体"/>
          <w:sz w:val="24"/>
          <w:lang w:val="en-US" w:eastAsia="zh-CN"/>
        </w:rPr>
      </w:pPr>
      <w:r>
        <w:rPr>
          <w:rFonts w:hint="eastAsia" w:ascii="宋体" w:hAnsi="宋体" w:eastAsia="宋体" w:cs="宋体"/>
          <w:sz w:val="24"/>
        </w:rPr>
        <w:t>本项目预期成果如下：</w:t>
      </w:r>
      <w:r>
        <w:rPr>
          <w:rFonts w:hint="eastAsia" w:ascii="宋体" w:hAnsi="宋体" w:eastAsia="宋体" w:cs="宋体"/>
          <w:sz w:val="24"/>
          <w:u w:val="single"/>
          <w:lang w:val="en-US" w:eastAsia="zh-CN"/>
        </w:rPr>
        <w:t xml:space="preserve">                  </w:t>
      </w:r>
    </w:p>
    <w:p w14:paraId="6A700C4B">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3、工作成果审查方式</w:t>
      </w:r>
    </w:p>
    <w:p w14:paraId="18A84AC9">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陕西省自然资源信息中心资料档案科组织人员业务会议审查通过。</w:t>
      </w:r>
    </w:p>
    <w:p w14:paraId="20D927CB">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七、结算</w:t>
      </w:r>
    </w:p>
    <w:p w14:paraId="29FB0FA9">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1.付款方式</w:t>
      </w:r>
    </w:p>
    <w:p w14:paraId="3FA251BB">
      <w:pPr>
        <w:tabs>
          <w:tab w:val="left" w:pos="480"/>
        </w:tabs>
        <w:spacing w:line="570" w:lineRule="exact"/>
        <w:ind w:firstLine="480" w:firstLineChars="200"/>
        <w:jc w:val="left"/>
        <w:rPr>
          <w:rFonts w:hint="eastAsia" w:ascii="宋体" w:hAnsi="宋体" w:eastAsia="宋体" w:cs="宋体"/>
          <w:sz w:val="24"/>
          <w:highlight w:val="yellow"/>
        </w:rPr>
      </w:pPr>
      <w:bookmarkStart w:id="0" w:name="_GoBack"/>
      <w:r>
        <w:rPr>
          <w:rFonts w:hint="eastAsia" w:ascii="宋体" w:hAnsi="宋体" w:eastAsia="宋体" w:cs="宋体"/>
          <w:sz w:val="24"/>
          <w:highlight w:val="yellow"/>
        </w:rPr>
        <w:t>（1） 付款条件说明： 签订合同后 ，</w:t>
      </w:r>
      <w:r>
        <w:rPr>
          <w:rFonts w:hint="eastAsia" w:ascii="宋体" w:hAnsi="宋体" w:eastAsia="宋体" w:cs="宋体"/>
          <w:color w:val="E54C5E" w:themeColor="accent6"/>
          <w:sz w:val="24"/>
          <w:highlight w:val="yellow"/>
          <w14:textFill>
            <w14:solidFill>
              <w14:schemeClr w14:val="accent6"/>
            </w14:solidFill>
          </w14:textFill>
        </w:rPr>
        <w:t>达到付款条件起 1</w:t>
      </w:r>
      <w:r>
        <w:rPr>
          <w:rFonts w:hint="eastAsia" w:ascii="宋体" w:hAnsi="宋体" w:eastAsia="宋体" w:cs="宋体"/>
          <w:color w:val="E54C5E" w:themeColor="accent6"/>
          <w:sz w:val="24"/>
          <w:highlight w:val="yellow"/>
          <w:lang w:val="en-US" w:eastAsia="zh-CN"/>
          <w14:textFill>
            <w14:solidFill>
              <w14:schemeClr w14:val="accent6"/>
            </w14:solidFill>
          </w14:textFill>
        </w:rPr>
        <w:t>5个工作</w:t>
      </w:r>
      <w:r>
        <w:rPr>
          <w:rFonts w:hint="eastAsia" w:ascii="宋体" w:hAnsi="宋体" w:eastAsia="宋体" w:cs="宋体"/>
          <w:color w:val="E54C5E" w:themeColor="accent6"/>
          <w:sz w:val="24"/>
          <w:highlight w:val="yellow"/>
          <w14:textFill>
            <w14:solidFill>
              <w14:schemeClr w14:val="accent6"/>
            </w14:solidFill>
          </w14:textFill>
        </w:rPr>
        <w:t>日内</w:t>
      </w:r>
      <w:r>
        <w:rPr>
          <w:rFonts w:hint="eastAsia" w:ascii="宋体" w:hAnsi="宋体" w:eastAsia="宋体" w:cs="宋体"/>
          <w:sz w:val="24"/>
          <w:highlight w:val="yellow"/>
        </w:rPr>
        <w:t>，支付合同总金额的 60.00%。</w:t>
      </w:r>
    </w:p>
    <w:p w14:paraId="3DB28CBC">
      <w:pPr>
        <w:tabs>
          <w:tab w:val="left" w:pos="480"/>
        </w:tabs>
        <w:spacing w:line="570" w:lineRule="exact"/>
        <w:ind w:firstLine="480" w:firstLineChars="200"/>
        <w:jc w:val="left"/>
        <w:rPr>
          <w:rFonts w:hint="eastAsia" w:ascii="宋体" w:hAnsi="宋体" w:eastAsia="宋体" w:cs="宋体"/>
          <w:sz w:val="24"/>
          <w:highlight w:val="yellow"/>
        </w:rPr>
      </w:pPr>
      <w:r>
        <w:rPr>
          <w:rFonts w:hint="eastAsia" w:ascii="宋体" w:hAnsi="宋体" w:eastAsia="宋体" w:cs="宋体"/>
          <w:sz w:val="24"/>
          <w:highlight w:val="yellow"/>
        </w:rPr>
        <w:t>（2） 付款条件说明： 最终成果经采购方验收业务会议审议通过后 ，</w:t>
      </w:r>
      <w:r>
        <w:rPr>
          <w:rFonts w:hint="eastAsia" w:ascii="宋体" w:hAnsi="宋体" w:eastAsia="宋体" w:cs="宋体"/>
          <w:color w:val="E54C5E" w:themeColor="accent6"/>
          <w:sz w:val="24"/>
          <w:highlight w:val="yellow"/>
          <w14:textFill>
            <w14:solidFill>
              <w14:schemeClr w14:val="accent6"/>
            </w14:solidFill>
          </w14:textFill>
        </w:rPr>
        <w:t>达到付款条件起 1</w:t>
      </w:r>
      <w:r>
        <w:rPr>
          <w:rFonts w:hint="eastAsia" w:ascii="宋体" w:hAnsi="宋体" w:eastAsia="宋体" w:cs="宋体"/>
          <w:color w:val="E54C5E" w:themeColor="accent6"/>
          <w:sz w:val="24"/>
          <w:highlight w:val="yellow"/>
          <w:lang w:val="en-US" w:eastAsia="zh-CN"/>
          <w14:textFill>
            <w14:solidFill>
              <w14:schemeClr w14:val="accent6"/>
            </w14:solidFill>
          </w14:textFill>
        </w:rPr>
        <w:t>5个工作</w:t>
      </w:r>
      <w:r>
        <w:rPr>
          <w:rFonts w:hint="eastAsia" w:ascii="宋体" w:hAnsi="宋体" w:eastAsia="宋体" w:cs="宋体"/>
          <w:color w:val="E54C5E" w:themeColor="accent6"/>
          <w:sz w:val="24"/>
          <w:highlight w:val="yellow"/>
          <w14:textFill>
            <w14:solidFill>
              <w14:schemeClr w14:val="accent6"/>
            </w14:solidFill>
          </w14:textFill>
        </w:rPr>
        <w:t>日内</w:t>
      </w:r>
      <w:r>
        <w:rPr>
          <w:rFonts w:hint="eastAsia" w:ascii="宋体" w:hAnsi="宋体" w:eastAsia="宋体" w:cs="宋体"/>
          <w:sz w:val="24"/>
          <w:highlight w:val="yellow"/>
        </w:rPr>
        <w:t>，支付合同总金额的 40.00%。</w:t>
      </w:r>
    </w:p>
    <w:bookmarkEnd w:id="0"/>
    <w:p w14:paraId="3F5B0A3A">
      <w:pPr>
        <w:tabs>
          <w:tab w:val="left" w:pos="480"/>
        </w:tabs>
        <w:spacing w:line="570" w:lineRule="exact"/>
        <w:ind w:firstLine="480"/>
        <w:jc w:val="left"/>
        <w:rPr>
          <w:rFonts w:hint="eastAsia" w:ascii="宋体" w:hAnsi="宋体" w:eastAsia="宋体" w:cs="宋体"/>
          <w:sz w:val="24"/>
        </w:rPr>
      </w:pPr>
      <w:r>
        <w:rPr>
          <w:rFonts w:hint="eastAsia" w:ascii="宋体" w:hAnsi="宋体" w:eastAsia="宋体" w:cs="宋体"/>
          <w:sz w:val="24"/>
        </w:rPr>
        <w:t>甲方付款前，乙方应提供与付款金额相等的增值税普通发票，否则甲方有权拒绝付款且不视为违约。</w:t>
      </w:r>
    </w:p>
    <w:p w14:paraId="5BEC2795">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2.履约保证金：无</w:t>
      </w:r>
    </w:p>
    <w:p w14:paraId="2E13BB2A">
      <w:pPr>
        <w:tabs>
          <w:tab w:val="left" w:pos="480"/>
        </w:tabs>
        <w:spacing w:line="570" w:lineRule="exact"/>
        <w:ind w:left="839" w:leftChars="228" w:hanging="360" w:hangingChars="150"/>
        <w:jc w:val="left"/>
        <w:rPr>
          <w:rFonts w:hint="eastAsia" w:ascii="宋体" w:hAnsi="宋体" w:eastAsia="宋体" w:cs="宋体"/>
          <w:sz w:val="24"/>
        </w:rPr>
      </w:pPr>
      <w:r>
        <w:rPr>
          <w:rFonts w:hint="eastAsia" w:ascii="宋体" w:hAnsi="宋体" w:eastAsia="宋体" w:cs="宋体"/>
          <w:sz w:val="24"/>
        </w:rPr>
        <w:t>3.支付方式：银行转账。</w:t>
      </w:r>
    </w:p>
    <w:p w14:paraId="6C57E3DC">
      <w:pPr>
        <w:tabs>
          <w:tab w:val="left" w:pos="480"/>
        </w:tabs>
        <w:spacing w:line="570" w:lineRule="exact"/>
        <w:ind w:left="839" w:leftChars="228" w:hanging="360" w:hangingChars="150"/>
        <w:jc w:val="left"/>
        <w:rPr>
          <w:rFonts w:hint="eastAsia" w:ascii="宋体" w:hAnsi="宋体" w:eastAsia="宋体" w:cs="宋体"/>
          <w:sz w:val="24"/>
          <w:lang w:eastAsia="zh-CN"/>
        </w:rPr>
      </w:pPr>
      <w:r>
        <w:rPr>
          <w:rFonts w:hint="eastAsia" w:ascii="宋体" w:hAnsi="宋体" w:eastAsia="宋体" w:cs="宋体"/>
          <w:sz w:val="24"/>
        </w:rPr>
        <w:t xml:space="preserve">户  名： </w:t>
      </w:r>
    </w:p>
    <w:p w14:paraId="5D4AE38A">
      <w:pPr>
        <w:tabs>
          <w:tab w:val="left" w:pos="480"/>
        </w:tabs>
        <w:spacing w:line="570" w:lineRule="exact"/>
        <w:ind w:left="839" w:leftChars="228" w:hanging="360" w:hangingChars="150"/>
        <w:jc w:val="left"/>
        <w:rPr>
          <w:rFonts w:hint="eastAsia" w:ascii="宋体" w:hAnsi="宋体" w:eastAsia="宋体" w:cs="宋体"/>
          <w:sz w:val="24"/>
        </w:rPr>
      </w:pPr>
      <w:r>
        <w:rPr>
          <w:rFonts w:hint="eastAsia" w:ascii="宋体" w:hAnsi="宋体" w:eastAsia="宋体" w:cs="宋体"/>
          <w:sz w:val="24"/>
        </w:rPr>
        <w:t xml:space="preserve">开户行： </w:t>
      </w:r>
    </w:p>
    <w:p w14:paraId="18ED19DD">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账  号： </w:t>
      </w:r>
    </w:p>
    <w:p w14:paraId="51EF9431">
      <w:pPr>
        <w:tabs>
          <w:tab w:val="left" w:pos="480"/>
        </w:tabs>
        <w:spacing w:line="570" w:lineRule="exact"/>
        <w:jc w:val="left"/>
        <w:rPr>
          <w:rFonts w:hint="eastAsia" w:ascii="宋体" w:hAnsi="宋体" w:eastAsia="宋体" w:cs="宋体"/>
          <w:b/>
          <w:bCs/>
          <w:sz w:val="24"/>
        </w:rPr>
      </w:pPr>
      <w:r>
        <w:rPr>
          <w:rFonts w:hint="eastAsia" w:ascii="宋体" w:hAnsi="宋体" w:eastAsia="宋体" w:cs="宋体"/>
          <w:b/>
          <w:bCs/>
          <w:sz w:val="24"/>
        </w:rPr>
        <w:t>八、验收</w:t>
      </w:r>
    </w:p>
    <w:p w14:paraId="754770DA">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供应商应按采购方的具体技术及时间要求，完成相应工作成果并全部提交后，采购方按具体技术要求进行项目验收。项目成果应通过陕西省自然资源信息中心资料档案科组织人员审查通过方可结项。</w:t>
      </w:r>
    </w:p>
    <w:p w14:paraId="5E625A1F">
      <w:pPr>
        <w:tabs>
          <w:tab w:val="left" w:pos="480"/>
        </w:tabs>
        <w:spacing w:line="570" w:lineRule="exact"/>
        <w:jc w:val="left"/>
        <w:rPr>
          <w:rFonts w:hint="eastAsia" w:ascii="宋体" w:hAnsi="宋体" w:eastAsia="宋体" w:cs="宋体"/>
          <w:b/>
          <w:bCs/>
          <w:sz w:val="24"/>
        </w:rPr>
      </w:pPr>
      <w:r>
        <w:rPr>
          <w:rFonts w:hint="eastAsia" w:ascii="宋体" w:hAnsi="宋体" w:eastAsia="宋体" w:cs="宋体"/>
          <w:b/>
          <w:bCs/>
          <w:sz w:val="24"/>
        </w:rPr>
        <w:t>九、安全保密条款</w:t>
      </w:r>
    </w:p>
    <w:p w14:paraId="61811456">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1.乙方应严格遵守《保密法》的规定和国家档案局办公室关于印发《档案数字化外包安全管理规范》及《档案服务外包管理工作规范》。</w:t>
      </w:r>
    </w:p>
    <w:p w14:paraId="7DADB7A6">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2.乙方应提供具体工作人员的相关简历、身份证复印件，确保人员身份真实及安全。如乙方工作人员在本合同履行期间产生劳动争议及其他纠纷（包括但不限于如下情形：乙方工作人员在工作期间，如因其过错造成第三人的财产损失或人身伤害；乙方工作人员在非工作时间（包括上下班在途时间）所发生的事故；乙方工作人员私自外出期间以及工作期间内，因自身突发疾病而发生的意外伤亡等），均由乙方负责处理，并承担全部法律责任，与甲方无关。</w:t>
      </w:r>
    </w:p>
    <w:p w14:paraId="5FA47280">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3.乙方工作人员在甲方现场工作时不得使用个人U盘或移动硬盘等拷贝设备，若确需数据拷贝，须经甲方书面同意并在甲方监督下，由乙方现场经理用指定设备拷贝。</w:t>
      </w:r>
    </w:p>
    <w:p w14:paraId="084B3ADF">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4.乙方的工作用机进入甲方现场后须编号登记，项目期间一律不得撤离现场，若设备需更换返修，需经甲方工作人员核查拆除移交硬盘后方可撤离。</w:t>
      </w:r>
    </w:p>
    <w:p w14:paraId="5716ECC5">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5.乙方工作完成后，在甲方的配合下，销毁乙方设备中全部有关本次加工数据的信息，作业过程中所产生的废光盘以及校对草稿，均应全部交与甲方处理，若发生信息泄密情况,由乙方承担相应的民事、行政及刑事责任。</w:t>
      </w:r>
    </w:p>
    <w:p w14:paraId="5BC78DA6">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6.为保证数据安全，项目完成后，乙方将服务器硬盘、计算机硬盘无偿移交给甲方。</w:t>
      </w:r>
    </w:p>
    <w:p w14:paraId="4419BFBA">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7.乙方应当于合同签订后5日内向甲方提供本项目实施的保密承诺书一份，该承诺书应当加盖乙方公章，并由乙方法定代表人签字确认。</w:t>
      </w:r>
    </w:p>
    <w:p w14:paraId="756DD16F">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8.如甲方在本合同履行中及本合同终止后，乙方对项目内容始终承担保密义务。如乙方违反本合同有关保密条款的约定，甲方有权追究乙方的民事、行政及刑事责任。</w:t>
      </w:r>
    </w:p>
    <w:p w14:paraId="50483722">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十、售后服务</w:t>
      </w:r>
    </w:p>
    <w:p w14:paraId="6E5EAD7A">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自项目服务期限截止之日起1 年内，供应商须与采购方保持全面沟通，随时跟进与项目相关的工作，并就项目成果实际使用过程中出现的问题提供咨询、分析和解决方法。</w:t>
      </w:r>
    </w:p>
    <w:p w14:paraId="7E3C0D03">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十一、违约责任</w:t>
      </w:r>
    </w:p>
    <w:p w14:paraId="5A3EEAEE">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1.依据《中华人民共和国民法典》《中华人民共和国政府采购法》的相关条款和本合同约定，乙方未全面履行合同义务或者发生违约，甲方有权单方面解除合同，且乙方应承担相应的违约责任，并赔偿由此给甲方造成的全部经济损失（包括直接损失及间接损失）。除本合同另有约定外，乙方承担违约责任的金额为本合同总金额的20%。 </w:t>
      </w:r>
    </w:p>
    <w:p w14:paraId="59AD0BE9">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2.甲乙双方必须遵守本合同并执行合同中的各项规定，保证本合同的正常履行。任何一方均不得无故擅自单方解除合同，否则，违约方应向守约方赔偿合同总金额20%的违约金。</w:t>
      </w:r>
    </w:p>
    <w:p w14:paraId="4AD95FAF">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如因乙方未适当履行本合同义务，或乙方/其工作人员在履行职务过程中的疏忽、失职、过错等故意或者过失原因给甲方造成损失或侵害，包括但不限于甲方本身的任何损失、由此而导致的甲方对任何第三方的法律责任等，乙方对此均应承担全部的赔偿责任。</w:t>
      </w:r>
    </w:p>
    <w:p w14:paraId="4ED61C6D">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4.甲方保留因乙方对本次加工的数据泄露、丢失、损坏造成损失追究其民事、行政及刑事责任的权利；同时乙方不得以任何方式把本次加工的数据信息做其它用途，否则，由此给甲方造成的后果及全部损失由乙方负责并予以赔偿。</w:t>
      </w:r>
    </w:p>
    <w:p w14:paraId="6264CE83">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5.因乙方原因未能在本合同约定工作期限内完成服务项目，则乙方应自逾期之日起每周按合同总价款的百分之零点五（0.5%）支付延期赔偿金，如乙方累计逾期达30日，甲方有权单方解除合同，并要求乙方支付合同总价款20%的违约金，同时乙方向甲方支付延期赔偿金的责任不予免除。</w:t>
      </w:r>
    </w:p>
    <w:p w14:paraId="03A9FE99">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6.乙方擅自将本项目转包、分包给任意第三人，甲方有权单方解除合同，并有权要求乙方支付合同总金额30%的违约金，同时乙方应当向甲方赔偿由此所造成的全部损失。</w:t>
      </w:r>
    </w:p>
    <w:p w14:paraId="0355573F">
      <w:pPr>
        <w:tabs>
          <w:tab w:val="left" w:pos="480"/>
        </w:tabs>
        <w:spacing w:line="570" w:lineRule="exact"/>
        <w:ind w:firstLine="480"/>
        <w:jc w:val="left"/>
        <w:rPr>
          <w:rFonts w:hint="eastAsia" w:ascii="宋体" w:hAnsi="宋体" w:eastAsia="宋体" w:cs="宋体"/>
          <w:sz w:val="24"/>
        </w:rPr>
      </w:pPr>
      <w:r>
        <w:rPr>
          <w:rFonts w:hint="eastAsia" w:ascii="宋体" w:hAnsi="宋体" w:eastAsia="宋体" w:cs="宋体"/>
          <w:sz w:val="24"/>
        </w:rPr>
        <w:t>7.乙方在签订合同时应成立项目组，按投标书人员配备部分的承诺指定项目经理及技术骨干，乙方在项目实施期间不得擅自撤出工作设备、更换现场工作人员，乙方发生上述行为如无法提出合理解释或拒不改正，甲方有权单方解除合同，并有权要求乙方按照合同总价款的20%向甲方支付违约金。（若确需人员调整，须甲、乙双方协商并经甲方书面认可后，乙方方可更换人员。）</w:t>
      </w:r>
    </w:p>
    <w:p w14:paraId="678B305D">
      <w:pPr>
        <w:pStyle w:val="10"/>
        <w:spacing w:line="57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8.本合同提前解除或终止的，双方按照甲方验收合格的实际工作量依据第一条约定的核算方式进行结算，多退少补。多出部分合同款项乙方应在双方完成结算确认后3个工作日内一次性退还，如逾期退还的，按照全国银行间同业拆借中心公布的一年前贷款市场报价利率的四倍支付利息。</w:t>
      </w:r>
    </w:p>
    <w:p w14:paraId="4A8D1201">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十二、 合同争议的解决</w:t>
      </w:r>
    </w:p>
    <w:p w14:paraId="7C747634">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合同执行中发生争议的，双方应协商解决，协商达不成一致时，任何一方可向西安仲裁委员会提请仲裁。</w:t>
      </w:r>
    </w:p>
    <w:p w14:paraId="475FAAB3">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十三、不可抗力</w:t>
      </w:r>
    </w:p>
    <w:p w14:paraId="78CA8688">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不可抗力发生后，应在合同约定或合理的时间内通知对方，以便对方采取措施，减轻不可抗力可能造成的损失，同时，应当在合理的时间内提供有关方面出具的证明。并且双方均应采取合理措施，防止损失扩大。如发生不可抗力，任何一方当事人不及时采取措施或采取的措施不合理、不适当，致使损失扩大的，则该方应就扩大部分承担相应的责任。</w:t>
      </w:r>
    </w:p>
    <w:p w14:paraId="3638C970">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2.对方当事人接到发生不可抗力的书面通知后，应立即采取适当措施避免或减小损失，同时，对已经发生或可能发生的损失作出评估，以便合同双方当事人采取继续履行合同、变更合同还是解除合同的应变措施。</w:t>
      </w:r>
    </w:p>
    <w:p w14:paraId="169F6178">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不可抗力事件的发生，对履行合同的影响可能有大有小，有时只是暂时影响到合同的履行，可以通过延期履行实现合同的目的，对此不能行使法定解除权。只有不可抗力致使合同目的不能实现时，任何一方均可以解除合同。</w:t>
      </w:r>
    </w:p>
    <w:p w14:paraId="0CD85C39">
      <w:pPr>
        <w:tabs>
          <w:tab w:val="left" w:pos="480"/>
        </w:tabs>
        <w:spacing w:line="550" w:lineRule="exact"/>
        <w:ind w:left="826" w:hanging="826" w:hangingChars="343"/>
        <w:rPr>
          <w:rFonts w:hint="eastAsia" w:ascii="宋体" w:hAnsi="宋体" w:eastAsia="宋体" w:cs="宋体"/>
          <w:b/>
          <w:kern w:val="0"/>
          <w:sz w:val="24"/>
        </w:rPr>
      </w:pPr>
      <w:r>
        <w:rPr>
          <w:rFonts w:hint="eastAsia" w:ascii="宋体" w:hAnsi="宋体" w:eastAsia="宋体" w:cs="宋体"/>
          <w:b/>
          <w:kern w:val="0"/>
          <w:sz w:val="24"/>
        </w:rPr>
        <w:t>十四、本合份数</w:t>
      </w:r>
    </w:p>
    <w:p w14:paraId="5F720659">
      <w:pPr>
        <w:tabs>
          <w:tab w:val="left" w:pos="480"/>
        </w:tabs>
        <w:spacing w:line="570" w:lineRule="exact"/>
        <w:ind w:firstLine="480" w:firstLineChars="200"/>
        <w:rPr>
          <w:rFonts w:hint="eastAsia" w:ascii="宋体" w:hAnsi="宋体" w:eastAsia="宋体" w:cs="宋体"/>
          <w:sz w:val="24"/>
        </w:rPr>
      </w:pPr>
      <w:r>
        <w:rPr>
          <w:rFonts w:hint="eastAsia" w:ascii="宋体" w:hAnsi="宋体" w:eastAsia="宋体" w:cs="宋体"/>
          <w:color w:val="E54C5E" w:themeColor="accent6"/>
          <w:sz w:val="24"/>
          <w14:textFill>
            <w14:solidFill>
              <w14:schemeClr w14:val="accent6"/>
            </w14:solidFill>
          </w14:textFill>
        </w:rPr>
        <w:t>本合同一式</w:t>
      </w:r>
      <w:r>
        <w:rPr>
          <w:rFonts w:hint="eastAsia" w:ascii="宋体" w:hAnsi="宋体" w:eastAsia="宋体" w:cs="宋体"/>
          <w:color w:val="E54C5E" w:themeColor="accent6"/>
          <w:sz w:val="24"/>
          <w:lang w:val="en-US" w:eastAsia="zh-CN"/>
          <w14:textFill>
            <w14:solidFill>
              <w14:schemeClr w14:val="accent6"/>
            </w14:solidFill>
          </w14:textFill>
        </w:rPr>
        <w:t>肆</w:t>
      </w:r>
      <w:r>
        <w:rPr>
          <w:rFonts w:hint="eastAsia" w:ascii="宋体" w:hAnsi="宋体" w:eastAsia="宋体" w:cs="宋体"/>
          <w:color w:val="E54C5E" w:themeColor="accent6"/>
          <w:sz w:val="24"/>
          <w14:textFill>
            <w14:solidFill>
              <w14:schemeClr w14:val="accent6"/>
            </w14:solidFill>
          </w14:textFill>
        </w:rPr>
        <w:t>份，甲方、乙方各执贰份，</w:t>
      </w:r>
      <w:r>
        <w:rPr>
          <w:rFonts w:hint="eastAsia" w:ascii="宋体" w:hAnsi="宋体" w:eastAsia="宋体" w:cs="宋体"/>
          <w:sz w:val="24"/>
        </w:rPr>
        <w:t>经双方法定代表人或授权代表签字并加盖公章或合同专用章后生效，合同执行完毕自动失效。（合同的服务承诺则长期有效）。</w:t>
      </w:r>
    </w:p>
    <w:p w14:paraId="4051834B">
      <w:pPr>
        <w:autoSpaceDN w:val="0"/>
        <w:spacing w:line="550" w:lineRule="exact"/>
        <w:rPr>
          <w:rFonts w:hint="eastAsia" w:ascii="宋体" w:hAnsi="宋体" w:eastAsia="宋体" w:cs="宋体"/>
          <w:b/>
          <w:kern w:val="0"/>
          <w:sz w:val="24"/>
        </w:rPr>
      </w:pPr>
      <w:r>
        <w:rPr>
          <w:rFonts w:hint="eastAsia" w:ascii="宋体" w:hAnsi="宋体" w:eastAsia="宋体" w:cs="宋体"/>
          <w:b/>
          <w:kern w:val="0"/>
          <w:sz w:val="24"/>
        </w:rPr>
        <w:t>十五、其他事项</w:t>
      </w:r>
    </w:p>
    <w:p w14:paraId="54367616">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1.本合同未尽事宜，由甲、乙双方协商确认后，可以签订书面补充协议作为本合同的一部分，与本合同具有同等法律效力。</w:t>
      </w:r>
    </w:p>
    <w:p w14:paraId="0436E166">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2.合同一经签订，任何一方不得擅自变更、中止或终止合同。对确需变更、调整或中止、终止合同的，双方应按规定履行相应的手续。</w:t>
      </w:r>
    </w:p>
    <w:p w14:paraId="5FAADCE1">
      <w:pPr>
        <w:tabs>
          <w:tab w:val="left" w:pos="480"/>
        </w:tabs>
        <w:spacing w:line="570" w:lineRule="exact"/>
        <w:ind w:firstLine="480" w:firstLineChars="200"/>
        <w:jc w:val="left"/>
        <w:rPr>
          <w:rFonts w:hint="eastAsia" w:ascii="宋体" w:hAnsi="宋体" w:eastAsia="宋体" w:cs="宋体"/>
          <w:sz w:val="24"/>
        </w:rPr>
      </w:pPr>
      <w:r>
        <w:rPr>
          <w:rFonts w:hint="eastAsia" w:ascii="宋体" w:hAnsi="宋体" w:eastAsia="宋体" w:cs="宋体"/>
          <w:sz w:val="24"/>
        </w:rPr>
        <w:t>3.本合同按照中华人民共和国的现行法律进行解释。</w:t>
      </w:r>
    </w:p>
    <w:p w14:paraId="054A9DBD">
      <w:pPr>
        <w:tabs>
          <w:tab w:val="left" w:pos="480"/>
        </w:tabs>
        <w:spacing w:line="550" w:lineRule="exact"/>
        <w:ind w:left="839" w:leftChars="228" w:hanging="360" w:hangingChars="150"/>
        <w:jc w:val="left"/>
        <w:rPr>
          <w:rFonts w:hint="eastAsia" w:ascii="宋体" w:hAnsi="宋体" w:eastAsia="宋体" w:cs="宋体"/>
          <w:sz w:val="24"/>
        </w:rPr>
      </w:pPr>
    </w:p>
    <w:p w14:paraId="3657D357">
      <w:pPr>
        <w:tabs>
          <w:tab w:val="left" w:pos="480"/>
        </w:tabs>
        <w:spacing w:line="550" w:lineRule="exact"/>
        <w:jc w:val="left"/>
        <w:rPr>
          <w:rFonts w:hint="eastAsia" w:ascii="宋体" w:hAnsi="宋体" w:eastAsia="宋体" w:cs="宋体"/>
          <w:sz w:val="24"/>
        </w:rPr>
      </w:pPr>
    </w:p>
    <w:p w14:paraId="1B838BDD">
      <w:pPr>
        <w:tabs>
          <w:tab w:val="left" w:pos="480"/>
        </w:tabs>
        <w:spacing w:line="550" w:lineRule="exact"/>
        <w:jc w:val="left"/>
        <w:rPr>
          <w:rFonts w:hint="eastAsia" w:ascii="宋体" w:hAnsi="宋体" w:eastAsia="宋体" w:cs="宋体"/>
          <w:sz w:val="24"/>
        </w:rPr>
      </w:pPr>
    </w:p>
    <w:p w14:paraId="3CA79A4E">
      <w:pPr>
        <w:pStyle w:val="8"/>
        <w:spacing w:line="240" w:lineRule="auto"/>
        <w:ind w:firstLine="420" w:firstLineChars="200"/>
        <w:rPr>
          <w:rFonts w:hint="eastAsia" w:ascii="宋体" w:hAnsi="宋体" w:eastAsia="宋体" w:cs="宋体"/>
          <w:szCs w:val="28"/>
        </w:rPr>
      </w:pPr>
    </w:p>
    <w:p w14:paraId="4E5624F2">
      <w:pPr>
        <w:pStyle w:val="8"/>
        <w:spacing w:line="240" w:lineRule="auto"/>
        <w:ind w:firstLine="480" w:firstLineChars="200"/>
        <w:rPr>
          <w:rFonts w:hint="eastAsia" w:ascii="宋体" w:hAnsi="宋体" w:eastAsia="宋体" w:cs="宋体"/>
          <w:color w:val="E54C5E" w:themeColor="accent6"/>
          <w:kern w:val="2"/>
          <w:sz w:val="24"/>
          <w:szCs w:val="24"/>
          <w:lang w:val="en-US" w:eastAsia="zh-CN" w:bidi="ar-SA"/>
          <w14:textFill>
            <w14:solidFill>
              <w14:schemeClr w14:val="accent6"/>
            </w14:solidFill>
          </w14:textFill>
        </w:rPr>
      </w:pPr>
      <w:r>
        <w:rPr>
          <w:rFonts w:hint="eastAsia" w:ascii="宋体" w:hAnsi="宋体" w:eastAsia="宋体" w:cs="宋体"/>
          <w:color w:val="E54C5E" w:themeColor="accent6"/>
          <w:kern w:val="2"/>
          <w:sz w:val="24"/>
          <w:szCs w:val="24"/>
          <w:lang w:val="en-US" w:eastAsia="zh-CN" w:bidi="ar-SA"/>
          <w14:textFill>
            <w14:solidFill>
              <w14:schemeClr w14:val="accent6"/>
            </w14:solidFill>
          </w14:textFill>
        </w:rPr>
        <w:t>（以下无正文）</w:t>
      </w:r>
    </w:p>
    <w:p w14:paraId="462372E4">
      <w:pPr>
        <w:tabs>
          <w:tab w:val="left" w:pos="480"/>
        </w:tabs>
        <w:spacing w:line="550" w:lineRule="exact"/>
        <w:jc w:val="left"/>
        <w:rPr>
          <w:rFonts w:hint="eastAsia" w:ascii="宋体" w:hAnsi="宋体" w:eastAsia="宋体" w:cs="宋体"/>
          <w:sz w:val="24"/>
        </w:rPr>
      </w:pPr>
    </w:p>
    <w:p w14:paraId="50ED5FAB">
      <w:pPr>
        <w:rPr>
          <w:rFonts w:hint="eastAsia" w:ascii="宋体" w:hAnsi="宋体" w:eastAsia="宋体" w:cs="宋体"/>
          <w:sz w:val="24"/>
        </w:rPr>
      </w:pPr>
      <w:r>
        <w:rPr>
          <w:rFonts w:hint="eastAsia" w:ascii="宋体" w:hAnsi="宋体" w:eastAsia="宋体" w:cs="宋体"/>
          <w:sz w:val="24"/>
        </w:rPr>
        <w:br w:type="page"/>
      </w:r>
    </w:p>
    <w:p w14:paraId="75FC5A30">
      <w:pPr>
        <w:tabs>
          <w:tab w:val="left" w:pos="480"/>
        </w:tabs>
        <w:spacing w:line="550" w:lineRule="exact"/>
        <w:jc w:val="left"/>
        <w:rPr>
          <w:rFonts w:hint="eastAsia" w:ascii="宋体" w:hAnsi="宋体" w:eastAsia="宋体" w:cs="宋体"/>
          <w:sz w:val="24"/>
        </w:rPr>
      </w:pPr>
    </w:p>
    <w:tbl>
      <w:tblPr>
        <w:tblStyle w:val="14"/>
        <w:tblpPr w:leftFromText="180" w:rightFromText="180" w:vertAnchor="text" w:tblpXSpec="center" w:tblpY="1"/>
        <w:tblOverlap w:val="never"/>
        <w:tblW w:w="9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3"/>
        <w:gridCol w:w="4697"/>
      </w:tblGrid>
      <w:tr w14:paraId="07EF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83" w:type="dxa"/>
            <w:tcBorders>
              <w:top w:val="single" w:color="auto" w:sz="4" w:space="0"/>
              <w:left w:val="single" w:color="auto" w:sz="4" w:space="0"/>
              <w:bottom w:val="single" w:color="auto" w:sz="4" w:space="0"/>
              <w:right w:val="single" w:color="auto" w:sz="4" w:space="0"/>
            </w:tcBorders>
            <w:vAlign w:val="center"/>
          </w:tcPr>
          <w:p w14:paraId="56C457C6">
            <w:pPr>
              <w:spacing w:line="360" w:lineRule="auto"/>
              <w:jc w:val="center"/>
              <w:rPr>
                <w:rFonts w:hint="eastAsia" w:ascii="宋体" w:hAnsi="宋体" w:eastAsia="宋体" w:cs="宋体"/>
                <w:b/>
                <w:sz w:val="24"/>
              </w:rPr>
            </w:pPr>
            <w:r>
              <w:rPr>
                <w:rFonts w:hint="eastAsia" w:ascii="宋体" w:hAnsi="宋体" w:eastAsia="宋体" w:cs="宋体"/>
                <w:b/>
                <w:sz w:val="24"/>
              </w:rPr>
              <w:t>甲  方</w:t>
            </w:r>
          </w:p>
        </w:tc>
        <w:tc>
          <w:tcPr>
            <w:tcW w:w="4697" w:type="dxa"/>
            <w:tcBorders>
              <w:top w:val="single" w:color="auto" w:sz="4" w:space="0"/>
              <w:left w:val="single" w:color="auto" w:sz="4" w:space="0"/>
              <w:bottom w:val="single" w:color="auto" w:sz="4" w:space="0"/>
              <w:right w:val="single" w:color="auto" w:sz="4" w:space="0"/>
            </w:tcBorders>
            <w:vAlign w:val="center"/>
          </w:tcPr>
          <w:p w14:paraId="200FEE34">
            <w:pPr>
              <w:spacing w:line="360" w:lineRule="auto"/>
              <w:jc w:val="center"/>
              <w:rPr>
                <w:rFonts w:hint="eastAsia" w:ascii="宋体" w:hAnsi="宋体" w:eastAsia="宋体" w:cs="宋体"/>
                <w:b/>
                <w:sz w:val="24"/>
              </w:rPr>
            </w:pPr>
            <w:r>
              <w:rPr>
                <w:rFonts w:hint="eastAsia" w:ascii="宋体" w:hAnsi="宋体" w:eastAsia="宋体" w:cs="宋体"/>
                <w:b/>
                <w:sz w:val="24"/>
              </w:rPr>
              <w:t>乙  方</w:t>
            </w:r>
          </w:p>
        </w:tc>
      </w:tr>
      <w:tr w14:paraId="0410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4683" w:type="dxa"/>
            <w:tcBorders>
              <w:top w:val="single" w:color="auto" w:sz="4" w:space="0"/>
              <w:left w:val="single" w:color="auto" w:sz="4" w:space="0"/>
              <w:bottom w:val="single" w:color="auto" w:sz="4" w:space="0"/>
              <w:right w:val="single" w:color="auto" w:sz="4" w:space="0"/>
            </w:tcBorders>
            <w:vAlign w:val="center"/>
          </w:tcPr>
          <w:p w14:paraId="49A9A725">
            <w:pPr>
              <w:spacing w:line="360" w:lineRule="auto"/>
              <w:jc w:val="left"/>
              <w:rPr>
                <w:rFonts w:hint="eastAsia" w:ascii="宋体" w:hAnsi="宋体" w:eastAsia="宋体" w:cs="宋体"/>
                <w:sz w:val="24"/>
              </w:rPr>
            </w:pPr>
            <w:r>
              <w:rPr>
                <w:rFonts w:hint="eastAsia" w:ascii="宋体" w:hAnsi="宋体" w:eastAsia="宋体" w:cs="宋体"/>
                <w:sz w:val="24"/>
              </w:rPr>
              <w:t>陕西省自然资源信息中心</w:t>
            </w:r>
          </w:p>
          <w:p w14:paraId="325CE0FE">
            <w:pPr>
              <w:spacing w:line="360" w:lineRule="auto"/>
              <w:jc w:val="left"/>
              <w:rPr>
                <w:rFonts w:hint="eastAsia" w:ascii="宋体" w:hAnsi="宋体" w:eastAsia="宋体" w:cs="宋体"/>
                <w:sz w:val="24"/>
              </w:rPr>
            </w:pPr>
            <w:r>
              <w:rPr>
                <w:rFonts w:hint="eastAsia" w:ascii="宋体" w:hAnsi="宋体" w:eastAsia="宋体" w:cs="宋体"/>
                <w:sz w:val="24"/>
              </w:rPr>
              <w:t>（陕西省地质资料档案馆）</w:t>
            </w:r>
          </w:p>
          <w:p w14:paraId="1461D1A2">
            <w:pPr>
              <w:spacing w:line="360" w:lineRule="auto"/>
              <w:jc w:val="left"/>
              <w:rPr>
                <w:rFonts w:hint="eastAsia" w:ascii="宋体" w:hAnsi="宋体" w:eastAsia="宋体" w:cs="宋体"/>
                <w:sz w:val="24"/>
              </w:rPr>
            </w:pPr>
            <w:r>
              <w:rPr>
                <w:rFonts w:hint="eastAsia" w:ascii="宋体" w:hAnsi="宋体" w:eastAsia="宋体" w:cs="宋体"/>
                <w:sz w:val="24"/>
              </w:rPr>
              <w:t>（盖章）</w:t>
            </w:r>
          </w:p>
        </w:tc>
        <w:tc>
          <w:tcPr>
            <w:tcW w:w="4697" w:type="dxa"/>
            <w:tcBorders>
              <w:top w:val="single" w:color="auto" w:sz="4" w:space="0"/>
              <w:left w:val="single" w:color="auto" w:sz="4" w:space="0"/>
              <w:bottom w:val="single" w:color="auto" w:sz="4" w:space="0"/>
              <w:right w:val="single" w:color="auto" w:sz="4" w:space="0"/>
            </w:tcBorders>
            <w:vAlign w:val="center"/>
          </w:tcPr>
          <w:p w14:paraId="40B196C6">
            <w:pPr>
              <w:spacing w:line="360" w:lineRule="auto"/>
              <w:jc w:val="left"/>
              <w:rPr>
                <w:rFonts w:hint="eastAsia" w:ascii="宋体" w:hAnsi="宋体" w:eastAsia="宋体" w:cs="宋体"/>
                <w:sz w:val="24"/>
                <w:lang w:eastAsia="zh-CN"/>
              </w:rPr>
            </w:pPr>
          </w:p>
          <w:p w14:paraId="2E4DD25D">
            <w:pPr>
              <w:spacing w:line="360" w:lineRule="auto"/>
              <w:jc w:val="left"/>
              <w:rPr>
                <w:rFonts w:hint="eastAsia" w:ascii="宋体" w:hAnsi="宋体" w:eastAsia="宋体" w:cs="宋体"/>
                <w:sz w:val="24"/>
              </w:rPr>
            </w:pPr>
            <w:r>
              <w:rPr>
                <w:rFonts w:hint="eastAsia" w:ascii="宋体" w:hAnsi="宋体" w:eastAsia="宋体" w:cs="宋体"/>
                <w:sz w:val="24"/>
              </w:rPr>
              <w:t>（盖章）</w:t>
            </w:r>
          </w:p>
        </w:tc>
      </w:tr>
      <w:tr w14:paraId="6E1A9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83" w:type="dxa"/>
            <w:tcBorders>
              <w:top w:val="single" w:color="auto" w:sz="4" w:space="0"/>
              <w:left w:val="single" w:color="auto" w:sz="4" w:space="0"/>
              <w:bottom w:val="single" w:color="auto" w:sz="4" w:space="0"/>
              <w:right w:val="single" w:color="auto" w:sz="4" w:space="0"/>
            </w:tcBorders>
            <w:vAlign w:val="center"/>
          </w:tcPr>
          <w:p w14:paraId="2CC254F0">
            <w:pPr>
              <w:spacing w:line="360" w:lineRule="auto"/>
              <w:jc w:val="left"/>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color w:val="E54C5E" w:themeColor="accent6"/>
                <w:sz w:val="24"/>
                <w:lang w:val="en-US" w:eastAsia="zh-CN"/>
                <w14:textFill>
                  <w14:solidFill>
                    <w14:schemeClr w14:val="accent6"/>
                  </w14:solidFill>
                </w14:textFill>
              </w:rPr>
              <w:t>西安市碑林区</w:t>
            </w:r>
            <w:r>
              <w:rPr>
                <w:rFonts w:hint="eastAsia" w:ascii="宋体" w:hAnsi="宋体" w:eastAsia="宋体" w:cs="宋体"/>
                <w:color w:val="E54C5E" w:themeColor="accent6"/>
                <w:sz w:val="24"/>
                <w14:textFill>
                  <w14:solidFill>
                    <w14:schemeClr w14:val="accent6"/>
                  </w14:solidFill>
                </w14:textFill>
              </w:rPr>
              <w:t>雁塔北路100号</w:t>
            </w:r>
          </w:p>
        </w:tc>
        <w:tc>
          <w:tcPr>
            <w:tcW w:w="4697" w:type="dxa"/>
            <w:tcBorders>
              <w:top w:val="single" w:color="auto" w:sz="4" w:space="0"/>
              <w:left w:val="single" w:color="auto" w:sz="4" w:space="0"/>
              <w:bottom w:val="single" w:color="auto" w:sz="4" w:space="0"/>
              <w:right w:val="single" w:color="auto" w:sz="4" w:space="0"/>
            </w:tcBorders>
            <w:vAlign w:val="center"/>
          </w:tcPr>
          <w:p w14:paraId="62BDC15D">
            <w:pPr>
              <w:spacing w:line="360" w:lineRule="auto"/>
              <w:jc w:val="left"/>
              <w:rPr>
                <w:rFonts w:hint="eastAsia" w:ascii="宋体" w:hAnsi="宋体" w:eastAsia="宋体" w:cs="宋体"/>
                <w:sz w:val="24"/>
              </w:rPr>
            </w:pPr>
            <w:r>
              <w:rPr>
                <w:rFonts w:hint="eastAsia" w:ascii="宋体" w:hAnsi="宋体" w:eastAsia="宋体" w:cs="宋体"/>
                <w:sz w:val="24"/>
              </w:rPr>
              <w:t>地址：</w:t>
            </w:r>
          </w:p>
        </w:tc>
      </w:tr>
      <w:tr w14:paraId="5991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0" w:hRule="atLeast"/>
        </w:trPr>
        <w:tc>
          <w:tcPr>
            <w:tcW w:w="4683" w:type="dxa"/>
            <w:tcBorders>
              <w:top w:val="single" w:color="auto" w:sz="4" w:space="0"/>
              <w:left w:val="single" w:color="auto" w:sz="4" w:space="0"/>
              <w:right w:val="single" w:color="auto" w:sz="4" w:space="0"/>
            </w:tcBorders>
            <w:vAlign w:val="center"/>
          </w:tcPr>
          <w:p w14:paraId="52F8FBCC">
            <w:pPr>
              <w:spacing w:line="360" w:lineRule="auto"/>
              <w:jc w:val="left"/>
              <w:rPr>
                <w:rFonts w:hint="eastAsia" w:ascii="宋体" w:hAnsi="宋体" w:eastAsia="宋体" w:cs="宋体"/>
                <w:sz w:val="24"/>
              </w:rPr>
            </w:pPr>
            <w:r>
              <w:rPr>
                <w:rFonts w:hint="eastAsia" w:ascii="宋体" w:hAnsi="宋体" w:eastAsia="宋体" w:cs="宋体"/>
                <w:sz w:val="24"/>
              </w:rPr>
              <w:t>法定代表人或委托代理人</w:t>
            </w:r>
          </w:p>
          <w:p w14:paraId="240C63E3">
            <w:pPr>
              <w:spacing w:line="360" w:lineRule="auto"/>
              <w:jc w:val="left"/>
              <w:rPr>
                <w:rFonts w:hint="eastAsia" w:ascii="宋体" w:hAnsi="宋体" w:eastAsia="宋体" w:cs="宋体"/>
                <w:sz w:val="24"/>
              </w:rPr>
            </w:pPr>
            <w:r>
              <w:rPr>
                <w:rFonts w:hint="eastAsia" w:ascii="宋体" w:hAnsi="宋体" w:eastAsia="宋体" w:cs="宋体"/>
                <w:sz w:val="24"/>
              </w:rPr>
              <w:t>（签字或盖章）：</w:t>
            </w:r>
          </w:p>
        </w:tc>
        <w:tc>
          <w:tcPr>
            <w:tcW w:w="4697" w:type="dxa"/>
            <w:tcBorders>
              <w:top w:val="single" w:color="auto" w:sz="4" w:space="0"/>
              <w:left w:val="single" w:color="auto" w:sz="4" w:space="0"/>
              <w:bottom w:val="single" w:color="auto" w:sz="4" w:space="0"/>
              <w:right w:val="single" w:color="auto" w:sz="4" w:space="0"/>
            </w:tcBorders>
            <w:vAlign w:val="center"/>
          </w:tcPr>
          <w:p w14:paraId="027BA405">
            <w:pPr>
              <w:spacing w:line="360" w:lineRule="auto"/>
              <w:jc w:val="left"/>
              <w:rPr>
                <w:rFonts w:hint="eastAsia" w:ascii="宋体" w:hAnsi="宋体" w:eastAsia="宋体" w:cs="宋体"/>
                <w:sz w:val="24"/>
              </w:rPr>
            </w:pPr>
            <w:r>
              <w:rPr>
                <w:rFonts w:hint="eastAsia" w:ascii="宋体" w:hAnsi="宋体" w:eastAsia="宋体" w:cs="宋体"/>
                <w:sz w:val="24"/>
              </w:rPr>
              <w:t>法定代表人或委托代理人</w:t>
            </w:r>
          </w:p>
          <w:p w14:paraId="0F392433">
            <w:pPr>
              <w:spacing w:line="360" w:lineRule="auto"/>
              <w:jc w:val="left"/>
              <w:rPr>
                <w:rFonts w:hint="eastAsia" w:ascii="宋体" w:hAnsi="宋体" w:eastAsia="宋体" w:cs="宋体"/>
                <w:sz w:val="24"/>
              </w:rPr>
            </w:pPr>
            <w:r>
              <w:rPr>
                <w:rFonts w:hint="eastAsia" w:ascii="宋体" w:hAnsi="宋体" w:eastAsia="宋体" w:cs="宋体"/>
                <w:sz w:val="24"/>
              </w:rPr>
              <w:t>（签字或盖章）：</w:t>
            </w:r>
          </w:p>
        </w:tc>
      </w:tr>
      <w:tr w14:paraId="0CC7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683" w:type="dxa"/>
            <w:tcBorders>
              <w:top w:val="single" w:color="auto" w:sz="4" w:space="0"/>
              <w:left w:val="single" w:color="auto" w:sz="4" w:space="0"/>
              <w:bottom w:val="single" w:color="auto" w:sz="4" w:space="0"/>
              <w:right w:val="single" w:color="auto" w:sz="4" w:space="0"/>
            </w:tcBorders>
            <w:vAlign w:val="center"/>
          </w:tcPr>
          <w:p w14:paraId="27BAA365">
            <w:pPr>
              <w:spacing w:line="360" w:lineRule="auto"/>
              <w:jc w:val="left"/>
              <w:rPr>
                <w:rFonts w:hint="eastAsia" w:ascii="宋体" w:hAnsi="宋体" w:eastAsia="宋体" w:cs="宋体"/>
                <w:sz w:val="24"/>
              </w:rPr>
            </w:pPr>
            <w:r>
              <w:rPr>
                <w:rFonts w:hint="eastAsia" w:ascii="宋体" w:hAnsi="宋体" w:eastAsia="宋体" w:cs="宋体"/>
                <w:sz w:val="24"/>
              </w:rPr>
              <w:t>电话：</w:t>
            </w:r>
          </w:p>
        </w:tc>
        <w:tc>
          <w:tcPr>
            <w:tcW w:w="4697" w:type="dxa"/>
            <w:tcBorders>
              <w:top w:val="single" w:color="auto" w:sz="4" w:space="0"/>
              <w:left w:val="single" w:color="auto" w:sz="4" w:space="0"/>
              <w:bottom w:val="single" w:color="auto" w:sz="4" w:space="0"/>
              <w:right w:val="single" w:color="auto" w:sz="4" w:space="0"/>
            </w:tcBorders>
            <w:vAlign w:val="center"/>
          </w:tcPr>
          <w:p w14:paraId="3CC679D9">
            <w:pPr>
              <w:spacing w:line="360" w:lineRule="auto"/>
              <w:jc w:val="left"/>
              <w:rPr>
                <w:rFonts w:hint="eastAsia" w:ascii="宋体" w:hAnsi="宋体" w:eastAsia="宋体" w:cs="宋体"/>
                <w:sz w:val="24"/>
              </w:rPr>
            </w:pPr>
            <w:r>
              <w:rPr>
                <w:rFonts w:hint="eastAsia" w:ascii="宋体" w:hAnsi="宋体" w:eastAsia="宋体" w:cs="宋体"/>
                <w:sz w:val="24"/>
              </w:rPr>
              <w:t>电话：</w:t>
            </w:r>
          </w:p>
        </w:tc>
      </w:tr>
      <w:tr w14:paraId="119A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4683" w:type="dxa"/>
            <w:tcBorders>
              <w:top w:val="single" w:color="auto" w:sz="4" w:space="0"/>
              <w:left w:val="single" w:color="auto" w:sz="4" w:space="0"/>
              <w:bottom w:val="single" w:color="auto" w:sz="4" w:space="0"/>
              <w:right w:val="single" w:color="auto" w:sz="4" w:space="0"/>
            </w:tcBorders>
            <w:vAlign w:val="center"/>
          </w:tcPr>
          <w:p w14:paraId="008D3855">
            <w:pPr>
              <w:spacing w:line="360" w:lineRule="auto"/>
              <w:jc w:val="left"/>
              <w:rPr>
                <w:rFonts w:hint="eastAsia" w:ascii="宋体" w:hAnsi="宋体" w:eastAsia="宋体" w:cs="宋体"/>
                <w:sz w:val="24"/>
              </w:rPr>
            </w:pPr>
            <w:r>
              <w:rPr>
                <w:rFonts w:hint="eastAsia" w:ascii="宋体" w:hAnsi="宋体" w:eastAsia="宋体" w:cs="宋体"/>
                <w:sz w:val="24"/>
              </w:rPr>
              <w:t>日期：      年     月     日</w:t>
            </w:r>
          </w:p>
        </w:tc>
        <w:tc>
          <w:tcPr>
            <w:tcW w:w="4697" w:type="dxa"/>
            <w:tcBorders>
              <w:top w:val="single" w:color="auto" w:sz="4" w:space="0"/>
              <w:left w:val="single" w:color="auto" w:sz="4" w:space="0"/>
              <w:bottom w:val="single" w:color="auto" w:sz="4" w:space="0"/>
              <w:right w:val="single" w:color="auto" w:sz="4" w:space="0"/>
            </w:tcBorders>
            <w:vAlign w:val="center"/>
          </w:tcPr>
          <w:p w14:paraId="58AC9427">
            <w:pPr>
              <w:spacing w:line="360" w:lineRule="auto"/>
              <w:jc w:val="left"/>
              <w:rPr>
                <w:rFonts w:hint="eastAsia" w:ascii="宋体" w:hAnsi="宋体" w:eastAsia="宋体" w:cs="宋体"/>
                <w:sz w:val="24"/>
              </w:rPr>
            </w:pPr>
            <w:r>
              <w:rPr>
                <w:rFonts w:hint="eastAsia" w:ascii="宋体" w:hAnsi="宋体" w:eastAsia="宋体" w:cs="宋体"/>
                <w:sz w:val="24"/>
              </w:rPr>
              <w:t>日期：      年     月     日</w:t>
            </w:r>
          </w:p>
        </w:tc>
      </w:tr>
    </w:tbl>
    <w:p w14:paraId="4A25953A">
      <w:pPr>
        <w:pStyle w:val="4"/>
        <w:spacing w:before="0" w:after="0" w:line="570" w:lineRule="exact"/>
        <w:jc w:val="left"/>
        <w:rPr>
          <w:rFonts w:hint="eastAsia" w:ascii="宋体" w:hAnsi="宋体" w:eastAsia="宋体" w:cs="宋体"/>
          <w:bCs w:val="0"/>
          <w:sz w:val="28"/>
          <w:szCs w:val="24"/>
        </w:rPr>
      </w:pPr>
      <w:r>
        <w:rPr>
          <w:rFonts w:hint="eastAsia" w:ascii="宋体" w:hAnsi="宋体" w:eastAsia="宋体" w:cs="宋体"/>
        </w:rPr>
        <w:br w:type="page"/>
      </w:r>
      <w:r>
        <w:rPr>
          <w:rFonts w:hint="eastAsia" w:ascii="宋体" w:hAnsi="宋体" w:eastAsia="宋体" w:cs="宋体"/>
          <w:bCs w:val="0"/>
          <w:sz w:val="24"/>
          <w:szCs w:val="24"/>
        </w:rPr>
        <w:t>附件：</w:t>
      </w:r>
    </w:p>
    <w:p w14:paraId="56D262E9">
      <w:pPr>
        <w:pStyle w:val="4"/>
        <w:spacing w:before="0" w:after="0" w:line="570" w:lineRule="exact"/>
        <w:rPr>
          <w:rFonts w:hint="eastAsia" w:ascii="宋体" w:hAnsi="宋体" w:eastAsia="宋体" w:cs="宋体"/>
          <w:b w:val="0"/>
          <w:bCs w:val="0"/>
          <w:sz w:val="24"/>
          <w:szCs w:val="24"/>
        </w:rPr>
      </w:pPr>
      <w:r>
        <w:rPr>
          <w:rFonts w:hint="eastAsia" w:ascii="宋体" w:hAnsi="宋体" w:eastAsia="宋体" w:cs="宋体"/>
          <w:b w:val="0"/>
          <w:sz w:val="32"/>
        </w:rPr>
        <w:t>保密协议</w:t>
      </w:r>
    </w:p>
    <w:p w14:paraId="7543042B">
      <w:pPr>
        <w:pStyle w:val="5"/>
        <w:numPr>
          <w:ilvl w:val="3"/>
          <w:numId w:val="0"/>
        </w:numPr>
        <w:spacing w:line="570" w:lineRule="exact"/>
        <w:rPr>
          <w:rFonts w:hint="eastAsia" w:ascii="宋体" w:hAnsi="宋体" w:eastAsia="宋体" w:cs="宋体"/>
          <w:b w:val="0"/>
          <w:bCs w:val="0"/>
          <w:sz w:val="24"/>
          <w:szCs w:val="24"/>
        </w:rPr>
      </w:pPr>
      <w:r>
        <w:rPr>
          <w:rFonts w:hint="eastAsia" w:ascii="宋体" w:hAnsi="宋体" w:eastAsia="宋体" w:cs="宋体"/>
          <w:b w:val="0"/>
          <w:bCs w:val="0"/>
          <w:sz w:val="24"/>
          <w:szCs w:val="24"/>
        </w:rPr>
        <w:t>甲方：陕西省自然资源信息中心（陕西省地质资料档案馆）</w:t>
      </w:r>
    </w:p>
    <w:p w14:paraId="5F0C8972">
      <w:pPr>
        <w:adjustRightInd w:val="0"/>
        <w:snapToGrid w:val="0"/>
        <w:spacing w:line="570" w:lineRule="exact"/>
        <w:rPr>
          <w:rFonts w:hint="eastAsia" w:ascii="宋体" w:hAnsi="宋体" w:eastAsia="宋体" w:cs="宋体"/>
          <w:sz w:val="24"/>
          <w:lang w:eastAsia="zh-CN"/>
        </w:rPr>
      </w:pPr>
      <w:r>
        <w:rPr>
          <w:rFonts w:hint="eastAsia" w:ascii="宋体" w:hAnsi="宋体" w:eastAsia="宋体" w:cs="宋体"/>
          <w:sz w:val="24"/>
        </w:rPr>
        <w:t>乙方：</w:t>
      </w:r>
    </w:p>
    <w:p w14:paraId="76FBA936">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根据《中华人民共和国政府采购法》及实施条例、《中华人民共和国民法典》为确保甲方采购项目的保密安全，根据《中华人民共和国档案法》、《中华人民共和国保密法》和《档案数字化外包安全管理规范》的规定，经甲、乙双方商定，特签订如下保密协议：</w:t>
      </w:r>
    </w:p>
    <w:p w14:paraId="7C3E661E">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1.乙方须遵守国家、行业以及甲方制定的相关保密规定，履行相关保密职责。甲方的保密规章、制度没有规定或者有不明确地方，乙方亦应本着谨慎、诚实的态度，采取任何必要、合理的措施，维护基于项目实施期间接触到的任务属于甲方或虽属于第三方但甲方承诺有保密义务的相关档案、资料，以保证其机密性。乙方须具有防止国家秘密泄漏的保密制度并严格管理。</w:t>
      </w:r>
    </w:p>
    <w:p w14:paraId="2AEB6C3B">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2.乙方应对因工作需要接触的甲方的各类档案、目录以及电子文档，保守秘密，不得以任何方式带出工作场地或向外泄露，必须保守秘密。</w:t>
      </w:r>
    </w:p>
    <w:p w14:paraId="12512420">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3.乙方工作人员在进入甲方加工现场时，不得将移动电话及存储设备带入现场，严禁用USB数据线与所用加工设备连接获取信息或对资料、文件进行拍摄、录制等。</w:t>
      </w:r>
    </w:p>
    <w:p w14:paraId="397DE068">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4.乙方在项目完成后仍对其在甲方档案数据加工期间接触而知悉的档案及相关信息按合同要求履行保密义务。乙方在项目完成后承担保密义务的期限为无限期保密，直至甲方宣布档案公开。</w:t>
      </w:r>
    </w:p>
    <w:p w14:paraId="01AD499E">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5.乙方进入甲方现场的所有设备进行编号登记，处理档案信息的计算机需设置开机密码，并封闭数字化设备的信息出口。在项目实施过程中一律不得撤离现场，若设备需要更换返修，需经甲方工作人员核查清空所有相关的数据方可撤离。</w:t>
      </w:r>
    </w:p>
    <w:p w14:paraId="7968E5C4">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6.乙方在项目验收撤离现场时，在甲方的配合下，销毁乙方设备中全部有关本次加工数据的信息，作业过程中所产生的废光盘以及校对草稿，均交与甲方处理，或者在甲方授权的情况下，乙方负责销毁；若发生信息泄密情况，一切后果由乙方承担。</w:t>
      </w:r>
    </w:p>
    <w:p w14:paraId="12D007B0">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7.乙方应加强保密管理，实时监督保密工作，严格按甲方的要求履行保密职责和义务。</w:t>
      </w:r>
    </w:p>
    <w:p w14:paraId="75B47E33">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8.乙方承诺，项目实施期间，不得擅自使用任何属于他人的技术秘密或者其他商业秘密信息，亦不得擅自实施可能侵犯他人知识产权的行为。若乙方违反上述承诺而使甲方遭受第三方的侵权追责，乙方须承担甲方因此而发生的一切费用：甲方因此而承担赔偿责任的，有权向乙方追偿。上述费用甲方可以从乙方的应得项目款项中直接扣除或者直接向乙方追讨。</w:t>
      </w:r>
    </w:p>
    <w:p w14:paraId="05E12BB4">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9.甲方须有安防及外网隔离工作条件。</w:t>
      </w:r>
    </w:p>
    <w:p w14:paraId="64600B77">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10.甲方督促乙方定期检查加工场地安保及设备安全。</w:t>
      </w:r>
    </w:p>
    <w:p w14:paraId="7EADAE95">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11.乙方违反本协议，甲方有权要求乙方及时采取补救措施，以防止损失的进一步扩大。如因乙方原因造成甲方任何资料泄露致使甲方遭受相关经济损失或不良后果，甲方可解除与乙方签订的本次数据加工整合合同，同时乙方须承担全部责任，性质严重的，由相关部门追究法律责任。</w:t>
      </w:r>
    </w:p>
    <w:p w14:paraId="29163D20">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12.甲、乙双方因履行本协议发生争议和违约责任的执行超过法律、法规赋予双方权限的，按正常渠道予以诉讼。</w:t>
      </w:r>
    </w:p>
    <w:p w14:paraId="5F3BF5ED">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13.本协议自甲、乙双方签字、盖章之日起生效。未尽事宜可本着平等、诚信的原则相互协商并签订补充协议予以明确。</w:t>
      </w:r>
    </w:p>
    <w:p w14:paraId="664141A7">
      <w:pPr>
        <w:adjustRightInd w:val="0"/>
        <w:snapToGrid w:val="0"/>
        <w:spacing w:line="570" w:lineRule="exact"/>
        <w:ind w:firstLine="480" w:firstLineChars="200"/>
        <w:rPr>
          <w:rFonts w:hint="eastAsia" w:ascii="宋体" w:hAnsi="宋体" w:eastAsia="宋体" w:cs="宋体"/>
          <w:sz w:val="24"/>
        </w:rPr>
      </w:pPr>
      <w:r>
        <w:rPr>
          <w:rFonts w:hint="eastAsia" w:ascii="宋体" w:hAnsi="宋体" w:eastAsia="宋体" w:cs="宋体"/>
          <w:sz w:val="24"/>
        </w:rPr>
        <w:t>14.本协议作为项目合同书附件。</w:t>
      </w:r>
    </w:p>
    <w:p w14:paraId="033B5F3D">
      <w:pPr>
        <w:adjustRightInd w:val="0"/>
        <w:snapToGrid w:val="0"/>
        <w:spacing w:line="570" w:lineRule="exact"/>
        <w:ind w:firstLine="480" w:firstLineChars="200"/>
        <w:rPr>
          <w:rFonts w:hint="eastAsia" w:ascii="宋体" w:hAnsi="宋体" w:eastAsia="宋体" w:cs="宋体"/>
          <w:sz w:val="24"/>
        </w:rPr>
      </w:pPr>
    </w:p>
    <w:p w14:paraId="69B1A8EA">
      <w:pPr>
        <w:adjustRightInd w:val="0"/>
        <w:snapToGrid w:val="0"/>
        <w:spacing w:line="570" w:lineRule="exact"/>
        <w:ind w:firstLine="480" w:firstLineChars="200"/>
        <w:rPr>
          <w:rFonts w:hint="eastAsia" w:ascii="宋体" w:hAnsi="宋体" w:eastAsia="宋体" w:cs="宋体"/>
          <w:sz w:val="24"/>
        </w:rPr>
      </w:pPr>
    </w:p>
    <w:p w14:paraId="4019E603">
      <w:pPr>
        <w:spacing w:line="570" w:lineRule="exact"/>
        <w:ind w:firstLine="480" w:firstLineChars="200"/>
        <w:rPr>
          <w:rFonts w:hint="eastAsia" w:ascii="宋体" w:hAnsi="宋体" w:eastAsia="宋体" w:cs="宋体"/>
          <w:sz w:val="24"/>
          <w:lang w:eastAsia="zh-CN"/>
        </w:rPr>
      </w:pPr>
      <w:r>
        <w:rPr>
          <w:rFonts w:hint="eastAsia" w:ascii="宋体" w:hAnsi="宋体" w:eastAsia="宋体" w:cs="宋体"/>
          <w:sz w:val="24"/>
        </w:rPr>
        <w:t>甲方：陕西省自然资源信息中心      乙方：</w:t>
      </w:r>
    </w:p>
    <w:p w14:paraId="5525BB5B">
      <w:pPr>
        <w:spacing w:line="570" w:lineRule="exact"/>
        <w:ind w:firstLine="480" w:firstLineChars="200"/>
        <w:rPr>
          <w:rFonts w:hint="eastAsia" w:ascii="宋体" w:hAnsi="宋体" w:eastAsia="宋体" w:cs="宋体"/>
          <w:sz w:val="24"/>
        </w:rPr>
      </w:pPr>
      <w:r>
        <w:rPr>
          <w:rFonts w:hint="eastAsia" w:ascii="宋体" w:hAnsi="宋体" w:eastAsia="宋体" w:cs="宋体"/>
          <w:sz w:val="24"/>
        </w:rPr>
        <w:t xml:space="preserve">（陕西省地质资料档案馆）                       </w:t>
      </w:r>
    </w:p>
    <w:p w14:paraId="4B197C02">
      <w:pPr>
        <w:spacing w:line="570" w:lineRule="exact"/>
        <w:ind w:firstLine="960" w:firstLineChars="400"/>
        <w:rPr>
          <w:rFonts w:hint="eastAsia" w:ascii="宋体" w:hAnsi="宋体" w:eastAsia="宋体" w:cs="宋体"/>
          <w:sz w:val="24"/>
        </w:rPr>
      </w:pPr>
      <w:r>
        <w:rPr>
          <w:rFonts w:hint="eastAsia" w:ascii="宋体" w:hAnsi="宋体" w:eastAsia="宋体" w:cs="宋体"/>
          <w:sz w:val="24"/>
        </w:rPr>
        <w:t>（盖章）                                   （盖章)</w:t>
      </w:r>
    </w:p>
    <w:p w14:paraId="699406D3">
      <w:pPr>
        <w:spacing w:line="570" w:lineRule="exact"/>
        <w:ind w:firstLine="480" w:firstLineChars="200"/>
        <w:rPr>
          <w:rFonts w:hint="eastAsia" w:ascii="宋体" w:hAnsi="宋体" w:eastAsia="宋体" w:cs="宋体"/>
          <w:sz w:val="24"/>
        </w:rPr>
      </w:pPr>
      <w:r>
        <w:rPr>
          <w:rFonts w:hint="eastAsia" w:ascii="宋体" w:hAnsi="宋体" w:eastAsia="宋体" w:cs="宋体"/>
          <w:sz w:val="24"/>
        </w:rPr>
        <w:t>法定代表人或委托代理人：          法定代表人或委托代理人：</w:t>
      </w:r>
    </w:p>
    <w:p w14:paraId="1A12E15D">
      <w:pPr>
        <w:spacing w:line="570" w:lineRule="exact"/>
        <w:ind w:firstLine="480" w:firstLineChars="200"/>
        <w:rPr>
          <w:rFonts w:hint="eastAsia" w:ascii="宋体" w:hAnsi="宋体" w:eastAsia="宋体" w:cs="宋体"/>
        </w:rPr>
      </w:pPr>
      <w:r>
        <w:rPr>
          <w:rFonts w:hint="eastAsia" w:ascii="宋体" w:hAnsi="宋体" w:eastAsia="宋体" w:cs="宋体"/>
          <w:sz w:val="24"/>
        </w:rPr>
        <w:t>签约日期：     年   月   日       签约日期：     年    月    日</w:t>
      </w:r>
    </w:p>
    <w:p w14:paraId="1E930A6B">
      <w:pPr>
        <w:spacing w:line="570" w:lineRule="exact"/>
        <w:rPr>
          <w:rFonts w:hint="eastAsia" w:ascii="宋体" w:hAnsi="宋体" w:eastAsia="宋体" w:cs="宋体"/>
        </w:rPr>
      </w:pPr>
    </w:p>
    <w:p w14:paraId="52D3B146">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0B124">
    <w:pPr>
      <w:spacing w:line="1" w:lineRule="exact"/>
    </w:pPr>
    <w:r>
      <mc:AlternateContent>
        <mc:Choice Requires="wps">
          <w:drawing>
            <wp:anchor distT="0" distB="0" distL="114300" distR="114300" simplePos="0" relativeHeight="251659264" behindDoc="1" locked="0" layoutInCell="1" allowOverlap="1">
              <wp:simplePos x="0" y="0"/>
              <wp:positionH relativeFrom="page">
                <wp:posOffset>3831590</wp:posOffset>
              </wp:positionH>
              <wp:positionV relativeFrom="page">
                <wp:posOffset>9679305</wp:posOffset>
              </wp:positionV>
              <wp:extent cx="39370" cy="6731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9370" cy="67310"/>
                      </a:xfrm>
                      <a:prstGeom prst="rect">
                        <a:avLst/>
                      </a:prstGeom>
                      <a:noFill/>
                      <a:ln>
                        <a:noFill/>
                      </a:ln>
                      <a:effectLst/>
                    </wps:spPr>
                    <wps:txbx>
                      <w:txbxContent>
                        <w:p w14:paraId="4C97B009">
                          <w:pPr>
                            <w:pStyle w:val="22"/>
                            <w:jc w:val="left"/>
                            <w:rPr>
                              <w:sz w:val="15"/>
                              <w:szCs w:val="15"/>
                            </w:rPr>
                          </w:pPr>
                          <w:r>
                            <w:fldChar w:fldCharType="begin"/>
                          </w:r>
                          <w:r>
                            <w:instrText xml:space="preserve"> PAGE \* MERGEFORMAT </w:instrText>
                          </w:r>
                          <w:r>
                            <w:fldChar w:fldCharType="separate"/>
                          </w:r>
                          <w:r>
                            <w:rPr>
                              <w:rFonts w:eastAsia="Times New Roman"/>
                              <w:color w:val="000000"/>
                              <w:sz w:val="15"/>
                              <w:szCs w:val="15"/>
                            </w:rPr>
                            <w:t>#</w:t>
                          </w:r>
                          <w:r>
                            <w:rPr>
                              <w:rFonts w:eastAsia="Times New Roman"/>
                              <w:color w:val="000000"/>
                              <w:sz w:val="15"/>
                              <w:szCs w:val="15"/>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left:301.7pt;margin-top:762.15pt;height:5.3pt;width:3.1pt;mso-position-horizontal-relative:page;mso-position-vertical-relative:page;mso-wrap-style:none;z-index:-251657216;mso-width-relative:page;mso-height-relative:page;" filled="f" stroked="f" coordsize="21600,21600" o:gfxdata="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bvwE32QAAAA0BAAAPAAAAAAAAAAEAIAAAACIAAABkcnMv&#10;ZG93bnJldi54bWxQSwECFAAUAAAACACHTuJAScded8kBAACXAwAADgAAAAAAAAABACAAAAAoAQAA&#10;ZHJzL2Uyb0RvYy54bWxQSwUGAAAAAAYABgBZAQAAYwUAAAAA&#10;">
              <v:fill on="f" focussize="0,0"/>
              <v:stroke on="f"/>
              <v:imagedata o:title=""/>
              <o:lock v:ext="edit" aspectratio="f"/>
              <v:textbox inset="0mm,0mm,0mm,0mm" style="mso-fit-shape-to-text:t;">
                <w:txbxContent>
                  <w:p w14:paraId="4C97B009">
                    <w:pPr>
                      <w:pStyle w:val="22"/>
                      <w:jc w:val="left"/>
                      <w:rPr>
                        <w:sz w:val="15"/>
                        <w:szCs w:val="15"/>
                      </w:rPr>
                    </w:pPr>
                    <w:r>
                      <w:fldChar w:fldCharType="begin"/>
                    </w:r>
                    <w:r>
                      <w:instrText xml:space="preserve"> PAGE \* MERGEFORMAT </w:instrText>
                    </w:r>
                    <w:r>
                      <w:fldChar w:fldCharType="separate"/>
                    </w:r>
                    <w:r>
                      <w:rPr>
                        <w:rFonts w:eastAsia="Times New Roman"/>
                        <w:color w:val="000000"/>
                        <w:sz w:val="15"/>
                        <w:szCs w:val="15"/>
                      </w:rPr>
                      <w:t>#</w:t>
                    </w:r>
                    <w:r>
                      <w:rPr>
                        <w:rFonts w:eastAsia="Times New Roman"/>
                        <w:color w:val="000000"/>
                        <w:sz w:val="15"/>
                        <w:szCs w:val="15"/>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3A208F"/>
    <w:multiLevelType w:val="multilevel"/>
    <w:tmpl w:val="113A208F"/>
    <w:lvl w:ilvl="0" w:tentative="0">
      <w:start w:val="1"/>
      <w:numFmt w:val="japaneseCounting"/>
      <w:suff w:val="space"/>
      <w:lvlText w:val="%1、"/>
      <w:lvlJc w:val="left"/>
      <w:pPr>
        <w:ind w:left="0" w:firstLine="0"/>
      </w:pPr>
      <w:rPr>
        <w:rFonts w:ascii="Times New Roman" w:hAnsi="Times New Roman" w:eastAsia="黑体" w:cs="Times New Roman"/>
        <w:sz w:val="44"/>
        <w:lang w:val="en-US"/>
      </w:rPr>
    </w:lvl>
    <w:lvl w:ilvl="1" w:tentative="0">
      <w:start w:val="1"/>
      <w:numFmt w:val="decimal"/>
      <w:isLgl/>
      <w:suff w:val="space"/>
      <w:lvlText w:val="%1.%2"/>
      <w:lvlJc w:val="left"/>
      <w:pPr>
        <w:ind w:left="0" w:firstLine="0"/>
      </w:pPr>
      <w:rPr>
        <w:rFonts w:hint="default" w:ascii="Arial" w:hAnsi="Arial"/>
        <w:b/>
      </w:rPr>
    </w:lvl>
    <w:lvl w:ilvl="2" w:tentative="0">
      <w:start w:val="1"/>
      <w:numFmt w:val="decimal"/>
      <w:isLgl/>
      <w:suff w:val="space"/>
      <w:lvlText w:val="%1.%2.%3"/>
      <w:lvlJc w:val="left"/>
      <w:pPr>
        <w:ind w:left="0" w:firstLine="0"/>
      </w:pPr>
      <w:rPr>
        <w:rFonts w:hint="default" w:ascii="Arial" w:hAnsi="Arial"/>
        <w:b/>
      </w:rPr>
    </w:lvl>
    <w:lvl w:ilvl="3" w:tentative="0">
      <w:start w:val="1"/>
      <w:numFmt w:val="decimal"/>
      <w:pStyle w:val="5"/>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default" w:ascii="Arial" w:hAnsi="Arial"/>
      </w:rPr>
    </w:lvl>
    <w:lvl w:ilvl="5" w:tentative="0">
      <w:start w:val="1"/>
      <w:numFmt w:val="decimal"/>
      <w:isLgl/>
      <w:suff w:val="space"/>
      <w:lvlText w:val="%1.%2.%3.%4.%5.%6"/>
      <w:lvlJc w:val="left"/>
      <w:pPr>
        <w:ind w:left="0" w:firstLine="0"/>
      </w:pPr>
      <w:rPr>
        <w:rFonts w:hint="eastAsia"/>
      </w:rPr>
    </w:lvl>
    <w:lvl w:ilvl="6" w:tentative="0">
      <w:start w:val="1"/>
      <w:numFmt w:val="decimal"/>
      <w:isLgl/>
      <w:suff w:val="nothing"/>
      <w:lvlText w:val="%1.%2.%3.%4.%5.%6.%7"/>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lMDkyYjBmMTIyNTJkMjFjYTAyZWZlNDJjNWEzYWEifQ=="/>
  </w:docVars>
  <w:rsids>
    <w:rsidRoot w:val="00DE6FD5"/>
    <w:rsid w:val="000E017D"/>
    <w:rsid w:val="001D4427"/>
    <w:rsid w:val="0028023B"/>
    <w:rsid w:val="00AF5027"/>
    <w:rsid w:val="00B865C6"/>
    <w:rsid w:val="00DE6FD5"/>
    <w:rsid w:val="00E52C19"/>
    <w:rsid w:val="00F63341"/>
    <w:rsid w:val="019C5F38"/>
    <w:rsid w:val="026E7971"/>
    <w:rsid w:val="05A33632"/>
    <w:rsid w:val="082B3374"/>
    <w:rsid w:val="0A770325"/>
    <w:rsid w:val="0ADF4592"/>
    <w:rsid w:val="0B4E623A"/>
    <w:rsid w:val="0F8676D2"/>
    <w:rsid w:val="1137400B"/>
    <w:rsid w:val="14374079"/>
    <w:rsid w:val="148040B3"/>
    <w:rsid w:val="15D84A2A"/>
    <w:rsid w:val="19176E46"/>
    <w:rsid w:val="195A572B"/>
    <w:rsid w:val="1BDF5DE3"/>
    <w:rsid w:val="1C442703"/>
    <w:rsid w:val="1F751511"/>
    <w:rsid w:val="1FA5516D"/>
    <w:rsid w:val="203A5E2C"/>
    <w:rsid w:val="2540561F"/>
    <w:rsid w:val="285B3EDE"/>
    <w:rsid w:val="29E66781"/>
    <w:rsid w:val="2C9C1E8B"/>
    <w:rsid w:val="2DCF003E"/>
    <w:rsid w:val="302779B3"/>
    <w:rsid w:val="31E324C2"/>
    <w:rsid w:val="321D581C"/>
    <w:rsid w:val="37665826"/>
    <w:rsid w:val="38796AD2"/>
    <w:rsid w:val="38941445"/>
    <w:rsid w:val="3AF919A6"/>
    <w:rsid w:val="3C941962"/>
    <w:rsid w:val="3F2A1B39"/>
    <w:rsid w:val="3FF027C2"/>
    <w:rsid w:val="40F52FEC"/>
    <w:rsid w:val="43430E5B"/>
    <w:rsid w:val="43BC51AC"/>
    <w:rsid w:val="4435592F"/>
    <w:rsid w:val="446B0738"/>
    <w:rsid w:val="451505D5"/>
    <w:rsid w:val="458610AC"/>
    <w:rsid w:val="46026DAB"/>
    <w:rsid w:val="462F56C6"/>
    <w:rsid w:val="46D10C0E"/>
    <w:rsid w:val="4DC932F8"/>
    <w:rsid w:val="537B6E2D"/>
    <w:rsid w:val="53E74122"/>
    <w:rsid w:val="57042BE4"/>
    <w:rsid w:val="59C73615"/>
    <w:rsid w:val="59ED41B0"/>
    <w:rsid w:val="5AA47FD9"/>
    <w:rsid w:val="5CC47E84"/>
    <w:rsid w:val="5D375134"/>
    <w:rsid w:val="5D6927B9"/>
    <w:rsid w:val="5F3B79D8"/>
    <w:rsid w:val="5F3C3AEE"/>
    <w:rsid w:val="5F527DB3"/>
    <w:rsid w:val="61B52BB6"/>
    <w:rsid w:val="640F6E0B"/>
    <w:rsid w:val="642058C9"/>
    <w:rsid w:val="64362F3E"/>
    <w:rsid w:val="649E55F6"/>
    <w:rsid w:val="69EA2A1E"/>
    <w:rsid w:val="6C3A254B"/>
    <w:rsid w:val="6EB833B6"/>
    <w:rsid w:val="730510F2"/>
    <w:rsid w:val="747B01A1"/>
    <w:rsid w:val="75652021"/>
    <w:rsid w:val="7827516C"/>
    <w:rsid w:val="7D9D0B8C"/>
    <w:rsid w:val="7FA224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99"/>
    <w:pPr>
      <w:keepNext/>
      <w:keepLines/>
      <w:spacing w:before="120" w:after="120" w:line="360" w:lineRule="auto"/>
      <w:jc w:val="center"/>
      <w:outlineLvl w:val="1"/>
    </w:pPr>
    <w:rPr>
      <w:rFonts w:ascii="Arial" w:hAnsi="Arial"/>
      <w:b/>
      <w:bCs/>
      <w:sz w:val="36"/>
      <w:szCs w:val="32"/>
    </w:rPr>
  </w:style>
  <w:style w:type="paragraph" w:styleId="5">
    <w:name w:val="heading 4"/>
    <w:basedOn w:val="1"/>
    <w:next w:val="1"/>
    <w:autoRedefine/>
    <w:unhideWhenUsed/>
    <w:qFormat/>
    <w:uiPriority w:val="0"/>
    <w:pPr>
      <w:keepNext/>
      <w:keepLines/>
      <w:numPr>
        <w:ilvl w:val="3"/>
        <w:numId w:val="1"/>
      </w:numPr>
      <w:adjustRightInd w:val="0"/>
      <w:snapToGrid w:val="0"/>
      <w:spacing w:before="120" w:after="120"/>
      <w:outlineLvl w:val="3"/>
    </w:pPr>
    <w:rPr>
      <w:rFonts w:ascii="Arial" w:hAnsi="Arial"/>
      <w:b/>
      <w:bCs/>
      <w:sz w:val="28"/>
      <w:szCs w:val="28"/>
    </w:rPr>
  </w:style>
  <w:style w:type="paragraph" w:styleId="6">
    <w:name w:val="heading 6"/>
    <w:basedOn w:val="1"/>
    <w:next w:val="1"/>
    <w:autoRedefine/>
    <w:qFormat/>
    <w:uiPriority w:val="99"/>
    <w:pPr>
      <w:keepNext/>
      <w:keepLines/>
      <w:spacing w:before="240" w:after="64" w:line="320" w:lineRule="auto"/>
      <w:outlineLvl w:val="5"/>
    </w:pPr>
    <w:rPr>
      <w:rFonts w:ascii="Calibri Light" w:hAnsi="Calibri Light"/>
      <w:b/>
      <w:bCs/>
      <w:sz w:val="24"/>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rPr>
      <w:color w:val="993300"/>
      <w:sz w:val="24"/>
    </w:rPr>
  </w:style>
  <w:style w:type="paragraph" w:styleId="3">
    <w:name w:val="Body Text 2"/>
    <w:basedOn w:val="1"/>
    <w:qFormat/>
    <w:uiPriority w:val="0"/>
    <w:pPr>
      <w:spacing w:after="120" w:line="480" w:lineRule="auto"/>
    </w:pPr>
    <w:rPr>
      <w:kern w:val="1"/>
      <w:szCs w:val="24"/>
      <w:lang w:eastAsia="ar-SA"/>
    </w:rPr>
  </w:style>
  <w:style w:type="paragraph" w:styleId="7">
    <w:name w:val="Normal Indent"/>
    <w:basedOn w:val="1"/>
    <w:autoRedefine/>
    <w:qFormat/>
    <w:uiPriority w:val="0"/>
    <w:pPr>
      <w:ind w:firstLine="420"/>
    </w:pPr>
    <w:rPr>
      <w:szCs w:val="28"/>
    </w:rPr>
  </w:style>
  <w:style w:type="paragraph" w:styleId="8">
    <w:name w:val="Body Text Indent"/>
    <w:basedOn w:val="1"/>
    <w:autoRedefine/>
    <w:qFormat/>
    <w:uiPriority w:val="0"/>
    <w:pPr>
      <w:spacing w:line="60" w:lineRule="auto"/>
      <w:ind w:firstLine="840" w:firstLineChars="300"/>
    </w:pPr>
  </w:style>
  <w:style w:type="paragraph" w:styleId="9">
    <w:name w:val="Plain Text"/>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autoRedefine/>
    <w:unhideWhenUsed/>
    <w:qFormat/>
    <w:uiPriority w:val="99"/>
    <w:pPr>
      <w:spacing w:after="120"/>
      <w:ind w:left="420" w:leftChars="200" w:firstLine="200" w:firstLineChars="200"/>
    </w:pPr>
    <w:rPr>
      <w:sz w:val="16"/>
      <w:szCs w:val="16"/>
    </w:rPr>
  </w:style>
  <w:style w:type="paragraph" w:styleId="13">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paragraph" w:customStyle="1" w:styleId="18">
    <w:name w:val="Heading #1|1"/>
    <w:basedOn w:val="1"/>
    <w:autoRedefine/>
    <w:qFormat/>
    <w:uiPriority w:val="0"/>
    <w:pPr>
      <w:spacing w:after="2860" w:line="706" w:lineRule="exact"/>
      <w:jc w:val="center"/>
      <w:outlineLvl w:val="0"/>
    </w:pPr>
    <w:rPr>
      <w:rFonts w:ascii="宋体" w:hAnsi="宋体" w:cs="宋体"/>
      <w:sz w:val="46"/>
      <w:szCs w:val="46"/>
      <w:lang w:val="zh-TW" w:eastAsia="zh-TW" w:bidi="zh-TW"/>
    </w:rPr>
  </w:style>
  <w:style w:type="paragraph" w:customStyle="1" w:styleId="19">
    <w:name w:val="Body text|2"/>
    <w:basedOn w:val="1"/>
    <w:autoRedefine/>
    <w:qFormat/>
    <w:uiPriority w:val="0"/>
    <w:pPr>
      <w:spacing w:after="190"/>
      <w:ind w:left="1420"/>
    </w:pPr>
    <w:rPr>
      <w:rFonts w:ascii="宋体" w:hAnsi="宋体" w:cs="宋体"/>
      <w:sz w:val="26"/>
      <w:szCs w:val="26"/>
      <w:u w:val="single"/>
      <w:lang w:val="zh-TW" w:eastAsia="zh-TW" w:bidi="zh-TW"/>
    </w:rPr>
  </w:style>
  <w:style w:type="paragraph" w:customStyle="1" w:styleId="20">
    <w:name w:val="Body text|1"/>
    <w:basedOn w:val="1"/>
    <w:autoRedefine/>
    <w:qFormat/>
    <w:uiPriority w:val="0"/>
    <w:pPr>
      <w:spacing w:after="180" w:line="434" w:lineRule="auto"/>
      <w:ind w:firstLine="400"/>
    </w:pPr>
    <w:rPr>
      <w:rFonts w:ascii="宋体" w:hAnsi="宋体" w:cs="宋体"/>
      <w:sz w:val="22"/>
      <w:szCs w:val="22"/>
      <w:lang w:val="zh-TW" w:eastAsia="zh-TW" w:bidi="zh-TW"/>
    </w:rPr>
  </w:style>
  <w:style w:type="paragraph" w:customStyle="1" w:styleId="21">
    <w:name w:val="Heading #2|1"/>
    <w:basedOn w:val="1"/>
    <w:autoRedefine/>
    <w:qFormat/>
    <w:uiPriority w:val="0"/>
    <w:pPr>
      <w:spacing w:after="180" w:line="453" w:lineRule="exact"/>
      <w:outlineLvl w:val="1"/>
    </w:pPr>
    <w:rPr>
      <w:rFonts w:ascii="宋体" w:hAnsi="宋体" w:cs="宋体"/>
      <w:b/>
      <w:bCs/>
      <w:sz w:val="22"/>
      <w:szCs w:val="22"/>
      <w:lang w:val="zh-TW" w:eastAsia="zh-TW" w:bidi="zh-TW"/>
    </w:rPr>
  </w:style>
  <w:style w:type="paragraph" w:customStyle="1" w:styleId="22">
    <w:name w:val="Header or footer|2"/>
    <w:basedOn w:val="1"/>
    <w:autoRedefine/>
    <w:qFormat/>
    <w:uiPriority w:val="0"/>
    <w:rPr>
      <w:sz w:val="20"/>
      <w:szCs w:val="20"/>
      <w:lang w:val="zh-TW" w:eastAsia="zh-TW" w:bidi="zh-TW"/>
    </w:rPr>
  </w:style>
  <w:style w:type="paragraph" w:customStyle="1" w:styleId="23">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24">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Char1"/>
    <w:basedOn w:val="1"/>
    <w:autoRedefine/>
    <w:qFormat/>
    <w:uiPriority w:val="0"/>
    <w:pPr>
      <w:spacing w:line="440" w:lineRule="exact"/>
      <w:ind w:firstLine="551" w:firstLineChars="196"/>
    </w:pPr>
    <w:rPr>
      <w:rFonts w:ascii="宋体" w:hAnsi="宋体"/>
      <w:b/>
      <w:sz w:val="28"/>
      <w:szCs w:val="28"/>
    </w:rPr>
  </w:style>
  <w:style w:type="paragraph" w:styleId="26">
    <w:name w:val="List Paragraph"/>
    <w:basedOn w:val="1"/>
    <w:autoRedefine/>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15474</Words>
  <Characters>16582</Characters>
  <Lines>385</Lines>
  <Paragraphs>386</Paragraphs>
  <TotalTime>8</TotalTime>
  <ScaleCrop>false</ScaleCrop>
  <LinksUpToDate>false</LinksUpToDate>
  <CharactersWithSpaces>16949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2025-06-10T03:14:00Z</dcterms:created>
  <dc:creator>Administrator</dc:creator>
  <cp:lastModifiedBy>大脸猫</cp:lastModifiedBy>
  <dcterms:modified xsi:type="dcterms:W3CDTF">2026-08-01T03:05:46Z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48662CEBF9A84943916D63907F128C5B_13</vt:lpwstr>
  </property>
  <property fmtid="{D5CDD505-2E9C-101B-9397-08002B2CF9AE}" pid="4" name="KSOTemplateDocerSaveRecord">
    <vt:lpwstr>eyJoZGlkIjoiODA1NjI5OTZkMjMwOGEzM2JlZDhkZTdmMTZiOWQwNGYiLCJ1c2VySWQiOiIyMzI3MDYwMDUifQ==</vt:lpwstr>
  </property>
</Properties>
</file>