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7296F" w:rsidRPr="00C7296F" w:rsidRDefault="00C7296F" w:rsidP="00C7296F">
      <w:pPr>
        <w:pStyle w:val="null3"/>
        <w:spacing w:line="360" w:lineRule="auto"/>
        <w:jc w:val="center"/>
        <w:outlineLvl w:val="2"/>
        <w:rPr>
          <w:rFonts w:ascii="宋体" w:eastAsia="宋体" w:hAnsi="宋体" w:hint="default"/>
          <w:sz w:val="32"/>
          <w:szCs w:val="32"/>
        </w:rPr>
      </w:pPr>
      <w:r w:rsidRPr="00C7296F">
        <w:rPr>
          <w:rFonts w:ascii="宋体" w:eastAsia="宋体" w:hAnsi="宋体" w:cs="仿宋_GB2312"/>
          <w:b/>
          <w:sz w:val="32"/>
          <w:szCs w:val="32"/>
        </w:rPr>
        <w:t>采购需求</w:t>
      </w:r>
    </w:p>
    <w:p w:rsidR="00C7296F" w:rsidRPr="009E0C56" w:rsidRDefault="00C7296F" w:rsidP="00C7296F">
      <w:pPr>
        <w:pStyle w:val="null3"/>
        <w:spacing w:line="360" w:lineRule="auto"/>
        <w:rPr>
          <w:rFonts w:ascii="宋体" w:eastAsia="宋体" w:hAnsi="宋体" w:hint="default"/>
          <w:sz w:val="24"/>
          <w:szCs w:val="24"/>
        </w:rPr>
      </w:pPr>
      <w:r w:rsidRPr="009E0C56">
        <w:rPr>
          <w:rFonts w:ascii="宋体" w:eastAsia="宋体" w:hAnsi="宋体" w:cs="仿宋_GB2312"/>
          <w:sz w:val="24"/>
          <w:szCs w:val="24"/>
        </w:rPr>
        <w:t>采购包1：</w:t>
      </w:r>
    </w:p>
    <w:p w:rsidR="00C7296F" w:rsidRPr="009E0C56" w:rsidRDefault="00C7296F" w:rsidP="00C7296F">
      <w:pPr>
        <w:pStyle w:val="null3"/>
        <w:spacing w:line="360" w:lineRule="auto"/>
        <w:rPr>
          <w:rFonts w:ascii="宋体" w:eastAsia="宋体" w:hAnsi="宋体" w:hint="default"/>
          <w:sz w:val="24"/>
          <w:szCs w:val="24"/>
        </w:rPr>
      </w:pPr>
      <w:r w:rsidRPr="009E0C56">
        <w:rPr>
          <w:rFonts w:ascii="宋体" w:eastAsia="宋体" w:hAnsi="宋体" w:cs="仿宋_GB2312"/>
          <w:sz w:val="24"/>
          <w:szCs w:val="24"/>
        </w:rPr>
        <w:t>标的名称：功率循环控制与检测平台</w:t>
      </w:r>
    </w:p>
    <w:tbl>
      <w:tblPr>
        <w:tblW w:w="864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6804"/>
      </w:tblGrid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 xml:space="preserve"> 序号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一、主机部分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★1.老化直流电流范围最大≥3000A。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▲2.老化直流电流加热通道数≥3个，单个≥1000A，分辨率≤500mA，电流精度为≤（0.1% set + 0.3% range）。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3.最小脉冲宽度：≤500ms。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4.脉冲开启时间≤50ms，脉冲关闭时间≤100us。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5.输出电压≥8V，单通道可测器件数≥4个。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▲6.单加热通道对应的感测电流范围为±5mA～±1A，分辨率≤0.5mA，电流精度为：≤（0.5% set+0.125% range）。可并联输出最大≥3A。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7.门极控制电源的栅极与发射极电压范围为-10V～+20V，分辨率≤0.01V，电压精度为≤（0.5% set+0.25% range）。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二、外接工装部分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1.系统自带液冷板（支持外接工装尺寸扩展）；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2.冷板上需配置具有可移动夹治具；液板上及液冷板出水口需配置Pt100温度传感器，温度分辨率≤0.1℃；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3.液冷板均温性即表面最大温差要求≤±2℃。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▲4.需提供≥3个温度传感器输入端，用于测量器件的外部壳温测量，支持的温度传感器型号包括：PTC、NTC、以及K型热电偶。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5.热电偶连接配件:方便主机与K型热电偶联接，主机可以快捷测试热电偶接触点的温度随时间变化的曲线。温度精度：≤±0.5°C。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三、主机控制测试部分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▲1.主机采集通道的数据测试能力：测试通道数≥3个；电压输入范围：每个测试通道需具有±12V电压输入范围；电压分辨率≤16μV；电压信号采样分辨率：≤1μs。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14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2. 具备测试控制终端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四、数据处理软件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▲1.需具有结构函数曲线的后处理分析软件，可输出以下测试结果：测量参数，瞬态温度响应曲线，smooth，Zth曲线，Pulse Thermal Resistance， SOA，CSF积分，DSF微分结构函数等；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▲2.能提取RC热网络模型；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3.具有各项指标的显示，例如：开关前后ΔTj, Tjmax, Tjmin, ΔP, ΔTj/ΔP,门极漏电流，开关前后导通压降等。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4.测试主机需具备Windows操作系统、备份、保存、远程控制编辑、上传、故障自检报警等功能。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五、加热制冷油槽装置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1. 温控仪温控范围覆盖-20℃～+180℃，温控仪能由热阻测试主机的驱动软件直接控制以实现自动控温和K系数标定；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2. 温度精度 ≤±0.1℃；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3. 加热功率≥2KW，制冷功率≥400W@20℃。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六、冷却系统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1.制冷功率≥12kW。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2.制冷方式：风冷。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3.冷冻水温度范围：10℃～85℃。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七、其他功能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▲1.设备需具有门极驱动电压延时关断功能。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804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2.在测试SiC MOSFET器件时需具备体二极管加热模式和饱和模式。</w:t>
            </w:r>
          </w:p>
        </w:tc>
      </w:tr>
    </w:tbl>
    <w:p w:rsidR="00C7296F" w:rsidRPr="009E0C56" w:rsidRDefault="00C7296F" w:rsidP="00C7296F">
      <w:pPr>
        <w:pStyle w:val="null3"/>
        <w:spacing w:line="360" w:lineRule="auto"/>
        <w:rPr>
          <w:rFonts w:ascii="宋体" w:eastAsia="宋体" w:hAnsi="宋体" w:hint="default"/>
          <w:sz w:val="24"/>
          <w:szCs w:val="24"/>
        </w:rPr>
      </w:pPr>
      <w:r w:rsidRPr="009E0C56">
        <w:rPr>
          <w:rFonts w:ascii="宋体" w:eastAsia="宋体" w:hAnsi="宋体" w:cs="仿宋_GB2312"/>
          <w:sz w:val="24"/>
          <w:szCs w:val="24"/>
        </w:rPr>
        <w:t>采购包2：</w:t>
      </w:r>
    </w:p>
    <w:p w:rsidR="00C7296F" w:rsidRPr="009E0C56" w:rsidRDefault="00C7296F" w:rsidP="00C7296F">
      <w:pPr>
        <w:pStyle w:val="null3"/>
        <w:spacing w:line="360" w:lineRule="auto"/>
        <w:rPr>
          <w:rFonts w:ascii="宋体" w:eastAsia="宋体" w:hAnsi="宋体" w:hint="default"/>
          <w:sz w:val="24"/>
          <w:szCs w:val="24"/>
        </w:rPr>
      </w:pPr>
      <w:r w:rsidRPr="009E0C56">
        <w:rPr>
          <w:rFonts w:ascii="宋体" w:eastAsia="宋体" w:hAnsi="宋体" w:cs="仿宋_GB2312"/>
          <w:sz w:val="24"/>
          <w:szCs w:val="24"/>
        </w:rPr>
        <w:t>标的名称：真空回流控制与检测平台</w:t>
      </w:r>
    </w:p>
    <w:tbl>
      <w:tblPr>
        <w:tblW w:w="836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50"/>
        <w:gridCol w:w="6663"/>
      </w:tblGrid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 xml:space="preserve"> 序号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 xml:space="preserve"> 参数性质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一、真空烧结炉硬件系统（主机）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★1、焊接温度≤600℃；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▲2、升温速率≥200℃/min；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3、底部红外辐射加热+顶部红外辐射加热；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4、加热板采用半导体级石墨镀碳化硅涂层；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5、焊接实际面积≥长330 mm *宽 330 mm；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▲6、温度均匀性≤±0.5%；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7、配腔体观察窗口；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8、腔体内配备测温热电偶：4组；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二、真空烧结炉控制软件系统一套(可控制温度、气氛、真空等)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1、可实现温度、时间、压力、真空、气氛等编程控制；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2、控温系统精度：±1℃；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3、控温系统：可设定温度控温曲线≤40段,并配置PID功率调节≤12组；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三、气氛系统一套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▲1、可满足N2\H2N2\甲酸还原气氛工艺；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2、气氛可由时间或者由MFC质量流量计控制；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四、真空系统一套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1、工作真空1Pa～100Pa，极限真空≤1*10</w:t>
            </w:r>
            <w:r w:rsidRPr="009E0C56">
              <w:rPr>
                <w:rFonts w:ascii="MS Gothic" w:eastAsia="MS Gothic" w:hAnsi="MS Gothic" w:cs="MS Gothic"/>
                <w:sz w:val="24"/>
                <w:szCs w:val="24"/>
              </w:rPr>
              <w:t>⁻</w:t>
            </w:r>
            <w:r w:rsidRPr="009E0C56">
              <w:rPr>
                <w:rFonts w:ascii="宋体" w:eastAsia="宋体" w:hAnsi="宋体" w:cs="宋体"/>
                <w:sz w:val="24"/>
                <w:szCs w:val="24"/>
              </w:rPr>
              <w:t>³</w:t>
            </w: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Pa；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2、密封性：抽到极限真空，关闭阀门静置30分钟，真空保持到≤ 8pa。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五、冷却系统一套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1、采用气冷+水冷结合冷却方式（加热平台、外壳）；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▲2、最大冷却速率≥200℃/min；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3、冷水系统和真空腔材质为一体；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六、主体结构、腔体一套</w:t>
            </w:r>
          </w:p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1、真空炉的外壳水冷一体化成型；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20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2、真空炉的炉腔开启方式是上腔体上仰式开启；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3、炉腔高度≥100 mm；</w:t>
            </w:r>
          </w:p>
        </w:tc>
      </w:tr>
      <w:tr w:rsidR="00C7296F" w:rsidRPr="009E0C56" w:rsidTr="00C7296F">
        <w:tc>
          <w:tcPr>
            <w:tcW w:w="851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C7296F" w:rsidRPr="009E0C56" w:rsidRDefault="00C7296F" w:rsidP="00F97E71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6663" w:type="dxa"/>
          </w:tcPr>
          <w:p w:rsidR="00C7296F" w:rsidRPr="009E0C56" w:rsidRDefault="00C7296F" w:rsidP="00F97E71">
            <w:pPr>
              <w:pStyle w:val="null3"/>
              <w:spacing w:line="360" w:lineRule="auto"/>
              <w:rPr>
                <w:rFonts w:ascii="宋体" w:eastAsia="宋体" w:hAnsi="宋体" w:hint="default"/>
                <w:sz w:val="24"/>
                <w:szCs w:val="24"/>
              </w:rPr>
            </w:pPr>
            <w:r w:rsidRPr="009E0C56">
              <w:rPr>
                <w:rFonts w:ascii="宋体" w:eastAsia="宋体" w:hAnsi="宋体" w:cs="仿宋_GB2312"/>
                <w:sz w:val="24"/>
                <w:szCs w:val="24"/>
              </w:rPr>
              <w:t>4、加热管安装方式：底部和顶部呈90度分布。</w:t>
            </w:r>
          </w:p>
        </w:tc>
      </w:tr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96F"/>
    <w:rsid w:val="00A42550"/>
    <w:rsid w:val="00A8459E"/>
    <w:rsid w:val="00B30492"/>
    <w:rsid w:val="00C7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ABDED"/>
  <w15:chartTrackingRefBased/>
  <w15:docId w15:val="{3B8BCFD7-6EE2-4AF1-B599-AA7B61683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296F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296F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296F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296F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296F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296F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296F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296F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296F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296F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7296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729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729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7296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7296F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7296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7296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7296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7296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7296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C72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296F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C7296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296F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C7296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296F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C7296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29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C7296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7296F"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hidden/>
    <w:rsid w:val="00C7296F"/>
    <w:pPr>
      <w:spacing w:after="0" w:line="240" w:lineRule="auto"/>
    </w:pPr>
    <w:rPr>
      <w:rFonts w:hint="eastAsia"/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2026-08-27T07:37:00Z</dcterms:created>
  <dcterms:modified xsi:type="dcterms:W3CDTF">2026-08-27T07:38:00Z</dcterms:modified>
</cp:coreProperties>
</file>