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版本号：SXZCZB2026-ZCCS-052520260520001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国道三维数字化采集与建模试点</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SXZCZB2026-ZCCS-0525</w:t>
      </w:r>
      <w:r>
        <w:br/>
      </w:r>
      <w:r>
        <w:br/>
      </w:r>
      <w:r>
        <w:br/>
      </w:r>
    </w:p>
    <w:p>
      <w:pPr>
        <w:pStyle w:val="null3"/>
        <w:jc w:val="center"/>
        <w:outlineLvl w:val="2"/>
      </w:pPr>
      <w:r>
        <w:rPr>
          <w:rFonts w:ascii="仿宋_GB2312" w:hAnsi="仿宋_GB2312" w:cs="仿宋_GB2312" w:eastAsia="仿宋_GB2312"/>
          <w:sz w:val="28"/>
          <w:b/>
        </w:rPr>
        <w:t>陕西省公路局</w:t>
      </w:r>
    </w:p>
    <w:p>
      <w:pPr>
        <w:pStyle w:val="null3"/>
        <w:jc w:val="center"/>
        <w:outlineLvl w:val="2"/>
      </w:pPr>
      <w:r>
        <w:rPr>
          <w:rFonts w:ascii="仿宋_GB2312" w:hAnsi="仿宋_GB2312" w:cs="仿宋_GB2312" w:eastAsia="仿宋_GB2312"/>
          <w:sz w:val="28"/>
          <w:b/>
        </w:rPr>
        <w:t>陕西至诚项目管理集团有限公司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陕西至诚项目管理集团有限公司</w:t>
      </w:r>
      <w:r>
        <w:rPr>
          <w:rFonts w:ascii="仿宋_GB2312" w:hAnsi="仿宋_GB2312" w:cs="仿宋_GB2312" w:eastAsia="仿宋_GB2312"/>
        </w:rPr>
        <w:t>（以下简称“代理机构”）受</w:t>
      </w:r>
      <w:r>
        <w:rPr>
          <w:rFonts w:ascii="仿宋_GB2312" w:hAnsi="仿宋_GB2312" w:cs="仿宋_GB2312" w:eastAsia="仿宋_GB2312"/>
        </w:rPr>
        <w:t>陕西省公路局</w:t>
      </w:r>
      <w:r>
        <w:rPr>
          <w:rFonts w:ascii="仿宋_GB2312" w:hAnsi="仿宋_GB2312" w:cs="仿宋_GB2312" w:eastAsia="仿宋_GB2312"/>
        </w:rPr>
        <w:t>委托，拟对</w:t>
      </w:r>
      <w:r>
        <w:rPr>
          <w:rFonts w:ascii="仿宋_GB2312" w:hAnsi="仿宋_GB2312" w:cs="仿宋_GB2312" w:eastAsia="仿宋_GB2312"/>
        </w:rPr>
        <w:t>国道三维数字化采集与建模试点</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SXZCZB2026-ZCCS-0525</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国道三维数字化采集与建模试点</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贯彻落实《交通强国建设纲要》《国家综合立体交通网规划纲要》《数字交通发展规划纲要》《“十四五”公路养护管理发展纲要》，推进我省交通基础设施数字化、网联化，推动建设、管理、养护、运营、服务等环节的数据共享与协同应用，本项目针对普通国道采用车载激光点云采集与处理、沿线重要结构物采用倾斜摄影采集与建模，探索全省普通公路实景化、矢量化和数字化，建设全要素基础数据库，更好地支撑公路行业业务协同和数字化应用。</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采购包1（国道三维数字化采集与建模试点）：属于专门面向中小企业采购。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2、社会保障资金缴纳证明：磋商截止日12个月内任意一月缴纳社会保障资金缴存单据或社保机构开具的社会保险参保缴费情况证明，依法不需要缴纳社会保障资金的单位应提供相关证明材料；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3、税收缴纳证明：磋商截止日12个月内任意一个月依法缴纳税收的相关凭据（时间以税款所属日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财务状况证明：提供2024年或2025年至磋商截止时间止任意年度经审计的财务会计报告（包括审计报告、资产负债表、利润表、现金流量表、所有者权益变动表及其附注），成立时间至提交投标文件截止时间不足一年的可提供成立后任意时段的资产负债表或其开标前三个月内基本开户银行出具的资信证明（以上二种形式的资料提供任何一种即可），事业单位提供2024年或2025年度资产负债表；</w:t>
      </w:r>
    </w:p>
    <w:p>
      <w:pPr>
        <w:pStyle w:val="null3"/>
      </w:pPr>
      <w:r>
        <w:rPr>
          <w:rFonts w:ascii="仿宋_GB2312" w:hAnsi="仿宋_GB2312" w:cs="仿宋_GB2312" w:eastAsia="仿宋_GB2312"/>
        </w:rPr>
        <w:t>5、违纪失信：参加本次政府采购活动前3年内在经营活动中没有重大违纪，以及未被列入失信被执行人、重大税收违法案件当事人名单、政府采购严重违法失信行为记录名单；</w:t>
      </w:r>
    </w:p>
    <w:p>
      <w:pPr>
        <w:pStyle w:val="null3"/>
      </w:pPr>
      <w:r>
        <w:rPr>
          <w:rFonts w:ascii="仿宋_GB2312" w:hAnsi="仿宋_GB2312" w:cs="仿宋_GB2312" w:eastAsia="仿宋_GB2312"/>
        </w:rPr>
        <w:t>6、具有履行合同所必需的设备和专业技术能力：具备履行合同所必需的设备和专业技术能力的承诺；</w:t>
      </w:r>
    </w:p>
    <w:p>
      <w:pPr>
        <w:pStyle w:val="null3"/>
      </w:pPr>
      <w:r>
        <w:rPr>
          <w:rFonts w:ascii="仿宋_GB2312" w:hAnsi="仿宋_GB2312" w:cs="仿宋_GB2312" w:eastAsia="仿宋_GB2312"/>
        </w:rPr>
        <w:t>7、法定代表人或授权代表委托书：法定代表人直接参加磋商的，须出具法人身份证并与营业执照上信息一致；法定代表人授权代表参加磋商的，须出具法定代表人授权书、授权代表身份证以及被授权人有效的劳动合同或者截止开标前六个月内任意一个月本单位社保缴纳证明；</w:t>
      </w:r>
    </w:p>
    <w:p>
      <w:pPr>
        <w:pStyle w:val="null3"/>
      </w:pPr>
      <w:r>
        <w:rPr>
          <w:rFonts w:ascii="仿宋_GB2312" w:hAnsi="仿宋_GB2312" w:cs="仿宋_GB2312" w:eastAsia="仿宋_GB2312"/>
        </w:rPr>
        <w:t>8、非联合体声明：本项目不接受联合体磋商，供应商提供非联合体书面声明；</w:t>
      </w:r>
    </w:p>
    <w:p>
      <w:pPr>
        <w:pStyle w:val="null3"/>
      </w:pPr>
      <w:r>
        <w:rPr>
          <w:rFonts w:ascii="仿宋_GB2312" w:hAnsi="仿宋_GB2312" w:cs="仿宋_GB2312" w:eastAsia="仿宋_GB2312"/>
        </w:rPr>
        <w:t>9、企业关联关系声明：单位负责人为同一人或者存在控股、管理关系的不同单位，不得同时参加本项目的磋商。提供法人代表、控股股东、控股企业及管理、被管理单位情况声明且各供应商之间不存在单位负责人为同一人或者存在控股、管理关系情形（提供声明或相关证明材料）。</w:t>
      </w:r>
    </w:p>
    <w:p>
      <w:pPr>
        <w:pStyle w:val="null3"/>
      </w:pPr>
      <w:r>
        <w:rPr>
          <w:rFonts w:ascii="仿宋_GB2312" w:hAnsi="仿宋_GB2312" w:cs="仿宋_GB2312" w:eastAsia="仿宋_GB2312"/>
        </w:rPr>
        <w:t>10、资质要求：具备行业主管部门颁发的乙级测绘资质证书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陕西省公路局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西安市含光北路110号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张文卓</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029-88408473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陕西至诚项目管理集团有限公司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陕西省西安市经济技术开发区未央路171-1号银池道拉斯财富中心21楼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18009135594</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采购包1：874,000.00元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开户名称：陕西至诚项目管理集团有限公司</w:t>
            </w:r>
          </w:p>
          <w:p>
            <w:pPr>
              <w:pStyle w:val="null3"/>
            </w:pPr>
            <w:r>
              <w:rPr>
                <w:rFonts w:ascii="仿宋_GB2312" w:hAnsi="仿宋_GB2312" w:cs="仿宋_GB2312" w:eastAsia="仿宋_GB2312"/>
              </w:rPr>
              <w:t>开户银行：中国建设银行股份有限公司西安高新技术产业开发区支行</w:t>
            </w:r>
          </w:p>
          <w:p>
            <w:pPr>
              <w:pStyle w:val="null3"/>
            </w:pPr>
            <w:r>
              <w:rPr>
                <w:rFonts w:ascii="仿宋_GB2312" w:hAnsi="仿宋_GB2312" w:cs="仿宋_GB2312" w:eastAsia="仿宋_GB2312"/>
              </w:rPr>
              <w:t>银行账号：61050192090000002152</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说明：合同签订前，乙方须向甲方缴纳合同总金额5%的履约保证金，履约保证金待乙方履行完全部合同义务，并经甲方验收合格且无任何纠纷后无息退还</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代理服务费收费标准：依据陕西省公路局2026年度部分政府采购项目委托代理合同按照《招标代理服务收费管理暂行办法》（计价格〔2002〕1980）计算后金额*0.68计取。 成交供应商在领取成交通知书前，须向采购代理机构支付成交服务费。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陕西省公路局</w:t>
      </w:r>
      <w:r>
        <w:rPr>
          <w:rFonts w:ascii="仿宋_GB2312" w:hAnsi="仿宋_GB2312" w:cs="仿宋_GB2312" w:eastAsia="仿宋_GB2312"/>
        </w:rPr>
        <w:t>和</w:t>
      </w:r>
      <w:r>
        <w:rPr>
          <w:rFonts w:ascii="仿宋_GB2312" w:hAnsi="仿宋_GB2312" w:cs="仿宋_GB2312" w:eastAsia="仿宋_GB2312"/>
        </w:rPr>
        <w:t>陕西至诚项目管理集团有限公司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陕西省公路局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陕西至诚项目管理集团有限公司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陕西省公路局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陕西至诚项目管理集团有限公司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验收方式：（一）乙方完成合同约定的全部内容后，应向甲方提交书面的服务成果报告及验收申请。同时向甲方提交项目实施过程中的所有资料,以便甲方日后管理和维护该项目。乙方提交的各项成果资料均应满足国家现行的相关技术标准、规范、规程等以及我省公路管理相关规定。（二）甲方收到乙方的验收申请后，组织乙方（必要时请有关专家）进行项目验收。乙方提交合同履约情况总结报告，并经甲方确认。验收合格后，填写项目验收单作为对项目的最终认可。（三）验收依据：①本合同及附件文本；②竞争性磋商文件、磋商响应文件、澄清表（函）；③国家相应的标准、规范。技术审查、验收不合格的限期整改，整改过程中产生的一切费用和损失由乙方承担。整改超过二次的，甲方有权单方解除本合同，乙方应无条件退还已收取的全部合同价款，给甲方造成损失的应予以赔偿，且乙方应按合同总金额的10%向甲方支付违约金。 二、验收标准：按照合同约定的服务内容进行验收，要求符合交通运输行业相关的标准和规范。</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陕西至诚项目管理集团有限公司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陕西至诚项目管理集团有限公司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陕西至诚项目管理集团有限公司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联系人：刘倩</w:t>
      </w:r>
    </w:p>
    <w:p>
      <w:pPr>
        <w:pStyle w:val="null3"/>
      </w:pPr>
      <w:r>
        <w:rPr>
          <w:rFonts w:ascii="仿宋_GB2312" w:hAnsi="仿宋_GB2312" w:cs="仿宋_GB2312" w:eastAsia="仿宋_GB2312"/>
        </w:rPr>
        <w:t>联系电话：18009135594</w:t>
      </w:r>
    </w:p>
    <w:p>
      <w:pPr>
        <w:pStyle w:val="null3"/>
      </w:pPr>
      <w:r>
        <w:rPr>
          <w:rFonts w:ascii="仿宋_GB2312" w:hAnsi="仿宋_GB2312" w:cs="仿宋_GB2312" w:eastAsia="仿宋_GB2312"/>
        </w:rPr>
        <w:t>地址：陕西省西安市经济技术开发区未央路171-1号银池道拉斯财富中心21楼</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贯彻落实《交通强国建设纲要》《国家综合立体交通网规划纲要》《数字交通发展规划纲要》《“十四五”公路养护管理发展纲要》，推进我省交通基础设施数字化、网联化，推动建设、管理、养护、运营、服务等环节的数据共享与协同应用，本项目针对普通国道采用车载激光点云采集与处理、沿线重要结构物采用倾斜摄影采集与建模，探索全省普通公路实景化、矢量化和数字化，建设全要素基础数据库，更好地支撑公路行业业务协同和数字化应用。</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874,000.00</w:t>
      </w:r>
    </w:p>
    <w:p>
      <w:pPr>
        <w:pStyle w:val="null3"/>
      </w:pPr>
      <w:r>
        <w:rPr>
          <w:rFonts w:ascii="仿宋_GB2312" w:hAnsi="仿宋_GB2312" w:cs="仿宋_GB2312" w:eastAsia="仿宋_GB2312"/>
        </w:rPr>
        <w:t>采购包最高限价（元）: 874,000.00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国道三维数字化采集与建模试点</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874,000.00</w:t>
            </w:r>
          </w:p>
        </w:tc>
        <w:tc>
          <w:tcPr>
            <w:tcW w:type="dxa" w:w="755"/>
          </w:tcPr>
          <w:p>
            <w:pPr>
              <w:pStyle w:val="null3"/>
            </w:pPr>
            <w:r>
              <w:rPr>
                <w:rFonts w:ascii="仿宋_GB2312" w:hAnsi="仿宋_GB2312" w:cs="仿宋_GB2312" w:eastAsia="仿宋_GB2312"/>
              </w:rPr>
              <w:t>标段</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标的名称：国道三维数字化采集与建模试点</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rPr>
              <w:t>一、项目概况</w:t>
            </w:r>
          </w:p>
          <w:p>
            <w:pPr>
              <w:pStyle w:val="null3"/>
              <w:jc w:val="left"/>
            </w:pPr>
            <w:r>
              <w:rPr>
                <w:rFonts w:ascii="仿宋_GB2312" w:hAnsi="仿宋_GB2312" w:cs="仿宋_GB2312" w:eastAsia="仿宋_GB2312"/>
              </w:rPr>
              <w:t>为贯彻落实《交通强国建设纲要》《国家综合立体交通网规划纲要》《数字交通发展规划纲要》《“十四五”公路养护管理发展纲要》，推进我省交通基础设施数字化、网联化，推动建设、管理、养护、运营、服务等环节的数据共享与协同应用，本项目针对普通国道采用车载激光点云采集与处理、沿线重要结构物采用倾斜摄影采集与建模，探索全省普通公路实景化、矢量化和数字化，建设全要素基础数据库，更好地支撑公路行业业务协同和数字化应用。</w:t>
            </w:r>
          </w:p>
          <w:p>
            <w:pPr>
              <w:pStyle w:val="null3"/>
              <w:jc w:val="left"/>
            </w:pPr>
            <w:r>
              <w:rPr>
                <w:rFonts w:ascii="仿宋_GB2312" w:hAnsi="仿宋_GB2312" w:cs="仿宋_GB2312" w:eastAsia="仿宋_GB2312"/>
              </w:rPr>
              <w:t>项目经费：</w:t>
            </w:r>
            <w:r>
              <w:rPr>
                <w:rFonts w:ascii="仿宋_GB2312" w:hAnsi="仿宋_GB2312" w:cs="仿宋_GB2312" w:eastAsia="仿宋_GB2312"/>
              </w:rPr>
              <w:t>87.4万元。</w:t>
            </w:r>
          </w:p>
          <w:p>
            <w:pPr>
              <w:pStyle w:val="null3"/>
              <w:jc w:val="left"/>
            </w:pPr>
            <w:r>
              <w:rPr>
                <w:rFonts w:ascii="仿宋_GB2312" w:hAnsi="仿宋_GB2312" w:cs="仿宋_GB2312" w:eastAsia="仿宋_GB2312"/>
              </w:rPr>
              <w:t>二、服务内容</w:t>
            </w:r>
          </w:p>
          <w:p>
            <w:pPr>
              <w:pStyle w:val="null3"/>
              <w:jc w:val="left"/>
            </w:pPr>
            <w:r>
              <w:rPr>
                <w:rFonts w:ascii="仿宋_GB2312" w:hAnsi="仿宋_GB2312" w:cs="仿宋_GB2312" w:eastAsia="仿宋_GB2312"/>
              </w:rPr>
              <w:t>1.国道车载激光点云数据采集与三维建模。根据基础设施数字化采集要求，选取不低于300公里的普通国道采用车载激光点云进行数据采集，采集公路基础设施的地理位置信息与全景图像数据，其中，双向两车道及以下公路单向采集，采集任意车道，双向四车道及以上公路双向采集，采集中央隔离带或道路中线向外第二车道。通过对激光点云数据进行分析处理，提取公路基础设施三维模型，并赋予基本信息和管养属性，形成全要素基础数据库。</w:t>
            </w:r>
          </w:p>
          <w:p>
            <w:pPr>
              <w:pStyle w:val="null3"/>
              <w:jc w:val="left"/>
            </w:pPr>
            <w:r>
              <w:rPr>
                <w:rFonts w:ascii="仿宋_GB2312" w:hAnsi="仿宋_GB2312" w:cs="仿宋_GB2312" w:eastAsia="仿宋_GB2312"/>
              </w:rPr>
              <w:t>2.重点桥梁、服务设施无人机倾斜摄影与建模。利用无人机倾斜摄影设备，对选定的普通国道沿线涉及的重点桥梁以及服务区、停车区等服务设施采集公路基础设施原始航拍影像数据，通过影像</w:t>
            </w:r>
            <w:r>
              <w:rPr>
                <w:rFonts w:ascii="仿宋_GB2312" w:hAnsi="仿宋_GB2312" w:cs="仿宋_GB2312" w:eastAsia="仿宋_GB2312"/>
              </w:rPr>
              <w:t>处理</w:t>
            </w:r>
            <w:r>
              <w:rPr>
                <w:rFonts w:ascii="仿宋_GB2312" w:hAnsi="仿宋_GB2312" w:cs="仿宋_GB2312" w:eastAsia="仿宋_GB2312"/>
              </w:rPr>
              <w:t>形成真实三维场景。</w:t>
            </w:r>
          </w:p>
          <w:p>
            <w:pPr>
              <w:pStyle w:val="null3"/>
              <w:jc w:val="left"/>
            </w:pPr>
            <w:r>
              <w:rPr>
                <w:rFonts w:ascii="仿宋_GB2312" w:hAnsi="仿宋_GB2312" w:cs="仿宋_GB2312" w:eastAsia="仿宋_GB2312"/>
              </w:rPr>
              <w:t>3.规范性资料编制。依托本次采集建模工作，形成陕西省普通国省道基础设施三维数字化采集技术指南，指导后续全省普通国省干线三维数字化采集相关工作推进。</w:t>
            </w:r>
          </w:p>
          <w:p>
            <w:pPr>
              <w:pStyle w:val="null3"/>
              <w:jc w:val="left"/>
            </w:pPr>
            <w:r>
              <w:rPr>
                <w:rFonts w:ascii="仿宋_GB2312" w:hAnsi="仿宋_GB2312" w:cs="仿宋_GB2312" w:eastAsia="仿宋_GB2312"/>
              </w:rPr>
              <w:t>三、服务要求</w:t>
            </w:r>
          </w:p>
          <w:p>
            <w:pPr>
              <w:pStyle w:val="null3"/>
              <w:jc w:val="left"/>
            </w:pPr>
            <w:r>
              <w:rPr>
                <w:rFonts w:ascii="仿宋_GB2312" w:hAnsi="仿宋_GB2312" w:cs="仿宋_GB2312" w:eastAsia="仿宋_GB2312"/>
              </w:rPr>
              <w:t>（一）设备技术要求</w:t>
            </w:r>
          </w:p>
          <w:p>
            <w:pPr>
              <w:pStyle w:val="null3"/>
              <w:jc w:val="left"/>
            </w:pPr>
            <w:r>
              <w:rPr>
                <w:rFonts w:ascii="仿宋_GB2312" w:hAnsi="仿宋_GB2312" w:cs="仿宋_GB2312" w:eastAsia="仿宋_GB2312"/>
              </w:rPr>
              <w:t>1.车载激光点云设备。车载激光点云设备必须包括三维激光扫描设备、卫星定位模块（GNSS）、惯性导航装置（IMU）、全景相机、总成控制模块和高性能板卡计算机高度集成等组成。主要设备技术参数如下：（1）公路资产采集装置或高精度移动测量系统或三维测量系统设备技术参数：测距精度优于10mm；扫描范围：扫描视场角优于330°；数据更新率：点频不低于64万/秒；（2）全景影像单镜头分辨率要求不低于2000万像素。（3）卫星定位模块（GNSS）必须能够接收北斗信号；数据采样频率不得低于20Hz。</w:t>
            </w:r>
          </w:p>
          <w:p>
            <w:pPr>
              <w:pStyle w:val="null3"/>
              <w:jc w:val="left"/>
            </w:pPr>
            <w:r>
              <w:rPr>
                <w:rFonts w:ascii="仿宋_GB2312" w:hAnsi="仿宋_GB2312" w:cs="仿宋_GB2312" w:eastAsia="仿宋_GB2312"/>
              </w:rPr>
              <w:t>2.无人机倾斜摄影。无人机倾斜摄影系统主要包括无人机、航摄镜头、实时动态测量模块（RTK）等组成。主要设备技术参数如下：（1)无人机最大可承受风速应不低于12m/s；单架次飞行时间应优于40分钟；IP防护等级应优于IP45。（2）航摄镜头分辨率应不低于4200万。</w:t>
            </w:r>
          </w:p>
          <w:p>
            <w:pPr>
              <w:pStyle w:val="null3"/>
              <w:jc w:val="left"/>
            </w:pPr>
            <w:r>
              <w:rPr>
                <w:rFonts w:ascii="仿宋_GB2312" w:hAnsi="仿宋_GB2312" w:cs="仿宋_GB2312" w:eastAsia="仿宋_GB2312"/>
              </w:rPr>
              <w:t>（二）数据采集的工作要求</w:t>
            </w:r>
          </w:p>
          <w:p>
            <w:pPr>
              <w:pStyle w:val="null3"/>
              <w:jc w:val="left"/>
            </w:pPr>
            <w:r>
              <w:rPr>
                <w:rFonts w:ascii="仿宋_GB2312" w:hAnsi="仿宋_GB2312" w:cs="仿宋_GB2312" w:eastAsia="仿宋_GB2312"/>
              </w:rPr>
              <w:t>1.车载激光点云采集。（1）路面潮湿、积水等特殊情况不得采集；（2）采集工作要在光线较为柔和时进行，按正视角度进行拍摄，应避免逆光拍摄；（3）公路边沟以卫星信号良好区域内区域采集精度必须达到水平和垂直绝对精度10cm以内；（4）车辆采集速度要控制在60公里/小时以内，保证三维采集质量符合甲方要求；（5）采集过程各类资产清晰无遮挡。各类资产采集信息必须完整，没有遗漏。采集过程中由于其他机动车辆影响，对公路资产有遮挡的，必须进行补充采集，保证采集公路资产的完整，清晰，不存在遗漏；（6）公路采集必须按甲方提供轨迹的走向和轨迹的路段进行采集；（7）当移动车和低空飞行器不具备采集条件时，宜采用手持式、背负式或架站式设备等补充方法进行采集。</w:t>
            </w:r>
          </w:p>
          <w:p>
            <w:pPr>
              <w:pStyle w:val="null3"/>
              <w:jc w:val="left"/>
            </w:pPr>
            <w:r>
              <w:rPr>
                <w:rFonts w:ascii="仿宋_GB2312" w:hAnsi="仿宋_GB2312" w:cs="仿宋_GB2312" w:eastAsia="仿宋_GB2312"/>
              </w:rPr>
              <w:t>2.无人机倾斜摄影采集。（1）分辨率要求：航摄地面分辨率优于0.015m；（2）重叠度要求：航向重叠度大于80%，旁向重叠度大于75%；（3）摄区边界覆盖保证：航向覆盖超出摄区边界线不少于两条基线。旁向覆盖超出摄区边界线一般不少于像幅的50%；在便于施测像片控制点及不影响内业正常加密时，旁向覆盖超出摄区边界线不少于像幅的30%；（4）航高保持：同一航线上相邻像片的航高差不大于30m，最大航高与最小航高之差不大于50m，实际航高与设计航高之差不大于50m；（5）航摄平坦地区太阳高度角须大于30°，建筑密集地区太阳高度角大于40°，以保证具有充足的光照度，又避免过大的阴影；</w:t>
            </w:r>
          </w:p>
          <w:p>
            <w:pPr>
              <w:pStyle w:val="null3"/>
              <w:jc w:val="left"/>
            </w:pPr>
            <w:r>
              <w:rPr>
                <w:rFonts w:ascii="仿宋_GB2312" w:hAnsi="仿宋_GB2312" w:cs="仿宋_GB2312" w:eastAsia="仿宋_GB2312"/>
              </w:rPr>
              <w:t>（三）数据采集内容</w:t>
            </w:r>
          </w:p>
          <w:p>
            <w:pPr>
              <w:pStyle w:val="null3"/>
              <w:jc w:val="left"/>
            </w:pPr>
            <w:r>
              <w:rPr>
                <w:rFonts w:ascii="仿宋_GB2312" w:hAnsi="仿宋_GB2312" w:cs="仿宋_GB2312" w:eastAsia="仿宋_GB2312"/>
              </w:rPr>
              <w:t>采集对象应按照公路要素进行分类，包括路基、路面、桥梁、隧道、交通工程及沿线设施、环境保护与景观工程等。普通国省道基础设施三维数字化采集对象应包括其地理空间信息位置、几何尺寸、属性等数据。</w:t>
            </w:r>
          </w:p>
          <w:p>
            <w:pPr>
              <w:pStyle w:val="null3"/>
              <w:jc w:val="left"/>
            </w:pPr>
            <w:r>
              <w:rPr>
                <w:rFonts w:ascii="仿宋_GB2312" w:hAnsi="仿宋_GB2312" w:cs="仿宋_GB2312" w:eastAsia="仿宋_GB2312"/>
              </w:rPr>
              <w:t>（四）数据技术指标要求</w:t>
            </w:r>
          </w:p>
          <w:p>
            <w:pPr>
              <w:pStyle w:val="null3"/>
              <w:jc w:val="left"/>
            </w:pPr>
            <w:r>
              <w:rPr>
                <w:rFonts w:ascii="仿宋_GB2312" w:hAnsi="仿宋_GB2312" w:cs="仿宋_GB2312" w:eastAsia="仿宋_GB2312"/>
              </w:rPr>
              <w:t>1.坐标系统应采用CGCS2000 坐标系，高程基准应采用1985国家高程基准或大地高程基准；</w:t>
            </w:r>
          </w:p>
          <w:p>
            <w:pPr>
              <w:pStyle w:val="null3"/>
              <w:jc w:val="left"/>
            </w:pPr>
            <w:r>
              <w:rPr>
                <w:rFonts w:ascii="仿宋_GB2312" w:hAnsi="仿宋_GB2312" w:cs="仿宋_GB2312" w:eastAsia="仿宋_GB2312"/>
              </w:rPr>
              <w:t>2.点云精度范围:90%在10cm以内，95%在20cm以内；</w:t>
            </w:r>
          </w:p>
          <w:p>
            <w:pPr>
              <w:pStyle w:val="null3"/>
              <w:jc w:val="left"/>
            </w:pPr>
            <w:r>
              <w:rPr>
                <w:rFonts w:ascii="仿宋_GB2312" w:hAnsi="仿宋_GB2312" w:cs="仿宋_GB2312" w:eastAsia="仿宋_GB2312"/>
              </w:rPr>
              <w:t>3.数据呈现效果:真彩色点云，数据成果着色均匀，没有明显错误；</w:t>
            </w:r>
          </w:p>
          <w:p>
            <w:pPr>
              <w:pStyle w:val="null3"/>
              <w:jc w:val="left"/>
            </w:pPr>
            <w:r>
              <w:rPr>
                <w:rFonts w:ascii="仿宋_GB2312" w:hAnsi="仿宋_GB2312" w:cs="仿宋_GB2312" w:eastAsia="仿宋_GB2312"/>
              </w:rPr>
              <w:t>4.建模正确率&gt;98%：确保颜色准确、边缘清晰，无模糊、拉伸现象，可通过材质ID单独控制，便于后续修改，交叉口（十字、T型、环岛、立交）需实现自动圆滑过渡，无破面、无缝隙，转弯半径、车道衔接结合点云提取的实景数据，符合交通设计规范，避免出现车道错位、路面重叠等问题；</w:t>
            </w:r>
          </w:p>
          <w:p>
            <w:pPr>
              <w:pStyle w:val="null3"/>
              <w:jc w:val="left"/>
            </w:pPr>
            <w:r>
              <w:rPr>
                <w:rFonts w:ascii="仿宋_GB2312" w:hAnsi="仿宋_GB2312" w:cs="仿宋_GB2312" w:eastAsia="仿宋_GB2312"/>
              </w:rPr>
              <w:t>5.建模模型与点云实景标线完全对齐，偏差≤5cm，道路纵坡、横坡、超高（弯道）、加宽（弯道）需按设计参数及点云实景高程数据生成，确保坡度均匀、过渡自然，贴合实际地形条件，杜绝与实景地形脱节；</w:t>
            </w:r>
          </w:p>
          <w:p>
            <w:pPr>
              <w:pStyle w:val="null3"/>
              <w:jc w:val="left"/>
            </w:pPr>
            <w:r>
              <w:rPr>
                <w:rFonts w:ascii="仿宋_GB2312" w:hAnsi="仿宋_GB2312" w:cs="仿宋_GB2312" w:eastAsia="仿宋_GB2312"/>
              </w:rPr>
              <w:t>6.建模路面材质：根据实际道路类型（沥青/水泥）及点云实景纹理特征，选择对应纹理，纹理需清晰，区分路面与车道线，确保纹理贴合实景，特大桥、大桥、特殊桥梁，桥下按实景照片贴图；</w:t>
            </w:r>
          </w:p>
          <w:p>
            <w:pPr>
              <w:pStyle w:val="null3"/>
              <w:jc w:val="left"/>
            </w:pPr>
            <w:r>
              <w:rPr>
                <w:rFonts w:ascii="仿宋_GB2312" w:hAnsi="仿宋_GB2312" w:cs="仿宋_GB2312" w:eastAsia="仿宋_GB2312"/>
              </w:rPr>
              <w:t>7.倾斜摄影模型精度5cm；</w:t>
            </w:r>
          </w:p>
          <w:p>
            <w:pPr>
              <w:pStyle w:val="null3"/>
              <w:jc w:val="left"/>
            </w:pPr>
            <w:r>
              <w:rPr>
                <w:rFonts w:ascii="仿宋_GB2312" w:hAnsi="仿宋_GB2312" w:cs="仿宋_GB2312" w:eastAsia="仿宋_GB2312"/>
              </w:rPr>
              <w:t>8.倾斜摄影模型与点云模型贴合，无明显裂缝。</w:t>
            </w:r>
          </w:p>
          <w:p>
            <w:pPr>
              <w:pStyle w:val="null3"/>
              <w:jc w:val="left"/>
            </w:pPr>
            <w:r>
              <w:rPr>
                <w:rFonts w:ascii="仿宋_GB2312" w:hAnsi="仿宋_GB2312" w:cs="仿宋_GB2312" w:eastAsia="仿宋_GB2312"/>
              </w:rPr>
              <w:t>（四）数据格式要求</w:t>
            </w:r>
          </w:p>
          <w:p>
            <w:pPr>
              <w:pStyle w:val="null3"/>
              <w:jc w:val="left"/>
            </w:pPr>
            <w:r>
              <w:rPr>
                <w:rFonts w:ascii="仿宋_GB2312" w:hAnsi="仿宋_GB2312" w:cs="仿宋_GB2312" w:eastAsia="仿宋_GB2312"/>
              </w:rPr>
              <w:t>1.车载三维模型数据。车载三维模型采用max或者fbx模型，处理生成3D Tiles数据格式文件发布于陕西省公路综合业务管理平台。</w:t>
            </w:r>
          </w:p>
          <w:p>
            <w:pPr>
              <w:pStyle w:val="null3"/>
              <w:jc w:val="left"/>
            </w:pPr>
            <w:r>
              <w:rPr>
                <w:rFonts w:ascii="仿宋_GB2312" w:hAnsi="仿宋_GB2312" w:cs="仿宋_GB2312" w:eastAsia="仿宋_GB2312"/>
              </w:rPr>
              <w:t>2.倾斜摄影模型。倾斜摄影模型应采用osgb格式，处理生成3D Tiles数据格式文件发布于陕西省公路综合业务管理平台。</w:t>
            </w:r>
          </w:p>
          <w:p>
            <w:pPr>
              <w:pStyle w:val="null3"/>
              <w:jc w:val="left"/>
            </w:pPr>
            <w:r>
              <w:rPr>
                <w:rFonts w:ascii="仿宋_GB2312" w:hAnsi="仿宋_GB2312" w:cs="仿宋_GB2312" w:eastAsia="仿宋_GB2312"/>
              </w:rPr>
              <w:t>3.公路图像。全景图像、前方图像、航拍影像均应采用JPG格式。</w:t>
            </w:r>
          </w:p>
          <w:p>
            <w:pPr>
              <w:pStyle w:val="null3"/>
              <w:jc w:val="left"/>
            </w:pPr>
            <w:r>
              <w:rPr>
                <w:rFonts w:ascii="仿宋_GB2312" w:hAnsi="仿宋_GB2312" w:cs="仿宋_GB2312" w:eastAsia="仿宋_GB2312"/>
              </w:rPr>
              <w:t>4.激光点云。激光点云采用las格式。</w:t>
            </w:r>
          </w:p>
          <w:p>
            <w:pPr>
              <w:pStyle w:val="null3"/>
              <w:jc w:val="left"/>
            </w:pPr>
            <w:r>
              <w:rPr>
                <w:rFonts w:ascii="仿宋_GB2312" w:hAnsi="仿宋_GB2312" w:cs="仿宋_GB2312" w:eastAsia="仿宋_GB2312"/>
              </w:rPr>
              <w:t>5.车载采集轨迹。采集轨迹采用trj格式。</w:t>
            </w:r>
          </w:p>
          <w:p>
            <w:pPr>
              <w:pStyle w:val="null3"/>
              <w:jc w:val="left"/>
            </w:pPr>
            <w:r>
              <w:rPr>
                <w:rFonts w:ascii="仿宋_GB2312" w:hAnsi="仿宋_GB2312" w:cs="仿宋_GB2312" w:eastAsia="仿宋_GB2312"/>
              </w:rPr>
              <w:t>四、成果提交</w:t>
            </w:r>
          </w:p>
          <w:p>
            <w:pPr>
              <w:pStyle w:val="null3"/>
              <w:jc w:val="left"/>
            </w:pPr>
            <w:r>
              <w:rPr>
                <w:rFonts w:ascii="仿宋_GB2312" w:hAnsi="仿宋_GB2312" w:cs="仿宋_GB2312" w:eastAsia="仿宋_GB2312"/>
              </w:rPr>
              <w:t>1.数据成果</w:t>
            </w:r>
          </w:p>
          <w:p>
            <w:pPr>
              <w:pStyle w:val="null3"/>
              <w:jc w:val="left"/>
            </w:pPr>
            <w:r>
              <w:rPr>
                <w:rFonts w:ascii="仿宋_GB2312" w:hAnsi="仿宋_GB2312" w:cs="仿宋_GB2312" w:eastAsia="仿宋_GB2312"/>
              </w:rPr>
              <w:t>项目需提交的详细成果如下：</w:t>
            </w:r>
          </w:p>
          <w:p>
            <w:pPr>
              <w:pStyle w:val="null3"/>
              <w:jc w:val="left"/>
            </w:pPr>
            <w:r>
              <w:rPr>
                <w:rFonts w:ascii="仿宋_GB2312" w:hAnsi="仿宋_GB2312" w:cs="仿宋_GB2312" w:eastAsia="仿宋_GB2312"/>
              </w:rPr>
              <w:t>原始数据：普通国道采集获取的原始采集轨迹（</w:t>
            </w:r>
            <w:r>
              <w:rPr>
                <w:rFonts w:ascii="仿宋_GB2312" w:hAnsi="仿宋_GB2312" w:cs="仿宋_GB2312" w:eastAsia="仿宋_GB2312"/>
              </w:rPr>
              <w:t>*trj）、原始点云（*las）、全景图像（*jpg）、前方图像（*jpg）、传感器标定数据（*txt）；倾斜摄影采集获取的航拍影像（*jpg）、原始采集轨迹（*trj）。</w:t>
            </w:r>
          </w:p>
          <w:p>
            <w:pPr>
              <w:pStyle w:val="null3"/>
              <w:jc w:val="left"/>
            </w:pPr>
            <w:r>
              <w:rPr>
                <w:rFonts w:ascii="仿宋_GB2312" w:hAnsi="仿宋_GB2312" w:cs="仿宋_GB2312" w:eastAsia="仿宋_GB2312"/>
              </w:rPr>
              <w:t>过程数据：倾斜摄影模型（</w:t>
            </w:r>
            <w:r>
              <w:rPr>
                <w:rFonts w:ascii="仿宋_GB2312" w:hAnsi="仿宋_GB2312" w:cs="仿宋_GB2312" w:eastAsia="仿宋_GB2312"/>
              </w:rPr>
              <w:t>*osgb）、道路路面及周边交安设施等的max或者fbx模型、优化解算后轨迹（*trj）、优化解算后点云（*las）。</w:t>
            </w:r>
          </w:p>
          <w:p>
            <w:pPr>
              <w:pStyle w:val="null3"/>
              <w:jc w:val="left"/>
            </w:pPr>
            <w:r>
              <w:rPr>
                <w:rFonts w:ascii="仿宋_GB2312" w:hAnsi="仿宋_GB2312" w:cs="仿宋_GB2312" w:eastAsia="仿宋_GB2312"/>
              </w:rPr>
              <w:t>模型数据：三维模型数据（</w:t>
            </w:r>
            <w:r>
              <w:rPr>
                <w:rFonts w:ascii="仿宋_GB2312" w:hAnsi="仿宋_GB2312" w:cs="仿宋_GB2312" w:eastAsia="仿宋_GB2312"/>
              </w:rPr>
              <w:t>3D Tiles）、全要素属性基础数据库（*xlsx）。</w:t>
            </w:r>
          </w:p>
          <w:p>
            <w:pPr>
              <w:pStyle w:val="null3"/>
              <w:jc w:val="left"/>
            </w:pPr>
            <w:r>
              <w:rPr>
                <w:rFonts w:ascii="仿宋_GB2312" w:hAnsi="仿宋_GB2312" w:cs="仿宋_GB2312" w:eastAsia="仿宋_GB2312"/>
              </w:rPr>
              <w:t>本项目最终模型数据成果应部署于陕西省公路综合业务管理平台（具体工作由本项目中标方负责）并满足平台技术要求。</w:t>
            </w:r>
          </w:p>
          <w:p>
            <w:pPr>
              <w:pStyle w:val="null3"/>
              <w:jc w:val="left"/>
            </w:pPr>
            <w:r>
              <w:rPr>
                <w:rFonts w:ascii="仿宋_GB2312" w:hAnsi="仿宋_GB2312" w:cs="仿宋_GB2312" w:eastAsia="仿宋_GB2312"/>
              </w:rPr>
              <w:t>2.文档成果</w:t>
            </w:r>
          </w:p>
          <w:p>
            <w:pPr>
              <w:pStyle w:val="null3"/>
              <w:jc w:val="left"/>
            </w:pPr>
            <w:r>
              <w:rPr>
                <w:rFonts w:ascii="仿宋_GB2312" w:hAnsi="仿宋_GB2312" w:cs="仿宋_GB2312" w:eastAsia="仿宋_GB2312"/>
              </w:rPr>
              <w:t>1）陕西省国道三维数字化采集与建模试点技术总结；</w:t>
            </w:r>
          </w:p>
          <w:p>
            <w:pPr>
              <w:pStyle w:val="null3"/>
              <w:jc w:val="left"/>
            </w:pPr>
            <w:r>
              <w:rPr>
                <w:rFonts w:ascii="仿宋_GB2312" w:hAnsi="仿宋_GB2312" w:cs="仿宋_GB2312" w:eastAsia="仿宋_GB2312"/>
              </w:rPr>
              <w:t>2）陕西省普通国省道三维数字化采集技术指南。</w:t>
            </w:r>
          </w:p>
          <w:p>
            <w:pPr>
              <w:pStyle w:val="null3"/>
              <w:jc w:val="left"/>
            </w:pPr>
            <w:r>
              <w:rPr>
                <w:rFonts w:ascii="仿宋_GB2312" w:hAnsi="仿宋_GB2312" w:cs="仿宋_GB2312" w:eastAsia="仿宋_GB2312"/>
              </w:rPr>
              <w:t>五、服务期限</w:t>
            </w:r>
          </w:p>
          <w:p>
            <w:pPr>
              <w:pStyle w:val="null3"/>
              <w:jc w:val="left"/>
            </w:pPr>
            <w:r>
              <w:rPr>
                <w:rFonts w:ascii="仿宋_GB2312" w:hAnsi="仿宋_GB2312" w:cs="仿宋_GB2312" w:eastAsia="仿宋_GB2312"/>
              </w:rPr>
              <w:t>自合同签订后</w:t>
            </w:r>
            <w:r>
              <w:rPr>
                <w:rFonts w:ascii="仿宋_GB2312" w:hAnsi="仿宋_GB2312" w:cs="仿宋_GB2312" w:eastAsia="仿宋_GB2312"/>
              </w:rPr>
              <w:t>60个工作日内完成普通国道激光点云采集工作；</w:t>
            </w:r>
          </w:p>
          <w:p>
            <w:pPr>
              <w:pStyle w:val="null3"/>
              <w:jc w:val="left"/>
            </w:pPr>
            <w:r>
              <w:rPr>
                <w:rFonts w:ascii="仿宋_GB2312" w:hAnsi="仿宋_GB2312" w:cs="仿宋_GB2312" w:eastAsia="仿宋_GB2312"/>
              </w:rPr>
              <w:t>自合同签订后</w:t>
            </w:r>
            <w:r>
              <w:rPr>
                <w:rFonts w:ascii="仿宋_GB2312" w:hAnsi="仿宋_GB2312" w:cs="仿宋_GB2312" w:eastAsia="仿宋_GB2312"/>
              </w:rPr>
              <w:t>90个工作日内完成并提交普通国道激光点云数据、全景图像处理成果（含原始数据）；完成并提交沿线桥梁和服务设施无人机倾斜摄影数据采集和处理结果；</w:t>
            </w:r>
          </w:p>
          <w:p>
            <w:pPr>
              <w:pStyle w:val="null3"/>
            </w:pPr>
            <w:r>
              <w:rPr>
                <w:rFonts w:ascii="仿宋_GB2312" w:hAnsi="仿宋_GB2312" w:cs="仿宋_GB2312" w:eastAsia="仿宋_GB2312"/>
                <w:sz w:val="21"/>
              </w:rPr>
              <w:t>自合同签订后</w:t>
            </w:r>
            <w:r>
              <w:rPr>
                <w:rFonts w:ascii="仿宋_GB2312" w:hAnsi="仿宋_GB2312" w:cs="仿宋_GB2312" w:eastAsia="仿宋_GB2312"/>
                <w:sz w:val="21"/>
              </w:rPr>
              <w:t>120个工作日内完成数据陕西省公路综合业务管理平台上传部署工作以及提交《陕西省普通国省道三维数字化采集技术指南》。</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人员配备应齐全、合理，满足项目服务要求。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满足项目服务要求。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满足采购人需求。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自合同签订后60个工作日内完成普通国道激光点云采集工作； 自合同签订后90个工作日内完成并提交普通国道激光点云数据、全景图像处理成果（含原始数据）；完成并提交沿线桥梁和服务设施无人机倾斜摄影数据采集和处理结果； 自合同签订后120个工作日内完成数据陕西省公路综合业务管理平台上传部署工作以及提交《陕西省普通国省道三维数字化采集技术指南》。</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满足采购人要求，并达到合格标准，详见采购合同。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进度款，甲方在收到乙方履约保证金及符合甲方要求的增值税专用/普通发票后一个月内，达到付款条件起30个工作日内，支付合同总金额的60.0%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进度款，2026年12月20日前，乙方提交工作总结报告和阶段成果资料，经甲方认可，达到付款条件起30个工作日内，支付合同总金额的40.0%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3.4.1.竞争性磋商项目实行二轮报价，第一次报价后，磋商小组可以变更采购需求中的技术、服务要求以及合同草案条款，二轮报价为最终报价。 3.4.2.磋商开始后，出现下列情形之一的，采购代理机构将终止竞争性磋商采购活动，发布项目终止公告并说明原因，重新开展采购活动： （1）因情况变化，不再符合规定的竞争性磋商采购方式适用情形的； （2）出现影响采购公正的违法、违规行为的； （3）在采购过程中符合要求的供应商不足3家的 （不包含政府购买服务项目）； （4）报价未超过采购预算的供应商不足3家的。 （5）因重大变故，采购任务取消的。 3.4.3. 提交最后报价的供应商为2家时，可以继续进行磋商的情形：（1）市场竞争不充分的科研项目，以及需要扶持的科技成果转化项目； （2）政府购买服务项目（含政府和社会资本项目）。</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服务内容及服务邀请应答表 类似项目情况表.docx 中小企业声明函 商务应答表 17信用担保和信用融资.docx 供应商应提交的相关资格证明材料 报价表 其他补充说明.docx 响应文件封面 残疾人福利性单位声明函 拟派项目负责人简历表.docx 服务方案 保证金缴纳凭证.docx 标的清单 拟派项目组人员一览表.docx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磋商截止日12个月内任意一月缴纳社会保障资金缴存单据或社保机构开具的社会保险参保缴费情况证明，依法不需要缴纳社会保障资金的单位应提供相关证明材料；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磋商截止日12个月内任意一个月依法缴纳税收的相关凭据（时间以税款所属日期为准），凭据应有税务机关或代收机关的公章或业务专用章。依法免税或无须缴纳税收的供应商，应提供相应证明文件；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提供2024年或2025年至磋商截止时间止任意年度经审计的财务会计报告（包括审计报告、资产负债表、利润表、现金流量表、所有者权益变动表及其附注），成立时间至提交投标文件截止时间不足一年的可提供成立后任意时段的资产负债表或其开标前三个月内基本开户银行出具的资信证明（以上二种形式的资料提供任何一种即可），事业单位提供2024年或2025年度资产负债表；</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违纪失信</w:t>
            </w:r>
          </w:p>
        </w:tc>
        <w:tc>
          <w:tcPr>
            <w:tcW w:type="dxa" w:w="3322"/>
          </w:tcPr>
          <w:p>
            <w:pPr>
              <w:pStyle w:val="null3"/>
            </w:pPr>
            <w:r>
              <w:rPr>
                <w:rFonts w:ascii="仿宋_GB2312" w:hAnsi="仿宋_GB2312" w:cs="仿宋_GB2312" w:eastAsia="仿宋_GB2312"/>
              </w:rPr>
              <w:t>参加本次政府采购活动前3年内在经营活动中没有重大违纪，以及未被列入失信被执行人、重大税收违法案件当事人名单、政府采购严重违法失信行为记录名单；</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具备履行合同所必需的设备和专业技术能力的承诺；</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法定代表人或授权代表委托书</w:t>
            </w:r>
          </w:p>
        </w:tc>
        <w:tc>
          <w:tcPr>
            <w:tcW w:type="dxa" w:w="3322"/>
          </w:tcPr>
          <w:p>
            <w:pPr>
              <w:pStyle w:val="null3"/>
            </w:pPr>
            <w:r>
              <w:rPr>
                <w:rFonts w:ascii="仿宋_GB2312" w:hAnsi="仿宋_GB2312" w:cs="仿宋_GB2312" w:eastAsia="仿宋_GB2312"/>
              </w:rPr>
              <w:t>法定代表人直接参加磋商的，须出具法人身份证并与营业执照上信息一致；法定代表人授权代表参加磋商的，须出具法定代表人授权书、授权代表身份证以及被授权人有效的劳动合同或者截止开标前六个月内任意一个月本单位社保缴纳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本项目不接受联合体磋商，供应商提供非联合体书面声明；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企业关联关系声明</w:t>
            </w:r>
          </w:p>
        </w:tc>
        <w:tc>
          <w:tcPr>
            <w:tcW w:type="dxa" w:w="3322"/>
          </w:tcPr>
          <w:p>
            <w:pPr>
              <w:pStyle w:val="null3"/>
            </w:pPr>
            <w:r>
              <w:rPr>
                <w:rFonts w:ascii="仿宋_GB2312" w:hAnsi="仿宋_GB2312" w:cs="仿宋_GB2312" w:eastAsia="仿宋_GB2312"/>
              </w:rPr>
              <w:t>单位负责人为同一人或者存在控股、管理关系的不同单位，不得同时参加本项目的磋商。提供法人代表、控股股东、控股企业及管理、被管理单位情况声明且各供应商之间不存在单位负责人为同一人或者存在控股、管理关系情形（提供声明或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具备行业主管部门颁发的乙级测绘资质证书</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在磋商过程中，磋商小组认为供应商的报价低于供应商投标（响应）报价平均值50%的或者低于采购项目最高限价45%的，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二、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供应商名称与营业执照、资质证书一致。</w:t>
            </w:r>
          </w:p>
        </w:tc>
        <w:tc>
          <w:tcPr>
            <w:tcW w:type="dxa" w:w="1661"/>
          </w:tcPr>
          <w:p>
            <w:pPr>
              <w:pStyle w:val="null3"/>
            </w:pPr>
            <w:r>
              <w:rPr>
                <w:rFonts w:ascii="仿宋_GB2312" w:hAnsi="仿宋_GB2312" w:cs="仿宋_GB2312" w:eastAsia="仿宋_GB2312"/>
              </w:rPr>
              <w:t>服务内容及服务邀请应答表 类似项目情况表.docx 中小企业声明函 商务应答表 供应商应提交的相关资格证明材料 17信用担保和信用融资.docx 报价表 其他补充说明.docx 响应文件封面 残疾人福利性单位声明函 服务方案 拟派项目负责人简历表.docx 标的清单 保证金缴纳凭证.docx 拟派项目组人员一览表.docx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竞争性磋商响应文件是否按竞争性磋商文件要求签署、盖章。</w:t>
            </w:r>
          </w:p>
        </w:tc>
        <w:tc>
          <w:tcPr>
            <w:tcW w:type="dxa" w:w="1661"/>
          </w:tcPr>
          <w:p>
            <w:pPr>
              <w:pStyle w:val="null3"/>
            </w:pPr>
            <w:r>
              <w:rPr>
                <w:rFonts w:ascii="仿宋_GB2312" w:hAnsi="仿宋_GB2312" w:cs="仿宋_GB2312" w:eastAsia="仿宋_GB2312"/>
              </w:rPr>
              <w:t>服务内容及服务邀请应答表 类似项目情况表.docx 中小企业声明函 商务应答表 供应商应提交的相关资格证明材料 17信用担保和信用融资.docx 报价表 其他补充说明.docx 响应文件封面 残疾人福利性单位声明函 服务方案 拟派项目负责人简历表.docx 标的清单 保证金缴纳凭证.docx 拟派项目组人员一览表.docx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一、磋商报价表填写符合要求； 二、计量单位、报价货币均符合磋商文件要求；三、磋商报价未超过采购预算或最高限价 (合格) ，磋商报价超过采购预算或最高限价(不合格)。</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不存在恶意串通的情形</w:t>
            </w:r>
          </w:p>
        </w:tc>
        <w:tc>
          <w:tcPr>
            <w:tcW w:type="dxa" w:w="3322"/>
          </w:tcPr>
          <w:p>
            <w:pPr>
              <w:pStyle w:val="null3"/>
            </w:pPr>
            <w:r>
              <w:rPr>
                <w:rFonts w:ascii="仿宋_GB2312" w:hAnsi="仿宋_GB2312" w:cs="仿宋_GB2312" w:eastAsia="仿宋_GB2312"/>
              </w:rPr>
              <w:t>不存在以下情形： 一、不同供应商的响应文件由同一单位或者个人编制； 二、不同供应商委托同一单位或者个人办理磋商事宜； 三、不同供应商的响应文件载明的项目管理成员或者联系人员为同一人；</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其他无效情形：无法律、法规和磋商文件规定的其他无效情形；</w:t>
            </w:r>
          </w:p>
        </w:tc>
        <w:tc>
          <w:tcPr>
            <w:tcW w:type="dxa" w:w="3322"/>
          </w:tcPr>
          <w:p>
            <w:pPr>
              <w:pStyle w:val="null3"/>
            </w:pPr>
            <w:r>
              <w:rPr>
                <w:rFonts w:ascii="仿宋_GB2312" w:hAnsi="仿宋_GB2312" w:cs="仿宋_GB2312" w:eastAsia="仿宋_GB2312"/>
              </w:rPr>
              <w:t>一、响应文件有效期：有效期满足磋商文件要求的；二、响应文件格式：响应文件按规定的格式填写；三、内容完整且关键字迹清晰；四、备选方案：供应商不得提交两份或者多份内容不同的响应文件；五、响应报价：在同一份响应文件中对同一磋商项目有两个或者多个报价；六、响应文件内容：供应商提供的货物无实质性遗漏；七、技术响应：符合“采购需求”要求，无重大偏差；八、服务期和服务地点 满足磋商文件要求；九、付款方式：磋商文件不允许偏差时，响应文件无负偏差；十、对磋商文件响应程度：应符合磋商文件实质性要求的规定。</w:t>
            </w:r>
          </w:p>
        </w:tc>
        <w:tc>
          <w:tcPr>
            <w:tcW w:type="dxa" w:w="1661"/>
          </w:tcPr>
          <w:p>
            <w:pPr>
              <w:pStyle w:val="null3"/>
            </w:pPr>
            <w:r>
              <w:rPr>
                <w:rFonts w:ascii="仿宋_GB2312" w:hAnsi="仿宋_GB2312" w:cs="仿宋_GB2312" w:eastAsia="仿宋_GB2312"/>
              </w:rPr>
              <w:t>服务内容及服务邀请应答表 类似项目情况表.docx 中小企业声明函 商务应答表 供应商应提交的相关资格证明材料 17信用担保和信用融资.docx 报价表 其他补充说明.docx 响应文件封面 残疾人福利性单位声明函 服务方案 拟派项目负责人简历表.docx 标的清单 保证金缴纳凭证.docx 拟派项目组人员一览表.docx 响应函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按规定缴纳磋商保证金的(合格)，未缴纳磋商保证金或保证金缴纳少于磋商文件要求(不合格)</w:t>
            </w:r>
          </w:p>
        </w:tc>
        <w:tc>
          <w:tcPr>
            <w:tcW w:type="dxa" w:w="1661"/>
          </w:tcPr>
          <w:p>
            <w:pPr>
              <w:pStyle w:val="null3"/>
            </w:pPr>
            <w:r>
              <w:rPr>
                <w:rFonts w:ascii="仿宋_GB2312" w:hAnsi="仿宋_GB2312" w:cs="仿宋_GB2312" w:eastAsia="仿宋_GB2312"/>
              </w:rPr>
              <w:t>保证金缴纳凭证.docx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总体方案</w:t>
            </w:r>
          </w:p>
        </w:tc>
        <w:tc>
          <w:tcPr>
            <w:tcW w:type="dxa" w:w="2492"/>
          </w:tcPr>
          <w:p>
            <w:pPr>
              <w:pStyle w:val="null3"/>
            </w:pPr>
            <w:r>
              <w:rPr>
                <w:rFonts w:ascii="仿宋_GB2312" w:hAnsi="仿宋_GB2312" w:cs="仿宋_GB2312" w:eastAsia="仿宋_GB2312"/>
              </w:rPr>
              <w:t>一、评审内容 针对本项目详细列出国道三维数字化试点的总体方案，方案包括：①服务总体思路②重难点分析及解决措施③服务标准及特色。 二、评审标准 1.完整性：方案须全面，对评审内容中的各项要求有详细描述及说明； 2.可实施性：切合本项目实际情况，实施步骤清晰、合理； 3.针对性：方案能够紧扣项目实际情况，内容科学合理。 三、赋分标准 1.总体思路：每完全满足一个评审标准得1分，满分3分，基本满足得0.5分，不满足不得分； 2.重难点分析及解决措施：每完全满足一个评审标准得1分，满分3分，基本满足得0.5分，不满足不得分； 3.服务标准及特色：每完全满足一个评审标准得1分，满分3分，基本满足得0.5分，不满足不得分。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技术方案</w:t>
            </w:r>
          </w:p>
        </w:tc>
        <w:tc>
          <w:tcPr>
            <w:tcW w:type="dxa" w:w="2492"/>
          </w:tcPr>
          <w:p>
            <w:pPr>
              <w:pStyle w:val="null3"/>
            </w:pPr>
            <w:r>
              <w:rPr>
                <w:rFonts w:ascii="仿宋_GB2312" w:hAnsi="仿宋_GB2312" w:cs="仿宋_GB2312" w:eastAsia="仿宋_GB2312"/>
              </w:rPr>
              <w:t>1.评审内容 供应商提供针对本项目的服务方案，方案内容包括但不限于： ①国道车载激光点云数据采集与三维建模方案；②重点桥梁、服务设施无人机倾斜摄影与建模方案；③规范性资料编制方案。 2.评审标准 ①完整性：方案必须全面，对评审内容中的各项要求有详细描述； ②可实施性：切合本项目实际情况，提出步骤清晰、合理的方案； ③针对性：方案能紧扣项目实际情况，内容科学合理。 3.赋分标准 ①国道车载激光点云数据采集与三维建模方案：每完全满足一个评审标准得 1 分，满分 3 分；基本满足得0.5分，不满足不得分。 ②重点桥梁、服务设施无人机倾斜摄影与建模方案：每完全满足一个评审标准得 1分，满分 3 分；基本满足得0.5分，不满足不得分。 ③规范性资料编制方案：每完全满足一个评审标准得 1 分，满分 3 分；基本满足得0.5分，不满足不得分。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服务人员组织方案</w:t>
            </w:r>
          </w:p>
        </w:tc>
        <w:tc>
          <w:tcPr>
            <w:tcW w:type="dxa" w:w="2492"/>
          </w:tcPr>
          <w:p>
            <w:pPr>
              <w:pStyle w:val="null3"/>
            </w:pPr>
            <w:r>
              <w:rPr>
                <w:rFonts w:ascii="仿宋_GB2312" w:hAnsi="仿宋_GB2312" w:cs="仿宋_GB2312" w:eastAsia="仿宋_GB2312"/>
              </w:rPr>
              <w:t>1.评审标准 ①完整性：方案必须全面，对评审内容中的各项要求有详细描述； ②可实施性：切合本项目实际情况，提出步骤清晰、合理的方案； ③针对性：方案能紧扣项目实际情况，内容科学合理。 2.赋分标准 每完全满足一个评审标准得 2 分，满分6 分；基本满足得1分，不满足不得分。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1.评审内容 针对本项目详细列出质量保障情况，包括：①质量保证体系②风险防控与应急措施。 2.评审标准： ①完整性：内容全面，覆盖质量、进度、风险防控全维度； ②可实施性：措施贴合项目实际，流程清晰、落地性强； ③针对性：紧扣项目实施需求，保障方案科学合理。 3.赋分标准： ①质量保证体系：每完全满足一项评审标准得2分，满分6分；基本满足得1分，不满足不得分。 ②风险防控与应急措施：每完全满足一项评审标准得2分，满分6分；基本满足得1分，不满足不得分。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1.评审内容：针对本项目详细列出相关服务承诺，包括：①服务响应承诺②服务保障时效③日常技术支持与对接服务④售后服务承诺 2.评审标准： ①完整性：服务承诺全面，覆盖项目全周期考核、数据、技术服务需求； ②时效性：服务响应、保障时限明确，符合项目考核工作要求； ③可行性：服务流程清晰，承诺举措贴合项目实际、切实可行。 3.赋分标准： ①考核服务响应承诺：每完全满足一项评审标准得1分，满分3分，基本满足得0.5分，不满足不得分； ②服务保障时效：每完全满足一项评审标准得1分，满分3分，基本满足得0.5分，不满足不得分； ③日常技术支持与对接：每完全满足一项评审标准得0.5分，满分1.5分，基本满足得0.3分，不满足不得分； ④售后服务承诺：每完全满足一项评审标准得0.5分，满分1.5分，基本满足得0.3分，不满足不得分。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2023年1月1日至响应文件递交截止前，承担过公路基础设施采集或三维数字化采集类似业绩至少3个，得8分；每增加1个，加2分，最多加6分。 注：未提供项目合同或业主履约证明资料，按无效项目处理，磋商评审不计分。（业绩证明资料须加盖供应商公章。)</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1.项目负责人（8分）：具有省级及以上人力资源和社会保障部门颁发的公路类或测绘类相关专业正高级技术职称的得3分，副高级技术职称的得2分，中级技术职称得1分； 2020年1月1日至响应文件递交截止日前，担任过1个公路基础设施采集类项目或三维数字化采集类项目负责人或技术负责人，得3分；每增加1项加1分，最多加2分。 2.技术负责人（7分）：具有省级及以上人力资源和社会保障部门颁发的公路类相关专业或测绘类相关专业副高级及以上技术职称的得2分，中级技术职称得1分； 2020年1月1日至响应文件递交截止日前，担任过1个担任过公路基础设施采集类项目或三维数字化采集类项目负责人或技术负责人，得3分；每增加1项加1分，最多加2分。 评审依据： 须提供所有项目组成员的身份证、相关证书复印件及业绩证明材料和磋商响应文件递交前3个月内任意1个月的社保缴纳证明或社保局出具的有效证明材料，未能提供有效证明材料或证明材料不完整的成员不计入评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服务团队</w:t>
            </w:r>
          </w:p>
        </w:tc>
        <w:tc>
          <w:tcPr>
            <w:tcW w:type="dxa" w:w="2492"/>
          </w:tcPr>
          <w:p>
            <w:pPr>
              <w:pStyle w:val="null3"/>
            </w:pPr>
            <w:r>
              <w:rPr>
                <w:rFonts w:ascii="仿宋_GB2312" w:hAnsi="仿宋_GB2312" w:cs="仿宋_GB2312" w:eastAsia="仿宋_GB2312"/>
              </w:rPr>
              <w:t>1.投标人应组建一支稳定的技术服务团队，除项目负责人、技术负责人外，项目组成员应不少于5人，满足得3分，不满足不得分。在此基础上每增加1人加1分，最多加3分。 2.除项目负责人、技术负责人外，项目组成员能够提供具有省级及以上人力资源和社会保障部门颁发的公路或测绘类相关专业副高级以上技术职称证书的，每人1人得1分，最多得5分，不满足得0分。 评审依据：须提供所有项目组成员的身份证、相关证书复印件和磋商响应文件递交前3个月内任意1个月的社保缴纳证明或社保局出具的有效证明材料，未能提供有效证明材料或证明材料不完整的成员不计入评分。</w:t>
            </w:r>
          </w:p>
        </w:tc>
        <w:tc>
          <w:tcPr>
            <w:tcW w:type="dxa" w:w="831"/>
          </w:tcPr>
          <w:p>
            <w:pPr>
              <w:pStyle w:val="null3"/>
              <w:jc w:val="right"/>
            </w:pPr>
            <w:r>
              <w:rPr>
                <w:rFonts w:ascii="仿宋_GB2312" w:hAnsi="仿宋_GB2312" w:cs="仿宋_GB2312" w:eastAsia="仿宋_GB2312"/>
              </w:rPr>
              <w:t>11.0000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价格分统一采用低价优先法计算，即满足磋商文件要求且价格最低的磋商报价为评标基准价，其价格分为满分。 其他供应商的价格分统一按照下列公式计算：报价得分=(评标基准价／磋商报价)×价格权值×100 计算分数时四舍五入取小数点后两位。</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详见附件：拟派项目组人员一览表.docx</w:t>
      </w:r>
    </w:p>
    <w:p>
      <w:pPr>
        <w:pStyle w:val="null3"/>
        <w:ind w:firstLine="960"/>
      </w:pPr>
      <w:r>
        <w:rPr>
          <w:rFonts w:ascii="仿宋_GB2312" w:hAnsi="仿宋_GB2312" w:cs="仿宋_GB2312" w:eastAsia="仿宋_GB2312"/>
        </w:rPr>
        <w:t>详见附件：拟派项目负责人简历表.docx</w:t>
      </w:r>
    </w:p>
    <w:p>
      <w:pPr>
        <w:pStyle w:val="null3"/>
        <w:ind w:firstLine="960"/>
      </w:pPr>
      <w:r>
        <w:rPr>
          <w:rFonts w:ascii="仿宋_GB2312" w:hAnsi="仿宋_GB2312" w:cs="仿宋_GB2312" w:eastAsia="仿宋_GB2312"/>
        </w:rPr>
        <w:t>详见附件：类似项目情况表.docx</w:t>
      </w:r>
    </w:p>
    <w:p>
      <w:pPr>
        <w:pStyle w:val="null3"/>
        <w:ind w:firstLine="960"/>
      </w:pPr>
      <w:r>
        <w:rPr>
          <w:rFonts w:ascii="仿宋_GB2312" w:hAnsi="仿宋_GB2312" w:cs="仿宋_GB2312" w:eastAsia="仿宋_GB2312"/>
        </w:rPr>
        <w:t>详见附件：保证金缴纳凭证.docx</w:t>
      </w:r>
    </w:p>
    <w:p>
      <w:pPr>
        <w:pStyle w:val="null3"/>
        <w:ind w:firstLine="960"/>
      </w:pPr>
      <w:r>
        <w:rPr>
          <w:rFonts w:ascii="仿宋_GB2312" w:hAnsi="仿宋_GB2312" w:cs="仿宋_GB2312" w:eastAsia="仿宋_GB2312"/>
        </w:rPr>
        <w:t>详见附件：17信用担保和信用融资.docx</w:t>
      </w:r>
    </w:p>
    <w:p>
      <w:pPr>
        <w:pStyle w:val="null3"/>
        <w:ind w:firstLine="960"/>
      </w:pPr>
      <w:r>
        <w:rPr>
          <w:rFonts w:ascii="仿宋_GB2312" w:hAnsi="仿宋_GB2312" w:cs="仿宋_GB2312" w:eastAsia="仿宋_GB2312"/>
        </w:rPr>
        <w:t>详见附件：其他补充说明.docx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详见附件：17合同文本.docx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