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964EC">
      <w:pPr>
        <w:pStyle w:val="16"/>
        <w:jc w:val="center"/>
        <w:outlineLvl w:val="1"/>
        <w:rPr>
          <w:highlight w:val="none"/>
        </w:rPr>
      </w:pPr>
      <w:r>
        <w:rPr>
          <w:rFonts w:ascii="仿宋_GB2312" w:hAnsi="仿宋_GB2312" w:eastAsia="仿宋_GB2312" w:cs="仿宋_GB2312"/>
          <w:b/>
          <w:sz w:val="36"/>
          <w:highlight w:val="none"/>
        </w:rPr>
        <w:t>第八章 拟签订采购合同文本</w:t>
      </w:r>
    </w:p>
    <w:p w14:paraId="23E02A2B">
      <w:pPr>
        <w:pStyle w:val="10"/>
        <w:keepNext w:val="0"/>
        <w:keepLines w:val="0"/>
        <w:pageBreakBefore w:val="0"/>
        <w:overflowPunct/>
        <w:bidi w:val="0"/>
        <w:spacing w:line="360" w:lineRule="auto"/>
        <w:ind w:left="0" w:right="0" w:firstLine="474" w:firstLineChars="200"/>
        <w:jc w:val="center"/>
        <w:rPr>
          <w:rFonts w:hint="eastAsia" w:ascii="方正仿宋_GB2312" w:hAnsi="方正仿宋_GB2312" w:eastAsia="方正仿宋_GB2312" w:cs="方正仿宋_GB2312"/>
          <w:b/>
          <w:bCs/>
          <w:spacing w:val="18"/>
          <w:kern w:val="2"/>
          <w:sz w:val="20"/>
          <w:szCs w:val="20"/>
          <w:highlight w:val="none"/>
          <w:lang w:val="en-US" w:eastAsia="zh-CN" w:bidi="ar-SA"/>
        </w:rPr>
      </w:pPr>
      <w:r>
        <w:rPr>
          <w:rFonts w:hint="eastAsia" w:ascii="方正仿宋_GB2312" w:hAnsi="方正仿宋_GB2312" w:eastAsia="方正仿宋_GB2312" w:cs="方正仿宋_GB2312"/>
          <w:b/>
          <w:bCs/>
          <w:spacing w:val="18"/>
          <w:kern w:val="2"/>
          <w:sz w:val="20"/>
          <w:szCs w:val="20"/>
          <w:highlight w:val="none"/>
          <w:lang w:val="en-US" w:eastAsia="zh-CN" w:bidi="ar-SA"/>
        </w:rPr>
        <w:t>商务及合同主要条款</w:t>
      </w:r>
    </w:p>
    <w:p w14:paraId="0B0894F2">
      <w:pPr>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本表是对合同条款的具体补充和修改，如有矛盾，应以本资料表为准。</w:t>
      </w:r>
    </w:p>
    <w:tbl>
      <w:tblPr>
        <w:tblStyle w:val="14"/>
        <w:tblW w:w="93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27"/>
        <w:gridCol w:w="8753"/>
      </w:tblGrid>
      <w:tr w14:paraId="1B516D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0" w:hRule="atLeast"/>
          <w:jc w:val="center"/>
        </w:trPr>
        <w:tc>
          <w:tcPr>
            <w:tcW w:w="627" w:type="dxa"/>
            <w:noWrap w:val="0"/>
            <w:vAlign w:val="center"/>
          </w:tcPr>
          <w:p w14:paraId="2EE2ECD8">
            <w:pPr>
              <w:spacing w:line="44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sz w:val="20"/>
                <w:szCs w:val="20"/>
                <w:highlight w:val="none"/>
              </w:rPr>
              <w:t>序号</w:t>
            </w:r>
          </w:p>
        </w:tc>
        <w:tc>
          <w:tcPr>
            <w:tcW w:w="8753" w:type="dxa"/>
            <w:noWrap w:val="0"/>
            <w:vAlign w:val="center"/>
          </w:tcPr>
          <w:p w14:paraId="11FE2A90">
            <w:pPr>
              <w:spacing w:line="440" w:lineRule="exact"/>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sz w:val="20"/>
                <w:szCs w:val="20"/>
                <w:highlight w:val="none"/>
              </w:rPr>
              <w:t>内      容</w:t>
            </w:r>
          </w:p>
        </w:tc>
      </w:tr>
      <w:tr w14:paraId="7EF4F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79" w:hRule="atLeast"/>
          <w:jc w:val="center"/>
        </w:trPr>
        <w:tc>
          <w:tcPr>
            <w:tcW w:w="627" w:type="dxa"/>
            <w:noWrap w:val="0"/>
            <w:vAlign w:val="center"/>
          </w:tcPr>
          <w:p w14:paraId="750A7C26">
            <w:pPr>
              <w:spacing w:line="44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sz w:val="20"/>
                <w:szCs w:val="20"/>
                <w:highlight w:val="none"/>
              </w:rPr>
              <w:t>1</w:t>
            </w:r>
          </w:p>
        </w:tc>
        <w:tc>
          <w:tcPr>
            <w:tcW w:w="8753" w:type="dxa"/>
            <w:noWrap w:val="0"/>
            <w:vAlign w:val="center"/>
          </w:tcPr>
          <w:p w14:paraId="3A6DF63E">
            <w:pPr>
              <w:spacing w:line="440" w:lineRule="exac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b/>
                <w:bCs/>
                <w:sz w:val="20"/>
                <w:szCs w:val="20"/>
                <w:highlight w:val="none"/>
              </w:rPr>
              <w:t>采购人（甲方）名称：</w:t>
            </w:r>
            <w:r>
              <w:rPr>
                <w:rFonts w:hint="eastAsia" w:ascii="方正仿宋_GB2312" w:hAnsi="方正仿宋_GB2312" w:eastAsia="方正仿宋_GB2312" w:cs="方正仿宋_GB2312"/>
                <w:sz w:val="20"/>
                <w:szCs w:val="20"/>
                <w:highlight w:val="none"/>
              </w:rPr>
              <w:t>陕西省公路局</w:t>
            </w:r>
          </w:p>
          <w:p w14:paraId="37C23026">
            <w:pPr>
              <w:spacing w:line="440" w:lineRule="exact"/>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b/>
                <w:bCs/>
                <w:sz w:val="20"/>
                <w:szCs w:val="20"/>
                <w:highlight w:val="none"/>
              </w:rPr>
              <w:t>地址：</w:t>
            </w:r>
            <w:r>
              <w:rPr>
                <w:rFonts w:hint="eastAsia" w:ascii="方正仿宋_GB2312" w:hAnsi="方正仿宋_GB2312" w:eastAsia="方正仿宋_GB2312" w:cs="方正仿宋_GB2312"/>
                <w:kern w:val="0"/>
                <w:sz w:val="20"/>
                <w:szCs w:val="20"/>
                <w:highlight w:val="none"/>
              </w:rPr>
              <w:t>西安市含光北路110号</w:t>
            </w:r>
          </w:p>
        </w:tc>
      </w:tr>
      <w:tr w14:paraId="6D820D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5" w:hRule="atLeast"/>
          <w:jc w:val="center"/>
        </w:trPr>
        <w:tc>
          <w:tcPr>
            <w:tcW w:w="627" w:type="dxa"/>
            <w:noWrap w:val="0"/>
            <w:vAlign w:val="center"/>
          </w:tcPr>
          <w:p w14:paraId="2983A385">
            <w:pPr>
              <w:spacing w:line="44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sz w:val="20"/>
                <w:szCs w:val="20"/>
                <w:highlight w:val="none"/>
              </w:rPr>
              <w:t>2</w:t>
            </w:r>
          </w:p>
        </w:tc>
        <w:tc>
          <w:tcPr>
            <w:tcW w:w="8753" w:type="dxa"/>
            <w:noWrap w:val="0"/>
            <w:vAlign w:val="center"/>
          </w:tcPr>
          <w:p w14:paraId="01F73FEA">
            <w:pPr>
              <w:spacing w:line="440" w:lineRule="exact"/>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b/>
                <w:bCs/>
                <w:sz w:val="20"/>
                <w:szCs w:val="20"/>
                <w:highlight w:val="none"/>
              </w:rPr>
              <w:t>供应商（乙方）：</w:t>
            </w:r>
            <w:r>
              <w:rPr>
                <w:rFonts w:hint="eastAsia" w:ascii="方正仿宋_GB2312" w:hAnsi="方正仿宋_GB2312" w:eastAsia="方正仿宋_GB2312" w:cs="方正仿宋_GB2312"/>
                <w:sz w:val="20"/>
                <w:szCs w:val="20"/>
                <w:highlight w:val="none"/>
              </w:rPr>
              <w:t>成交人</w:t>
            </w:r>
          </w:p>
        </w:tc>
      </w:tr>
      <w:tr w14:paraId="2D646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jc w:val="center"/>
        </w:trPr>
        <w:tc>
          <w:tcPr>
            <w:tcW w:w="627" w:type="dxa"/>
            <w:noWrap w:val="0"/>
            <w:vAlign w:val="center"/>
          </w:tcPr>
          <w:p w14:paraId="6CEBBCA6">
            <w:pPr>
              <w:spacing w:line="440" w:lineRule="exact"/>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sz w:val="20"/>
                <w:szCs w:val="20"/>
                <w:highlight w:val="none"/>
              </w:rPr>
              <w:t>3</w:t>
            </w:r>
          </w:p>
        </w:tc>
        <w:tc>
          <w:tcPr>
            <w:tcW w:w="8753" w:type="dxa"/>
            <w:noWrap w:val="0"/>
            <w:vAlign w:val="center"/>
          </w:tcPr>
          <w:p w14:paraId="6A8562AA">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一、项目概况</w:t>
            </w:r>
          </w:p>
          <w:p w14:paraId="74D57FE4">
            <w:pPr>
              <w:pStyle w:val="18"/>
              <w:spacing w:line="440" w:lineRule="exact"/>
              <w:jc w:val="both"/>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rPr>
              <w:t>（一）项目名称：</w:t>
            </w:r>
            <w:r>
              <w:rPr>
                <w:rFonts w:hint="eastAsia" w:ascii="方正仿宋_GB2312" w:hAnsi="方正仿宋_GB2312" w:eastAsia="方正仿宋_GB2312" w:cs="方正仿宋_GB2312"/>
                <w:color w:val="auto"/>
                <w:sz w:val="20"/>
                <w:szCs w:val="20"/>
                <w:highlight w:val="none"/>
                <w:lang w:eastAsia="zh-CN"/>
              </w:rPr>
              <w:t>国道三维数字化采集与建模试点</w:t>
            </w:r>
          </w:p>
          <w:p w14:paraId="2904F0B0">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（二）项目地点：采购人指定地点 </w:t>
            </w:r>
          </w:p>
          <w:p w14:paraId="55850856">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三）服务内容：1.国道车载激光点云数据采集与三维建模。根据基础设施数字化采集要求，选取不低于300公里的普通国道采用车载激光点云进行数据采集，采集公路基础设施的地理位置信息与全景图像数据，其中，双向两车道及以下公路单向采集，采集任意车道，双向四车道及以上公路双向采集，采集中央隔离带或道路中线向外第二车道。通过对激光点云数据进行分析处理，提取公路基础设施三维模型，并赋予基本信息和管养属性，形成全要素基础数据库。</w:t>
            </w:r>
          </w:p>
          <w:p w14:paraId="48203A72">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重点桥梁、服务设施无人机倾斜摄影与建模。利用无人机倾斜摄影设备，对选定的普通国道沿线涉及的重点桥梁以及服务区、停车区等服务设施采集公路基础设施原始航拍影像数据，并通过影像密集匹配，由空三建立的影像之间的三角关系构成三角TIN，再由三角TIN构成白模，从影像中计算对应的纹理，并自动将纹理映射到对应的白模上，最终形成真实三维场景。</w:t>
            </w:r>
          </w:p>
          <w:p w14:paraId="25428F37">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3.规范性资料编制。依托本次采集建模工作，形成陕西省普通国省道基础设施三维数字化采集技术指南，指导后续全省普通国省干线三维数字化采集相关工作推进。</w:t>
            </w:r>
          </w:p>
        </w:tc>
      </w:tr>
      <w:tr w14:paraId="17F1D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jc w:val="center"/>
        </w:trPr>
        <w:tc>
          <w:tcPr>
            <w:tcW w:w="627" w:type="dxa"/>
            <w:noWrap w:val="0"/>
            <w:vAlign w:val="center"/>
          </w:tcPr>
          <w:p w14:paraId="40DD47A5">
            <w:pPr>
              <w:spacing w:line="440" w:lineRule="exact"/>
              <w:jc w:val="center"/>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4</w:t>
            </w:r>
          </w:p>
        </w:tc>
        <w:tc>
          <w:tcPr>
            <w:tcW w:w="8753" w:type="dxa"/>
            <w:noWrap w:val="0"/>
            <w:vAlign w:val="center"/>
          </w:tcPr>
          <w:p w14:paraId="6C6AC70E">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二、合同金额</w:t>
            </w:r>
          </w:p>
          <w:p w14:paraId="5FF9B07D">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合同总价款(含税价): </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 xml:space="preserve"> (¥</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元)。</w:t>
            </w:r>
          </w:p>
          <w:p w14:paraId="01C4DC83">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合同价格为含税价，乙方报价包含完成本项目所需的全部费用（包括但不限于劳务费、国家按现行税收政策征收的一切税、服务费、分析报告出具费用等一切费用），甲方无需再向乙方支付其他任何费用。</w:t>
            </w:r>
          </w:p>
        </w:tc>
      </w:tr>
      <w:tr w14:paraId="17E40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jc w:val="center"/>
        </w:trPr>
        <w:tc>
          <w:tcPr>
            <w:tcW w:w="627" w:type="dxa"/>
            <w:noWrap w:val="0"/>
            <w:vAlign w:val="center"/>
          </w:tcPr>
          <w:p w14:paraId="6D1DEDC1">
            <w:pPr>
              <w:spacing w:line="440" w:lineRule="exact"/>
              <w:jc w:val="center"/>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5</w:t>
            </w:r>
          </w:p>
        </w:tc>
        <w:tc>
          <w:tcPr>
            <w:tcW w:w="8753" w:type="dxa"/>
            <w:noWrap w:val="0"/>
            <w:vAlign w:val="center"/>
          </w:tcPr>
          <w:p w14:paraId="15458E2B">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三、服务期限</w:t>
            </w:r>
          </w:p>
          <w:p w14:paraId="2C772D0A">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自合同签订后60个工作日内完成普通国道激光点云采集工作；</w:t>
            </w:r>
          </w:p>
          <w:p w14:paraId="328DD94F">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自合同签订后90个工作日内完成并提交普通国道激光点云数据、全景图像处理成果（含原始数据）；完成并提交沿线桥梁和服务设施无人机倾斜摄影数据采集和处理结果；</w:t>
            </w:r>
          </w:p>
          <w:p w14:paraId="6488935A">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自合同签订后120个工作日内完成数据陕西省公路综合业务管理平台上传部署工作以及提交《陕西省普通国省道三维数字化采集技术指南》。</w:t>
            </w:r>
          </w:p>
        </w:tc>
      </w:tr>
      <w:tr w14:paraId="37210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27" w:type="dxa"/>
            <w:noWrap w:val="0"/>
            <w:vAlign w:val="center"/>
          </w:tcPr>
          <w:p w14:paraId="3999912C">
            <w:pPr>
              <w:spacing w:line="440" w:lineRule="exact"/>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sz w:val="20"/>
                <w:szCs w:val="20"/>
                <w:highlight w:val="none"/>
                <w:lang w:val="en-US" w:eastAsia="zh-CN"/>
              </w:rPr>
              <w:t>6</w:t>
            </w:r>
          </w:p>
        </w:tc>
        <w:tc>
          <w:tcPr>
            <w:tcW w:w="8753" w:type="dxa"/>
            <w:noWrap w:val="0"/>
            <w:vAlign w:val="center"/>
          </w:tcPr>
          <w:p w14:paraId="64E3A3F4">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四、结算方式</w:t>
            </w:r>
          </w:p>
          <w:p w14:paraId="123EE4AB">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（一）结算单位:</w:t>
            </w:r>
          </w:p>
          <w:p w14:paraId="3BD127F4">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由甲方负责结算。费用结算采用银行转账方式，分期付款。乙方应在甲方每次付款前，按照甲方要求的发票类型和金额，向甲方开具合法有效的发票，税费由乙方承担。否则，甲方有权拒绝付款且不承担迟延支付的违约责任。</w:t>
            </w:r>
          </w:p>
          <w:p w14:paraId="7A20199B">
            <w:pPr>
              <w:tabs>
                <w:tab w:val="left" w:pos="5145"/>
              </w:tabs>
              <w:spacing w:line="440" w:lineRule="exac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（二）付款方式:</w:t>
            </w:r>
          </w:p>
          <w:p w14:paraId="1DC76C0C">
            <w:pPr>
              <w:tabs>
                <w:tab w:val="left" w:pos="5145"/>
              </w:tabs>
              <w:spacing w:line="440" w:lineRule="exac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甲方在收到乙方履约保证金及符合甲方要求的增值税专用/普通发票后一个月内，甲方支付乙方合同总金额的60%；2026年12月20日前，乙方提交工作总结报告和阶段成果资料，经甲方认可，甲方支付乙方合同总金额的40%。</w:t>
            </w:r>
          </w:p>
          <w:p w14:paraId="37D40F6B">
            <w:pPr>
              <w:tabs>
                <w:tab w:val="left" w:pos="5145"/>
              </w:tabs>
              <w:spacing w:line="440" w:lineRule="exact"/>
              <w:rPr>
                <w:rFonts w:hint="eastAsia"/>
                <w:highlight w:val="none"/>
              </w:rPr>
            </w:pPr>
            <w:r>
              <w:rPr>
                <w:rFonts w:hint="eastAsia" w:ascii="方正仿宋_GB2312" w:hAnsi="方正仿宋_GB2312" w:eastAsia="方正仿宋_GB2312" w:cs="方正仿宋_GB2312"/>
                <w:color w:val="auto"/>
                <w:sz w:val="20"/>
                <w:szCs w:val="20"/>
                <w:highlight w:val="none"/>
              </w:rPr>
              <w:t>2.合同签订前，乙方须向甲方缴纳合同总金额5%的履约保证金，履约保证金待乙方履行完全部合同义务，并经甲方验收合格且无任何纠纷后无息退还。</w:t>
            </w:r>
          </w:p>
        </w:tc>
      </w:tr>
      <w:tr w14:paraId="3A8DD6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27" w:type="dxa"/>
            <w:noWrap w:val="0"/>
            <w:vAlign w:val="center"/>
          </w:tcPr>
          <w:p w14:paraId="516BDF78">
            <w:pPr>
              <w:spacing w:line="440" w:lineRule="exact"/>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sz w:val="20"/>
                <w:szCs w:val="20"/>
                <w:highlight w:val="none"/>
                <w:lang w:val="en-US" w:eastAsia="zh-CN"/>
              </w:rPr>
              <w:t>7</w:t>
            </w:r>
          </w:p>
        </w:tc>
        <w:tc>
          <w:tcPr>
            <w:tcW w:w="8753" w:type="dxa"/>
            <w:shd w:val="clear" w:color="auto" w:fill="auto"/>
            <w:noWrap w:val="0"/>
            <w:vAlign w:val="center"/>
          </w:tcPr>
          <w:p w14:paraId="28279F03">
            <w:pPr>
              <w:spacing w:line="440" w:lineRule="exact"/>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lang w:val="en-US" w:eastAsia="zh-CN"/>
              </w:rPr>
              <w:t>五、主要工作内容</w:t>
            </w:r>
          </w:p>
          <w:p w14:paraId="47C96AB0">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国道车载激光点云数据采集与三维建模。根据基础设施数字化采集要求，选取不低于300公里的普通国道采用车载激光点云进行数据采集，采集公路基础设施的地理位置信息与全景图像数据，其中，双向两车道及以下公路单向采集，采集任意车道，双向四车道及以上公路双向采集，采集中央隔离带或道路中线向外第二车道。通过对激光点云数据进行分析处理，提取公路基础设施三维模型，并赋予基本信息和管养属性，形成全要素基础数据库。</w:t>
            </w:r>
          </w:p>
          <w:p w14:paraId="3F1C0E17">
            <w:pPr>
              <w:pStyle w:val="18"/>
              <w:spacing w:line="440" w:lineRule="exact"/>
              <w:jc w:val="both"/>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重点桥梁、服务设施无人机倾斜摄影与建模。利用无人机倾斜摄影设备，对选定的普通国道沿线涉及的重点桥梁以及服务区、停车区等服务设施采集公路基础设施原始航拍影像数据，并通过影像密集匹配，由空三建立的影像之间的三角关系构成三角TIN，再由三角TIN构成白模，从影像中计算对应的纹理，并自动将纹理映射到对应的白模上，最终形成真实三维场景。</w:t>
            </w:r>
          </w:p>
          <w:p w14:paraId="235E534D">
            <w:pPr>
              <w:spacing w:line="440" w:lineRule="exact"/>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rPr>
              <w:t>3.规范性资料编制。依托本次采集建模工作，形成陕西省普通国省道基础设施三维数字化采集技术指南，指导后续全省普通国省干线三维数字化采集相关工作推进。</w:t>
            </w:r>
          </w:p>
        </w:tc>
      </w:tr>
      <w:tr w14:paraId="4D9C8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3" w:hRule="atLeast"/>
          <w:jc w:val="center"/>
        </w:trPr>
        <w:tc>
          <w:tcPr>
            <w:tcW w:w="627" w:type="dxa"/>
            <w:noWrap w:val="0"/>
            <w:vAlign w:val="center"/>
          </w:tcPr>
          <w:p w14:paraId="4655ACC8">
            <w:pPr>
              <w:spacing w:line="440" w:lineRule="exact"/>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sz w:val="20"/>
                <w:szCs w:val="20"/>
                <w:highlight w:val="none"/>
                <w:lang w:val="en-US" w:eastAsia="zh-CN"/>
              </w:rPr>
              <w:t>8</w:t>
            </w:r>
          </w:p>
        </w:tc>
        <w:tc>
          <w:tcPr>
            <w:tcW w:w="8753" w:type="dxa"/>
            <w:noWrap w:val="0"/>
            <w:vAlign w:val="center"/>
          </w:tcPr>
          <w:p w14:paraId="38CD608D">
            <w:pPr>
              <w:tabs>
                <w:tab w:val="left" w:pos="5145"/>
              </w:tabs>
              <w:spacing w:line="440" w:lineRule="exac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六、其他要求</w:t>
            </w:r>
          </w:p>
          <w:p w14:paraId="4B7818DF">
            <w:pPr>
              <w:tabs>
                <w:tab w:val="left" w:pos="5145"/>
              </w:tabs>
              <w:spacing w:line="440" w:lineRule="exact"/>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满足交通运输部、陕西省交通运输主管部门印发的规范性文件以及招标文件相关技术要求，提交的检测报告需通过咨询单位的技术审查。</w:t>
            </w:r>
          </w:p>
        </w:tc>
      </w:tr>
      <w:tr w14:paraId="099C1F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jc w:val="center"/>
        </w:trPr>
        <w:tc>
          <w:tcPr>
            <w:tcW w:w="627" w:type="dxa"/>
            <w:noWrap w:val="0"/>
            <w:vAlign w:val="center"/>
          </w:tcPr>
          <w:p w14:paraId="67CCE9AB">
            <w:pPr>
              <w:spacing w:line="440" w:lineRule="exact"/>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sz w:val="20"/>
                <w:szCs w:val="20"/>
                <w:highlight w:val="none"/>
                <w:lang w:val="en-US" w:eastAsia="zh-CN"/>
              </w:rPr>
              <w:t>9</w:t>
            </w:r>
          </w:p>
        </w:tc>
        <w:tc>
          <w:tcPr>
            <w:tcW w:w="8753" w:type="dxa"/>
            <w:noWrap w:val="0"/>
            <w:vAlign w:val="center"/>
          </w:tcPr>
          <w:p w14:paraId="32DFD7C5">
            <w:pPr>
              <w:spacing w:line="440" w:lineRule="exac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七、验收</w:t>
            </w:r>
          </w:p>
          <w:p w14:paraId="4F8F8251">
            <w:pPr>
              <w:spacing w:line="440" w:lineRule="exact"/>
              <w:ind w:left="17" w:leftChars="8" w:firstLine="334" w:firstLineChars="167"/>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11488397">
            <w:pPr>
              <w:spacing w:line="440" w:lineRule="exact"/>
              <w:ind w:left="17" w:leftChars="8" w:firstLine="334" w:firstLineChars="167"/>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（二）甲方收到乙方的验收申请后，组织乙方（必要时请有关专家）进行项目验收。乙方提交合同履约情况总结报告，并经甲方确认。验收合格后，填写项目验收单作为对项目的最终认可。</w:t>
            </w:r>
          </w:p>
          <w:p w14:paraId="4D68AF77">
            <w:pPr>
              <w:spacing w:line="440" w:lineRule="exact"/>
              <w:ind w:left="17" w:leftChars="8" w:firstLine="334" w:firstLineChars="167"/>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（三）验收依据：①本合同及附件文本；②竞争性磋商文件、磋商响应文件、澄清表（函）；③国家相应的标准、规范。</w:t>
            </w:r>
          </w:p>
          <w:p w14:paraId="7771F908">
            <w:pPr>
              <w:spacing w:line="440" w:lineRule="exact"/>
              <w:ind w:left="17" w:leftChars="8" w:firstLine="334" w:firstLineChars="167"/>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tc>
      </w:tr>
      <w:tr w14:paraId="4F020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jc w:val="center"/>
        </w:trPr>
        <w:tc>
          <w:tcPr>
            <w:tcW w:w="627" w:type="dxa"/>
            <w:noWrap w:val="0"/>
            <w:vAlign w:val="center"/>
          </w:tcPr>
          <w:p w14:paraId="608C930F">
            <w:pPr>
              <w:spacing w:line="440" w:lineRule="exact"/>
              <w:jc w:val="center"/>
              <w:rPr>
                <w:rFonts w:hint="default"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10</w:t>
            </w:r>
          </w:p>
        </w:tc>
        <w:tc>
          <w:tcPr>
            <w:tcW w:w="8753" w:type="dxa"/>
            <w:noWrap w:val="0"/>
            <w:vAlign w:val="center"/>
          </w:tcPr>
          <w:p w14:paraId="7ACC80CA">
            <w:pPr>
              <w:spacing w:line="440" w:lineRule="exac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 xml:space="preserve"> 八、保密</w:t>
            </w:r>
          </w:p>
          <w:p w14:paraId="6C47C7E6">
            <w:pPr>
              <w:spacing w:line="440" w:lineRule="exac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乙方对工作中了解到的甲方的技术、数据、机密等进行严格保密，不得向他人泄漏。本合同的解除或终止不免除乙方应承担的保密义务。</w:t>
            </w:r>
          </w:p>
          <w:p w14:paraId="2A8FEAFE">
            <w:pPr>
              <w:spacing w:line="440" w:lineRule="exac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乙方违反保密规定的，除承担法律责任外，还应向甲方支付合同总金额</w:t>
            </w:r>
            <w:r>
              <w:rPr>
                <w:rFonts w:hint="eastAsia" w:ascii="方正仿宋_GB2312" w:hAnsi="方正仿宋_GB2312" w:eastAsia="方正仿宋_GB2312" w:cs="方正仿宋_GB2312"/>
                <w:sz w:val="20"/>
                <w:szCs w:val="20"/>
                <w:highlight w:val="none"/>
                <w:lang w:val="en-US" w:eastAsia="zh-CN"/>
              </w:rPr>
              <w:t>3</w:t>
            </w:r>
            <w:r>
              <w:rPr>
                <w:rFonts w:hint="eastAsia" w:ascii="方正仿宋_GB2312" w:hAnsi="方正仿宋_GB2312" w:eastAsia="方正仿宋_GB2312" w:cs="方正仿宋_GB2312"/>
                <w:sz w:val="20"/>
                <w:szCs w:val="20"/>
                <w:highlight w:val="none"/>
              </w:rPr>
              <w:t>%的违约金，给甲方造成损失的，乙方还应予以赔偿。</w:t>
            </w:r>
          </w:p>
        </w:tc>
      </w:tr>
      <w:tr w14:paraId="0336D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jc w:val="center"/>
        </w:trPr>
        <w:tc>
          <w:tcPr>
            <w:tcW w:w="627" w:type="dxa"/>
            <w:noWrap w:val="0"/>
            <w:vAlign w:val="center"/>
          </w:tcPr>
          <w:p w14:paraId="0BC84B9D">
            <w:pPr>
              <w:spacing w:line="440" w:lineRule="exact"/>
              <w:jc w:val="center"/>
              <w:rPr>
                <w:rFonts w:hint="default"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11</w:t>
            </w:r>
          </w:p>
        </w:tc>
        <w:tc>
          <w:tcPr>
            <w:tcW w:w="8753" w:type="dxa"/>
            <w:noWrap w:val="0"/>
            <w:vAlign w:val="center"/>
          </w:tcPr>
          <w:p w14:paraId="7EA7EAB8">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 xml:space="preserve"> 九、知识产权</w:t>
            </w:r>
          </w:p>
          <w:p w14:paraId="258478C0">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3%的违约金，给甲方造成损失的，乙方应予以赔偿。</w:t>
            </w:r>
          </w:p>
        </w:tc>
      </w:tr>
      <w:tr w14:paraId="27410B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jc w:val="center"/>
        </w:trPr>
        <w:tc>
          <w:tcPr>
            <w:tcW w:w="627" w:type="dxa"/>
            <w:noWrap w:val="0"/>
            <w:vAlign w:val="center"/>
          </w:tcPr>
          <w:p w14:paraId="7BB10817">
            <w:pPr>
              <w:spacing w:line="440" w:lineRule="exact"/>
              <w:jc w:val="center"/>
              <w:rPr>
                <w:rFonts w:hint="default"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12</w:t>
            </w:r>
          </w:p>
        </w:tc>
        <w:tc>
          <w:tcPr>
            <w:tcW w:w="8753" w:type="dxa"/>
            <w:noWrap w:val="0"/>
            <w:vAlign w:val="center"/>
          </w:tcPr>
          <w:p w14:paraId="38986A36">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 xml:space="preserve"> 十、违约责任</w:t>
            </w:r>
          </w:p>
          <w:p w14:paraId="5D9078B5">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（一）甲乙双方必须遵守本合同并执行合同中的各项规定，保证本合同的正常履行。</w:t>
            </w:r>
          </w:p>
          <w:p w14:paraId="183F9D9F">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8204496">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81638D2">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（四）乙方逾期完成服务的，每逾期一日，向甲方承担合同总金额 1 %的违约金，逾期   30  日的，甲方有权单方解除本合同且保留追究乙方违约责任的权利，给甲方造成损失的，乙方还应予以赔偿。</w:t>
            </w:r>
          </w:p>
          <w:p w14:paraId="375F08C2">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（五）乙方应保证其提交的服务成果不存在侵犯他人权益的情形，否则，因此引发的责任及纠纷由乙方承担，对甲方造成损失的，乙方应予以赔偿，此外，乙方还应向甲方承担合同总金额  3 %的违约金。</w:t>
            </w:r>
          </w:p>
          <w:p w14:paraId="525B923E">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 3  %的违约金。</w:t>
            </w:r>
          </w:p>
          <w:p w14:paraId="096FC1B1">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F81BE6B">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（八）乙方未按合同约定或甲 方要求提供服务的，每出现一次应承担合同总价款【 3】%的违约金，出现【3 】次的，甲方有权单方解除本合同，给甲方造成损失的，乙方还应予以赔偿。</w:t>
            </w:r>
          </w:p>
          <w:p w14:paraId="5A669AD5">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tc>
      </w:tr>
      <w:tr w14:paraId="4F0F4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jc w:val="center"/>
        </w:trPr>
        <w:tc>
          <w:tcPr>
            <w:tcW w:w="627" w:type="dxa"/>
            <w:noWrap w:val="0"/>
            <w:vAlign w:val="center"/>
          </w:tcPr>
          <w:p w14:paraId="402473EE">
            <w:pPr>
              <w:spacing w:line="440" w:lineRule="exact"/>
              <w:jc w:val="center"/>
              <w:rPr>
                <w:rFonts w:hint="default"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13</w:t>
            </w:r>
          </w:p>
        </w:tc>
        <w:tc>
          <w:tcPr>
            <w:tcW w:w="8753" w:type="dxa"/>
            <w:noWrap w:val="0"/>
            <w:vAlign w:val="center"/>
          </w:tcPr>
          <w:p w14:paraId="44C30302">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十一、合同争议的解决</w:t>
            </w:r>
          </w:p>
          <w:p w14:paraId="5A1B660E">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在执行本合同中发生的或与本合同有关的争端，双方应通过友好协商解决，经协商无法解决的，应向甲方所在地有管辖权的人民法院提请诉讼。</w:t>
            </w:r>
          </w:p>
        </w:tc>
      </w:tr>
      <w:tr w14:paraId="5CE5F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jc w:val="center"/>
        </w:trPr>
        <w:tc>
          <w:tcPr>
            <w:tcW w:w="627" w:type="dxa"/>
            <w:noWrap w:val="0"/>
            <w:vAlign w:val="center"/>
          </w:tcPr>
          <w:p w14:paraId="29DB7147">
            <w:pPr>
              <w:spacing w:line="440" w:lineRule="exact"/>
              <w:jc w:val="center"/>
              <w:rPr>
                <w:rFonts w:hint="default"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14</w:t>
            </w:r>
          </w:p>
        </w:tc>
        <w:tc>
          <w:tcPr>
            <w:tcW w:w="8753" w:type="dxa"/>
            <w:noWrap w:val="0"/>
            <w:vAlign w:val="center"/>
          </w:tcPr>
          <w:p w14:paraId="018C62F8">
            <w:pPr>
              <w:spacing w:line="440" w:lineRule="exact"/>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十二、不可抗力情况下的免责约定</w:t>
            </w:r>
          </w:p>
          <w:p w14:paraId="6A7B21CD">
            <w:pPr>
              <w:spacing w:line="440" w:lineRule="exact"/>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双方约定不可抗力情况指：双方不可预见、不可避免、不可克服的客观情况，但不包括双方的违约或疏忽。这些事件包括但不限于：战争、严重火灾、洪水、台风、地震等。</w:t>
            </w:r>
          </w:p>
          <w:p w14:paraId="6F43166F">
            <w:pPr>
              <w:spacing w:line="440" w:lineRule="exact"/>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（一）在合同有效期内，任何一方因不可抗力事件导致不能履行合同，则合同履行期可延长，其延长期与不可抗力影响期相同。</w:t>
            </w:r>
          </w:p>
          <w:p w14:paraId="4FEE07FF">
            <w:pPr>
              <w:spacing w:line="440" w:lineRule="exact"/>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（二）不可抗力事件发生后，应立即通知对方，并寄送有关权威机构出具的证明。</w:t>
            </w:r>
          </w:p>
          <w:p w14:paraId="5269E416">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（三）不可抗力事件延续60天以上，双方应通过友好协商，确定是否继续履行合同。</w:t>
            </w:r>
          </w:p>
        </w:tc>
      </w:tr>
      <w:tr w14:paraId="74B5A2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jc w:val="center"/>
        </w:trPr>
        <w:tc>
          <w:tcPr>
            <w:tcW w:w="627" w:type="dxa"/>
            <w:noWrap w:val="0"/>
            <w:vAlign w:val="center"/>
          </w:tcPr>
          <w:p w14:paraId="269B7A10">
            <w:pPr>
              <w:spacing w:line="440" w:lineRule="exact"/>
              <w:jc w:val="center"/>
              <w:rPr>
                <w:rFonts w:hint="default"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lang w:val="en-US" w:eastAsia="zh-CN"/>
              </w:rPr>
              <w:t>15</w:t>
            </w:r>
          </w:p>
        </w:tc>
        <w:tc>
          <w:tcPr>
            <w:tcW w:w="8753" w:type="dxa"/>
            <w:noWrap w:val="0"/>
            <w:vAlign w:val="center"/>
          </w:tcPr>
          <w:p w14:paraId="006634A9">
            <w:pPr>
              <w:spacing w:line="440" w:lineRule="exact"/>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十三、合同订立</w:t>
            </w:r>
          </w:p>
          <w:p w14:paraId="6C5D5B52">
            <w:pPr>
              <w:spacing w:line="440" w:lineRule="exact"/>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7AB4CAC1">
            <w:pPr>
              <w:spacing w:line="440" w:lineRule="exact"/>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（二）本合同签订后,双方依法签订的补充协议也是本合同文件的组成部分，当上述文件如有不明确或不一致之处，以合同约定次序在先者为准。</w:t>
            </w:r>
          </w:p>
          <w:p w14:paraId="203F1DAC">
            <w:pPr>
              <w:spacing w:line="440" w:lineRule="exact"/>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（三）本合同自双方的法定代表人（负责人）或授权代表签字并加盖单位公章之日起生效。</w:t>
            </w:r>
          </w:p>
          <w:p w14:paraId="6136A81A">
            <w:pPr>
              <w:spacing w:line="440" w:lineRule="exact"/>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（四）本合同一式 捌 份，其中，甲方执 肆 份，乙方执 肆 份，具有同等法律效力。</w:t>
            </w:r>
          </w:p>
        </w:tc>
      </w:tr>
    </w:tbl>
    <w:p w14:paraId="4038E173">
      <w:pPr>
        <w:pStyle w:val="16"/>
        <w:rPr>
          <w:rFonts w:hint="eastAsia" w:ascii="方正仿宋_GB2312" w:hAnsi="方正仿宋_GB2312" w:eastAsia="方正仿宋_GB2312" w:cs="方正仿宋_GB2312"/>
          <w:b/>
          <w:bCs/>
          <w:sz w:val="20"/>
          <w:szCs w:val="20"/>
          <w:highlight w:val="none"/>
        </w:rPr>
        <w:sectPr>
          <w:pgSz w:w="11906" w:h="16838"/>
          <w:pgMar w:top="1440" w:right="1800" w:bottom="1440" w:left="1800" w:header="851" w:footer="992" w:gutter="0"/>
          <w:cols w:space="425" w:num="1"/>
          <w:docGrid w:type="lines" w:linePitch="312" w:charSpace="0"/>
        </w:sectPr>
      </w:pPr>
    </w:p>
    <w:p w14:paraId="60668EBF">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35339B73">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168AEC71">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6BBA1249">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04824C3B">
      <w:pPr>
        <w:pStyle w:val="5"/>
        <w:rPr>
          <w:rFonts w:hint="eastAsia" w:ascii="Times New Roman" w:hAnsi="Times New Roman" w:eastAsia="宋体" w:cs="Times New Roman"/>
          <w:color w:val="auto"/>
          <w:kern w:val="2"/>
          <w:sz w:val="21"/>
          <w:szCs w:val="21"/>
          <w:highlight w:val="none"/>
          <w:lang w:val="en-US" w:eastAsia="zh-CN" w:bidi="ar-SA"/>
        </w:rPr>
      </w:pPr>
    </w:p>
    <w:p w14:paraId="06A73AAD">
      <w:pPr>
        <w:rPr>
          <w:rFonts w:hint="eastAsia"/>
          <w:highlight w:val="none"/>
          <w:lang w:val="en-US" w:eastAsia="zh-CN"/>
        </w:rPr>
      </w:pPr>
    </w:p>
    <w:p w14:paraId="6E1A61EF">
      <w:pPr>
        <w:pStyle w:val="8"/>
        <w:keepNext w:val="0"/>
        <w:keepLines w:val="0"/>
        <w:pageBreakBefore w:val="0"/>
        <w:widowControl w:val="0"/>
        <w:kinsoku/>
        <w:wordWrap/>
        <w:overflowPunct/>
        <w:topLinePunct w:val="0"/>
        <w:autoSpaceDE/>
        <w:autoSpaceDN/>
        <w:bidi w:val="0"/>
        <w:adjustRightInd/>
        <w:snapToGrid/>
        <w:spacing w:line="240" w:lineRule="auto"/>
        <w:ind w:left="0" w:leftChars="0" w:hanging="6" w:firstLineChars="0"/>
        <w:jc w:val="center"/>
        <w:textAlignment w:val="auto"/>
        <w:rPr>
          <w:rFonts w:hint="default"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（国道三维数字化采集与建模试点）</w:t>
      </w:r>
    </w:p>
    <w:p w14:paraId="5220E8F8">
      <w:pPr>
        <w:pStyle w:val="8"/>
        <w:keepNext w:val="0"/>
        <w:keepLines w:val="0"/>
        <w:pageBreakBefore w:val="0"/>
        <w:widowControl w:val="0"/>
        <w:kinsoku/>
        <w:wordWrap/>
        <w:overflowPunct/>
        <w:topLinePunct w:val="0"/>
        <w:autoSpaceDE/>
        <w:autoSpaceDN/>
        <w:bidi w:val="0"/>
        <w:adjustRightInd/>
        <w:snapToGrid/>
        <w:spacing w:line="240" w:lineRule="auto"/>
        <w:ind w:left="0" w:leftChars="0" w:hanging="6" w:firstLineChars="0"/>
        <w:jc w:val="center"/>
        <w:textAlignment w:val="auto"/>
        <w:rPr>
          <w:rFonts w:hint="eastAsia" w:ascii="宋体" w:hAnsi="宋体" w:eastAsia="宋体" w:cs="宋体"/>
          <w:b/>
          <w:bCs/>
          <w:color w:val="auto"/>
          <w:kern w:val="0"/>
          <w:sz w:val="44"/>
          <w:szCs w:val="44"/>
          <w:highlight w:val="none"/>
          <w:u w:val="none"/>
          <w:lang w:val="en-US" w:eastAsia="zh-CN"/>
        </w:rPr>
      </w:pPr>
    </w:p>
    <w:p w14:paraId="2A5B2732">
      <w:pPr>
        <w:pStyle w:val="8"/>
        <w:keepNext w:val="0"/>
        <w:keepLines w:val="0"/>
        <w:pageBreakBefore w:val="0"/>
        <w:widowControl w:val="0"/>
        <w:kinsoku/>
        <w:wordWrap/>
        <w:overflowPunct/>
        <w:topLinePunct w:val="0"/>
        <w:autoSpaceDE/>
        <w:autoSpaceDN/>
        <w:bidi w:val="0"/>
        <w:adjustRightInd/>
        <w:snapToGrid/>
        <w:spacing w:line="240" w:lineRule="auto"/>
        <w:ind w:left="0" w:leftChars="0" w:hanging="6" w:firstLineChars="0"/>
        <w:jc w:val="center"/>
        <w:textAlignment w:val="auto"/>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7CD5B105">
      <w:pPr>
        <w:spacing w:line="324" w:lineRule="auto"/>
        <w:rPr>
          <w:rFonts w:hint="eastAsia" w:ascii="Times New Roman" w:hAnsi="宋体" w:eastAsia="宋体" w:cs="宋体"/>
          <w:color w:val="auto"/>
          <w:sz w:val="18"/>
          <w:szCs w:val="21"/>
          <w:highlight w:val="none"/>
        </w:rPr>
      </w:pPr>
    </w:p>
    <w:p w14:paraId="4A1583BD">
      <w:pPr>
        <w:spacing w:line="324" w:lineRule="auto"/>
        <w:rPr>
          <w:rFonts w:hint="eastAsia" w:ascii="Times New Roman" w:hAnsi="宋体" w:eastAsia="宋体" w:cs="宋体"/>
          <w:color w:val="auto"/>
          <w:sz w:val="18"/>
          <w:szCs w:val="21"/>
          <w:highlight w:val="none"/>
        </w:rPr>
      </w:pPr>
    </w:p>
    <w:p w14:paraId="25BD55FE">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4BA25FE6">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4F9FD53A">
      <w:pPr>
        <w:spacing w:line="324" w:lineRule="auto"/>
        <w:rPr>
          <w:rFonts w:hint="eastAsia" w:ascii="Times New Roman" w:hAnsi="宋体" w:eastAsia="宋体" w:cs="宋体"/>
          <w:color w:val="auto"/>
          <w:sz w:val="18"/>
          <w:szCs w:val="21"/>
          <w:highlight w:val="none"/>
        </w:rPr>
      </w:pPr>
    </w:p>
    <w:p w14:paraId="605FDA02">
      <w:pPr>
        <w:spacing w:line="324" w:lineRule="auto"/>
        <w:rPr>
          <w:rFonts w:hint="eastAsia" w:ascii="Times New Roman" w:hAnsi="宋体" w:eastAsia="宋体" w:cs="宋体"/>
          <w:color w:val="auto"/>
          <w:sz w:val="18"/>
          <w:szCs w:val="21"/>
          <w:highlight w:val="none"/>
        </w:rPr>
      </w:pPr>
    </w:p>
    <w:p w14:paraId="06668D97">
      <w:pPr>
        <w:spacing w:line="324" w:lineRule="auto"/>
        <w:jc w:val="center"/>
        <w:rPr>
          <w:rFonts w:hint="eastAsia" w:ascii="Times New Roman" w:hAnsi="宋体" w:eastAsia="宋体" w:cs="宋体"/>
          <w:b/>
          <w:color w:val="auto"/>
          <w:sz w:val="28"/>
          <w:szCs w:val="28"/>
          <w:highlight w:val="none"/>
        </w:rPr>
      </w:pPr>
    </w:p>
    <w:p w14:paraId="5EDC03BC">
      <w:pPr>
        <w:spacing w:before="163" w:beforeLines="50" w:line="360" w:lineRule="auto"/>
        <w:rPr>
          <w:rFonts w:hint="eastAsia" w:ascii="Times New Roman" w:hAnsi="宋体" w:eastAsia="宋体" w:cs="宋体"/>
          <w:bCs/>
          <w:color w:val="auto"/>
          <w:sz w:val="40"/>
          <w:szCs w:val="40"/>
          <w:highlight w:val="none"/>
        </w:rPr>
      </w:pPr>
    </w:p>
    <w:p w14:paraId="349F7C72">
      <w:pPr>
        <w:spacing w:before="163" w:beforeLines="50" w:line="360" w:lineRule="auto"/>
        <w:jc w:val="center"/>
        <w:rPr>
          <w:rFonts w:hint="eastAsia" w:ascii="Times New Roman" w:hAnsi="宋体" w:eastAsia="宋体" w:cs="宋体"/>
          <w:b/>
          <w:bCs/>
          <w:color w:val="auto"/>
          <w:sz w:val="28"/>
          <w:szCs w:val="28"/>
          <w:highlight w:val="none"/>
        </w:rPr>
      </w:pPr>
    </w:p>
    <w:p w14:paraId="2C395CCA">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785BF1FD">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207AA6EF">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538A91B8">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69106638">
      <w:pPr>
        <w:keepNext w:val="0"/>
        <w:keepLines w:val="0"/>
        <w:pageBreakBefore w:val="0"/>
        <w:wordWrap/>
        <w:overflowPunct/>
        <w:topLinePunct w:val="0"/>
        <w:autoSpaceDE/>
        <w:autoSpaceDN/>
        <w:bidi w:val="0"/>
        <w:adjustRightInd/>
        <w:snapToGrid/>
        <w:spacing w:line="500" w:lineRule="exact"/>
        <w:ind w:left="0"/>
        <w:jc w:val="center"/>
        <w:textAlignment w:val="auto"/>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4F680B34">
      <w:pPr>
        <w:keepNext w:val="0"/>
        <w:keepLines w:val="0"/>
        <w:pageBreakBefore w:val="0"/>
        <w:wordWrap/>
        <w:overflowPunct/>
        <w:topLinePunct w:val="0"/>
        <w:autoSpaceDE/>
        <w:autoSpaceDN/>
        <w:bidi w:val="0"/>
        <w:adjustRightInd/>
        <w:snapToGrid/>
        <w:spacing w:line="500" w:lineRule="exact"/>
        <w:ind w:left="0" w:firstLine="482" w:firstLineChars="200"/>
        <w:textAlignment w:val="auto"/>
        <w:rPr>
          <w:rFonts w:hint="eastAsia" w:ascii="宋体" w:hAnsi="宋体" w:eastAsia="宋体" w:cs="宋体"/>
          <w:b/>
          <w:bCs/>
          <w:color w:val="auto"/>
          <w:sz w:val="24"/>
          <w:szCs w:val="24"/>
          <w:highlight w:val="none"/>
          <w:u w:val="none"/>
        </w:rPr>
      </w:pPr>
    </w:p>
    <w:p w14:paraId="4A03E12C">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 xml:space="preserve">                                      </w:t>
      </w:r>
    </w:p>
    <w:p w14:paraId="41E90A04">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1AE22692">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及其他有关法律、法规，遵循平等、自愿、公平和诚信的原则， 双方就下述项目范围与相关服务事项协商一致，订立本合同。</w:t>
      </w:r>
    </w:p>
    <w:p w14:paraId="24E35D65">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76AC8D65">
      <w:pPr>
        <w:pStyle w:val="8"/>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single"/>
          <w:lang w:eastAsia="zh-CN"/>
        </w:rPr>
        <w:t>国道三维数字化采集与建模试点</w:t>
      </w:r>
    </w:p>
    <w:p w14:paraId="726396E4">
      <w:pPr>
        <w:pStyle w:val="8"/>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default"/>
          <w:b w:val="0"/>
          <w:bCs w:val="0"/>
          <w:highlight w:val="none"/>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color w:val="auto"/>
          <w:sz w:val="28"/>
          <w:szCs w:val="28"/>
          <w:highlight w:val="none"/>
          <w:u w:val="single"/>
          <w:lang w:val="en-US" w:eastAsia="zh-CN"/>
        </w:rPr>
        <w:t>采购人指定地点</w:t>
      </w:r>
      <w:r>
        <w:rPr>
          <w:rFonts w:hint="eastAsia" w:ascii="宋体" w:hAnsi="宋体" w:eastAsia="宋体" w:cs="宋体"/>
          <w:b w:val="0"/>
          <w:bCs w:val="0"/>
          <w:color w:val="auto"/>
          <w:sz w:val="28"/>
          <w:szCs w:val="28"/>
          <w:highlight w:val="none"/>
          <w:u w:val="single"/>
          <w:lang w:val="en-US" w:eastAsia="zh-CN"/>
        </w:rPr>
        <w:t xml:space="preserve"> </w:t>
      </w:r>
    </w:p>
    <w:p w14:paraId="715B4E97">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：为贯彻落实《交通强国建设纲要》《国家综合立体交通网规划纲要》《数字交通发展规划纲要》，推进我省交通基础设施数字化、网联化，推动数据共享与协同应用，本项目对普通国道</w:t>
      </w:r>
      <w:r>
        <w:rPr>
          <w:rFonts w:hint="eastAsia" w:ascii="宋体" w:hAnsi="宋体" w:eastAsia="宋体" w:cs="宋体"/>
          <w:color w:val="auto"/>
          <w:sz w:val="28"/>
          <w:szCs w:val="28"/>
          <w:highlight w:val="none"/>
          <w:u w:val="none"/>
          <w:lang w:val="en-US" w:eastAsia="zh-CN"/>
        </w:rPr>
        <w:t>及</w:t>
      </w:r>
      <w:r>
        <w:rPr>
          <w:rFonts w:hint="eastAsia" w:ascii="宋体" w:hAnsi="宋体" w:eastAsia="宋体" w:cs="宋体"/>
          <w:color w:val="auto"/>
          <w:sz w:val="28"/>
          <w:szCs w:val="28"/>
          <w:highlight w:val="none"/>
          <w:u w:val="none"/>
          <w:lang w:eastAsia="zh-CN"/>
        </w:rPr>
        <w:t>沿线重要结构物采用车载激光点云、倾斜摄影采集</w:t>
      </w:r>
      <w:r>
        <w:rPr>
          <w:rFonts w:hint="eastAsia" w:ascii="宋体" w:hAnsi="宋体" w:eastAsia="宋体" w:cs="宋体"/>
          <w:color w:val="auto"/>
          <w:sz w:val="28"/>
          <w:szCs w:val="28"/>
          <w:highlight w:val="none"/>
          <w:u w:val="none"/>
          <w:lang w:val="en-US" w:eastAsia="zh-CN"/>
        </w:rPr>
        <w:t>数据并</w:t>
      </w:r>
      <w:r>
        <w:rPr>
          <w:rFonts w:hint="eastAsia" w:ascii="宋体" w:hAnsi="宋体" w:eastAsia="宋体" w:cs="宋体"/>
          <w:color w:val="auto"/>
          <w:sz w:val="28"/>
          <w:szCs w:val="28"/>
          <w:highlight w:val="none"/>
          <w:u w:val="none"/>
          <w:lang w:eastAsia="zh-CN"/>
        </w:rPr>
        <w:t>建模，探索全省普通公路实景化、矢量化和数字化，建设全要素基础数据库，支撑公路行业业务协同和数字化应用。</w:t>
      </w:r>
    </w:p>
    <w:p w14:paraId="1FBCFF8E">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0C89EC9A">
      <w:pPr>
        <w:keepNext w:val="0"/>
        <w:keepLines w:val="0"/>
        <w:pageBreakBefore w:val="0"/>
        <w:widowControl w:val="0"/>
        <w:wordWrap/>
        <w:overflowPunct/>
        <w:topLinePunct w:val="0"/>
        <w:autoSpaceDE/>
        <w:autoSpaceDN/>
        <w:bidi w:val="0"/>
        <w:adjustRightInd/>
        <w:snapToGrid/>
        <w:spacing w:line="500" w:lineRule="exact"/>
        <w:ind w:left="280" w:leftChars="0" w:hanging="280" w:hangingChars="1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6B0A95B5">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劳务费、国家按现行税收政策征收的一切税</w:t>
      </w:r>
      <w:r>
        <w:rPr>
          <w:rFonts w:hint="eastAsia" w:ascii="宋体" w:hAnsi="宋体" w:eastAsia="宋体" w:cs="宋体"/>
          <w:color w:val="auto"/>
          <w:sz w:val="28"/>
          <w:szCs w:val="28"/>
          <w:highlight w:val="none"/>
          <w:lang w:eastAsia="zh-CN"/>
        </w:rPr>
        <w:t>、服务费、</w:t>
      </w:r>
      <w:r>
        <w:rPr>
          <w:rFonts w:hint="eastAsia" w:ascii="宋体" w:hAnsi="宋体" w:eastAsia="宋体" w:cs="宋体"/>
          <w:color w:val="auto"/>
          <w:sz w:val="28"/>
          <w:szCs w:val="28"/>
          <w:highlight w:val="none"/>
          <w:lang w:val="en-US" w:eastAsia="zh-CN"/>
        </w:rPr>
        <w:t>分析报告出具费用</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008E9942">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1B78F75D">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自合同签订后60个工作日内完成普通国道激光点云采集工作；</w:t>
      </w:r>
    </w:p>
    <w:p w14:paraId="20659727">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自合同签订后90个工作日内完成并提交普通国道激光点云数据、全景图像处理成果（含原始数据）；完成并提交沿线桥梁和服务设施无人机倾斜摄影数据采集和处理结果；</w:t>
      </w:r>
    </w:p>
    <w:p w14:paraId="714C28FA">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自合同签订后120个工作日内完成数据陕西省公路综合业务管理平台上传部署工作以及提交《陕西省普通国省道三维数字化采集技术指南》。</w:t>
      </w:r>
    </w:p>
    <w:p w14:paraId="7FEC9A7C">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72739EF4">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4FE2A56D">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3CF2427E">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5B6F1259">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甲方在收到乙方履约保证金及符合甲方要求的增值税专用/普通发票后一个月内，甲方支付乙方合同总金额的60%，2026年12月20日前，乙方提交工作总结报告和阶段成果资料，经甲方认可，甲方支付乙方合同总金额的40%。</w:t>
      </w:r>
    </w:p>
    <w:p w14:paraId="6A0562CC">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23AD8B69">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7FB7C298">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eastAsia="zh-CN"/>
        </w:rPr>
        <w:t>1.国道车载激光点云数据采集与三维建模。根据基础设施数字化采集要求，选取不低于300公里的普通国道采用车载激光点云进行数据采集，采集公路基础设施的地理位置信息与全景图像数据，其中，双向两车道及以下公路单向采集，采集任意车道，双向四车道及以上公路双向采集，采集中央隔离带或道路中线向外第二车道。通过对激光点云数据进行分析处理，提取公路基础设施三维模型，并赋予基本信息和管养属性，形成全要素基础数据库。</w:t>
      </w:r>
    </w:p>
    <w:p w14:paraId="34D36E24">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eastAsia="zh-CN"/>
        </w:rPr>
        <w:t>2.重点桥梁、服务设施无人机倾斜摄影与建模。利用无人机倾斜摄影设备，对选定的普通国道沿线涉及的重点桥梁以及服务区、停车区等服务设施采集公路基础设施原始航拍影像数据，通过影像</w:t>
      </w:r>
      <w:r>
        <w:rPr>
          <w:rFonts w:hint="eastAsia" w:ascii="宋体" w:hAnsi="宋体" w:eastAsia="宋体" w:cs="宋体"/>
          <w:color w:val="auto"/>
          <w:sz w:val="28"/>
          <w:szCs w:val="28"/>
          <w:highlight w:val="none"/>
          <w:u w:val="none"/>
          <w:lang w:val="en-US" w:eastAsia="zh-CN"/>
        </w:rPr>
        <w:t>处理</w:t>
      </w:r>
      <w:r>
        <w:rPr>
          <w:rFonts w:hint="eastAsia" w:ascii="宋体" w:hAnsi="宋体" w:eastAsia="宋体" w:cs="宋体"/>
          <w:color w:val="auto"/>
          <w:sz w:val="28"/>
          <w:szCs w:val="28"/>
          <w:highlight w:val="none"/>
          <w:u w:val="none"/>
          <w:lang w:eastAsia="zh-CN"/>
        </w:rPr>
        <w:t>最终形成真实三维场景</w:t>
      </w:r>
      <w:r>
        <w:rPr>
          <w:rFonts w:hint="eastAsia" w:ascii="宋体" w:hAnsi="宋体" w:eastAsia="宋体" w:cs="宋体"/>
          <w:color w:val="auto"/>
          <w:sz w:val="28"/>
          <w:szCs w:val="28"/>
          <w:highlight w:val="none"/>
          <w:u w:val="none"/>
          <w:lang w:val="en-US" w:eastAsia="zh-CN"/>
        </w:rPr>
        <w:t>模型</w:t>
      </w:r>
      <w:r>
        <w:rPr>
          <w:rFonts w:hint="eastAsia" w:ascii="宋体" w:hAnsi="宋体" w:eastAsia="宋体" w:cs="宋体"/>
          <w:color w:val="auto"/>
          <w:sz w:val="28"/>
          <w:szCs w:val="28"/>
          <w:highlight w:val="none"/>
          <w:u w:val="none"/>
          <w:lang w:eastAsia="zh-CN"/>
        </w:rPr>
        <w:t>。</w:t>
      </w:r>
    </w:p>
    <w:p w14:paraId="172DABCA">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eastAsia="zh-CN"/>
        </w:rPr>
        <w:t>3.规范性资料编制。依托了本次采集建模的工作，</w:t>
      </w:r>
      <w:r>
        <w:rPr>
          <w:rFonts w:hint="eastAsia" w:ascii="宋体" w:hAnsi="宋体" w:eastAsia="宋体" w:cs="宋体"/>
          <w:color w:val="auto"/>
          <w:sz w:val="28"/>
          <w:szCs w:val="28"/>
          <w:highlight w:val="none"/>
          <w:u w:val="none"/>
          <w:lang w:val="en-US" w:eastAsia="zh-CN"/>
        </w:rPr>
        <w:t>并</w:t>
      </w:r>
      <w:r>
        <w:rPr>
          <w:rFonts w:hint="eastAsia" w:ascii="宋体" w:hAnsi="宋体" w:eastAsia="宋体" w:cs="宋体"/>
          <w:color w:val="auto"/>
          <w:sz w:val="28"/>
          <w:szCs w:val="28"/>
          <w:highlight w:val="none"/>
          <w:u w:val="none"/>
          <w:lang w:eastAsia="zh-CN"/>
        </w:rPr>
        <w:t>形成陕西省普通国省道基础设施三维数字化采集技术指南，指导后续全省普通国省干线三维数字化采集相关工作推进。</w:t>
      </w:r>
    </w:p>
    <w:p w14:paraId="7BA34A51">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10C46DC6">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满足交通运输部、陕西省交通运输主管部门印发的规范性文件以及招标文件相关技术要求，提交的检测报告需通过咨询单位的技术审查。</w:t>
      </w:r>
    </w:p>
    <w:p w14:paraId="3E748023">
      <w:pPr>
        <w:keepNext w:val="0"/>
        <w:keepLines w:val="0"/>
        <w:pageBreakBefore w:val="0"/>
        <w:widowControl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0B1DAA09">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cs="宋体" w:eastAsiaTheme="minorEastAsia"/>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r>
        <w:rPr>
          <w:rFonts w:hint="eastAsia"/>
          <w:highlight w:val="none"/>
          <w:lang w:eastAsia="zh-CN"/>
        </w:rPr>
        <w:t>。</w:t>
      </w:r>
    </w:p>
    <w:p w14:paraId="25CBE89D">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2C7F8797">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（三）验收依据：①本合同及附件文本；②竞争性磋商文件、磋商响应文件、澄清表（函）；③国家相应的标准、规范。</w:t>
      </w:r>
    </w:p>
    <w:p w14:paraId="495EAFC8">
      <w:pPr>
        <w:keepNext w:val="0"/>
        <w:keepLines w:val="0"/>
        <w:pageBreakBefore w:val="0"/>
        <w:widowControl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55B94F12">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八、保密</w:t>
      </w:r>
    </w:p>
    <w:p w14:paraId="24CE4EEC">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03DC45E7">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none"/>
          <w:lang w:val="en-US" w:eastAsia="zh-CN"/>
        </w:rPr>
        <w:t>3</w:t>
      </w:r>
      <w:r>
        <w:rPr>
          <w:rFonts w:hint="eastAsia" w:ascii="宋体" w:hAnsi="宋体" w:eastAsia="宋体" w:cs="宋体"/>
          <w:color w:val="auto"/>
          <w:sz w:val="28"/>
          <w:szCs w:val="28"/>
          <w:highlight w:val="none"/>
          <w:lang w:val="en-US" w:eastAsia="zh-CN"/>
        </w:rPr>
        <w:t>%的违约金，给甲方造成损失的，乙方还应予以赔偿。</w:t>
      </w:r>
    </w:p>
    <w:p w14:paraId="0FB42994">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九、知识产权</w:t>
      </w:r>
    </w:p>
    <w:p w14:paraId="7193E234">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none"/>
          <w:lang w:val="en-US" w:eastAsia="zh-CN"/>
        </w:rPr>
        <w:t>3</w:t>
      </w:r>
      <w:r>
        <w:rPr>
          <w:rFonts w:hint="eastAsia" w:ascii="宋体" w:hAnsi="宋体" w:eastAsia="宋体" w:cs="宋体"/>
          <w:color w:val="auto"/>
          <w:sz w:val="28"/>
          <w:szCs w:val="28"/>
          <w:highlight w:val="none"/>
          <w:lang w:val="en-US" w:eastAsia="zh-CN"/>
        </w:rPr>
        <w:t>%的违约金，给甲方造成损失的，乙方应予以赔偿。</w:t>
      </w:r>
    </w:p>
    <w:p w14:paraId="15BE4B1B">
      <w:pPr>
        <w:pStyle w:val="7"/>
        <w:keepNext w:val="0"/>
        <w:keepLines w:val="0"/>
        <w:pageBreakBefore w:val="0"/>
        <w:widowControl w:val="0"/>
        <w:wordWrap/>
        <w:overflowPunct/>
        <w:topLinePunct w:val="0"/>
        <w:autoSpaceDE/>
        <w:autoSpaceDN/>
        <w:bidi w:val="0"/>
        <w:adjustRightInd/>
        <w:snapToGrid/>
        <w:spacing w:line="500" w:lineRule="exact"/>
        <w:ind w:left="0" w:leftChars="0"/>
        <w:textAlignment w:val="auto"/>
        <w:rPr>
          <w:rFonts w:hint="eastAsia" w:eastAsiaTheme="minorEastAsia"/>
          <w:highlight w:val="none"/>
          <w:lang w:eastAsia="zh-CN"/>
        </w:rPr>
      </w:pPr>
      <w:r>
        <w:rPr>
          <w:rFonts w:hint="eastAsia" w:ascii="宋体" w:hAnsi="宋体" w:eastAsia="宋体" w:cs="宋体"/>
          <w:b/>
          <w:bCs/>
          <w:color w:val="auto"/>
          <w:sz w:val="28"/>
          <w:szCs w:val="28"/>
          <w:highlight w:val="none"/>
          <w:lang w:val="en-US" w:eastAsia="zh-CN"/>
        </w:rPr>
        <w:t xml:space="preserve">     十、违约责任</w:t>
      </w:r>
    </w:p>
    <w:p w14:paraId="30A7E337">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5857F519">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440109D">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1EEF6CE2">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 1 %的违约金，逾期   30  日的，甲方有权单方解除本合同且保留追究乙方违约责任的权利，给甲方造成损失的，乙方还应予以赔偿。</w:t>
      </w:r>
    </w:p>
    <w:p w14:paraId="3830B8E1">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  3 %的违约金。</w:t>
      </w:r>
    </w:p>
    <w:p w14:paraId="3AD2C91A">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 3  %的违约金。</w:t>
      </w:r>
    </w:p>
    <w:p w14:paraId="5D84D6CD">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B187E78">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（八）乙方未按合同约定或甲 方要求提供服务的，每出现一次应承担合同总价款【 3】%的违约金，出现【3 】次的，甲方有权单方解除本合同，给甲方造成损失的，乙方还应予以赔偿。</w:t>
      </w:r>
    </w:p>
    <w:p w14:paraId="48713C4B">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03DB76AE">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十一、合同争议的解决</w:t>
      </w:r>
    </w:p>
    <w:p w14:paraId="03F51BFD">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3C423477">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十二、不可抗力情况下的免责约定</w:t>
      </w:r>
    </w:p>
    <w:p w14:paraId="3E368FAA">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348C6196">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437D8324">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7982C500">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630A4629">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十三、合同订立</w:t>
      </w:r>
    </w:p>
    <w:p w14:paraId="4C559F9B">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5099ACE1">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6DE56277">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354DEA38">
      <w:pPr>
        <w:keepNext w:val="0"/>
        <w:keepLines w:val="0"/>
        <w:pageBreakBefore w:val="0"/>
        <w:widowControl w:val="0"/>
        <w:tabs>
          <w:tab w:val="left" w:pos="980"/>
        </w:tabs>
        <w:kinsoku w:val="0"/>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579A1DC1">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lang w:val="en-US" w:eastAsia="zh-CN"/>
        </w:rPr>
      </w:pPr>
    </w:p>
    <w:p w14:paraId="3B9D27DC">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1928FD13">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6F401AC4">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584D5943">
      <w:pPr>
        <w:keepNext w:val="0"/>
        <w:keepLines w:val="0"/>
        <w:pageBreakBefore w:val="0"/>
        <w:tabs>
          <w:tab w:val="left" w:pos="980"/>
        </w:tabs>
        <w:kinsoku w:val="0"/>
        <w:wordWrap/>
        <w:overflowPunct/>
        <w:topLinePunct w:val="0"/>
        <w:autoSpaceDE/>
        <w:autoSpaceDN/>
        <w:bidi w:val="0"/>
        <w:adjustRightInd/>
        <w:snapToGrid/>
        <w:spacing w:line="500" w:lineRule="exact"/>
        <w:ind w:left="0"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637C4231">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4678B7EF">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7C3CC2BC">
      <w:pPr>
        <w:keepNext w:val="0"/>
        <w:keepLines w:val="0"/>
        <w:pageBreakBefore w:val="0"/>
        <w:widowControl w:val="0"/>
        <w:shd w:val="clear"/>
        <w:kinsoku/>
        <w:wordWrap/>
        <w:overflowPunct/>
        <w:topLinePunct w:val="0"/>
        <w:autoSpaceDE/>
        <w:autoSpaceDN/>
        <w:bidi w:val="0"/>
        <w:adjustRightInd/>
        <w:snapToGrid/>
        <w:spacing w:line="500" w:lineRule="exact"/>
        <w:ind w:left="0" w:firstLine="420"/>
        <w:textAlignment w:val="auto"/>
        <w:rPr>
          <w:rFonts w:hint="eastAsia" w:ascii="宋体" w:hAnsi="宋体" w:eastAsia="宋体" w:cs="宋体"/>
          <w:color w:val="auto"/>
          <w:sz w:val="28"/>
          <w:szCs w:val="28"/>
          <w:highlight w:val="none"/>
          <w:lang w:val="en-US" w:eastAsia="zh-Hans"/>
        </w:rPr>
      </w:pPr>
      <w:r>
        <w:rPr>
          <w:rFonts w:hint="eastAsia"/>
          <w:highlight w:val="none"/>
          <w:lang w:val="en-US" w:eastAsia="zh-CN"/>
        </w:rPr>
        <w:t xml:space="preserve">          </w:t>
      </w:r>
    </w:p>
    <w:p w14:paraId="7CE7FFA7">
      <w:pPr>
        <w:pStyle w:val="16"/>
        <w:keepNext w:val="0"/>
        <w:keepLines w:val="0"/>
        <w:pageBreakBefore w:val="0"/>
        <w:wordWrap/>
        <w:overflowPunct/>
        <w:topLinePunct w:val="0"/>
        <w:autoSpaceDE/>
        <w:autoSpaceDN/>
        <w:bidi w:val="0"/>
        <w:adjustRightInd/>
        <w:snapToGrid/>
        <w:spacing w:line="500" w:lineRule="exact"/>
        <w:ind w:left="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5F24E3C7">
      <w:pPr>
        <w:pStyle w:val="16"/>
        <w:keepNext w:val="0"/>
        <w:keepLines w:val="0"/>
        <w:pageBreakBefore w:val="0"/>
        <w:wordWrap/>
        <w:overflowPunct/>
        <w:topLinePunct w:val="0"/>
        <w:autoSpaceDE/>
        <w:autoSpaceDN/>
        <w:bidi w:val="0"/>
        <w:adjustRightInd/>
        <w:snapToGrid/>
        <w:spacing w:line="500" w:lineRule="exact"/>
        <w:ind w:left="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49BFF7C8">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30AC84B8">
      <w:pPr>
        <w:keepNext w:val="0"/>
        <w:keepLines w:val="0"/>
        <w:pageBreakBefore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3FCBCA9F">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191440E4">
      <w:pPr>
        <w:keepNext w:val="0"/>
        <w:keepLines w:val="0"/>
        <w:pageBreakBefore w:val="0"/>
        <w:tabs>
          <w:tab w:val="left" w:pos="980"/>
        </w:tabs>
        <w:kinsoku w:val="0"/>
        <w:wordWrap/>
        <w:overflowPunct/>
        <w:topLinePunct w:val="0"/>
        <w:autoSpaceDE/>
        <w:autoSpaceDN/>
        <w:bidi w:val="0"/>
        <w:adjustRightInd/>
        <w:snapToGrid/>
        <w:spacing w:line="500" w:lineRule="exact"/>
        <w:ind w:left="0"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7CA05E88">
      <w:pPr>
        <w:keepNext w:val="0"/>
        <w:keepLines w:val="0"/>
        <w:pageBreakBefore w:val="0"/>
        <w:widowControl w:val="0"/>
        <w:shd w:val="clear"/>
        <w:kinsoku/>
        <w:wordWrap/>
        <w:overflowPunct/>
        <w:topLinePunct w:val="0"/>
        <w:autoSpaceDE/>
        <w:autoSpaceDN/>
        <w:bidi w:val="0"/>
        <w:adjustRightInd/>
        <w:snapToGrid/>
        <w:spacing w:line="500" w:lineRule="exact"/>
        <w:ind w:left="0" w:firstLine="420"/>
        <w:textAlignment w:val="auto"/>
        <w:rPr>
          <w:rFonts w:hint="eastAsia" w:ascii="宋体" w:hAnsi="宋体" w:eastAsia="宋体" w:cs="宋体"/>
          <w:color w:val="auto"/>
          <w:sz w:val="28"/>
          <w:szCs w:val="28"/>
          <w:highlight w:val="none"/>
          <w:lang w:val="en-US" w:eastAsia="zh-CN"/>
        </w:rPr>
      </w:pPr>
      <w:r>
        <w:rPr>
          <w:rFonts w:hint="eastAsia"/>
          <w:highlight w:val="none"/>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528999FF">
      <w:pPr>
        <w:spacing w:line="360" w:lineRule="auto"/>
        <w:rPr>
          <w:rFonts w:hint="eastAsia" w:ascii="宋体" w:hAnsi="宋体" w:eastAsia="宋体" w:cs="宋体"/>
          <w:sz w:val="24"/>
          <w:szCs w:val="24"/>
          <w:highlight w:val="none"/>
          <w:lang w:val="en-US" w:eastAsia="zh-CN"/>
        </w:rPr>
      </w:pPr>
    </w:p>
    <w:p w14:paraId="2124241B">
      <w:pPr>
        <w:spacing w:line="360" w:lineRule="auto"/>
        <w:rPr>
          <w:sz w:val="24"/>
          <w:szCs w:val="24"/>
          <w:highlight w:val="none"/>
        </w:rPr>
      </w:pPr>
      <w:r>
        <w:rPr>
          <w:rFonts w:hint="eastAsia" w:ascii="宋体" w:hAnsi="宋体" w:eastAsia="宋体" w:cs="宋体"/>
          <w:sz w:val="24"/>
          <w:szCs w:val="24"/>
          <w:highlight w:val="none"/>
          <w:lang w:val="en-US" w:eastAsia="zh-CN"/>
        </w:rPr>
        <w:t>注：本合同样本仅供参考，具体内容由采购人在签订时细化修改确定。</w:t>
      </w:r>
      <w:r>
        <w:rPr>
          <w:rFonts w:hint="eastAsia" w:ascii="宋体" w:hAnsi="宋体" w:eastAsia="宋体" w:cs="宋体"/>
          <w:sz w:val="24"/>
          <w:szCs w:val="24"/>
          <w:highlight w:val="none"/>
        </w:rPr>
        <w:t xml:space="preserve"> </w:t>
      </w:r>
    </w:p>
    <w:p w14:paraId="36E2BD69">
      <w:pPr>
        <w:pStyle w:val="16"/>
        <w:rPr>
          <w:rFonts w:hint="eastAsia" w:ascii="方正仿宋_GB2312" w:hAnsi="方正仿宋_GB2312" w:eastAsia="方正仿宋_GB2312" w:cs="方正仿宋_GB2312"/>
          <w:b/>
          <w:bCs/>
          <w:sz w:val="20"/>
          <w:szCs w:val="20"/>
          <w:highlight w:val="none"/>
        </w:rPr>
      </w:pPr>
    </w:p>
    <w:p w14:paraId="123A8CE9">
      <w:pPr>
        <w:pStyle w:val="16"/>
        <w:rPr>
          <w:rFonts w:hint="eastAsia"/>
          <w:highlight w:val="none"/>
          <w:lang w:val="en-US" w:eastAsia="zh-Hans"/>
        </w:rPr>
      </w:pPr>
    </w:p>
    <w:p w14:paraId="086F8285">
      <w:pPr>
        <w:rPr>
          <w:highlight w:val="none"/>
        </w:rPr>
      </w:pPr>
    </w:p>
    <w:p w14:paraId="73C45802">
      <w:bookmarkStart w:id="0" w:name="_GoBack"/>
      <w:bookmarkEnd w:id="0"/>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AFD29B3-7907-4FB7-A9BC-C64414F611F9}"/>
  </w:font>
  <w:font w:name="楷体_GB2312">
    <w:altName w:val="楷体"/>
    <w:panose1 w:val="02010609060101010101"/>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2" w:fontKey="{10F117E7-E050-4CD9-91C8-01057943FCC2}"/>
  </w:font>
  <w:font w:name="仿宋_GB2312">
    <w:altName w:val="仿宋"/>
    <w:panose1 w:val="02010609030101010101"/>
    <w:charset w:val="86"/>
    <w:family w:val="auto"/>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3" w:fontKey="{6ECA05D7-A219-4FB9-8E95-2FF1E34A182B}"/>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5BA2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DD9396">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DD9396">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zNjVlOWQxMjlhMmNiNjI5Yjc5MzU3MTRhNWE2MTgifQ=="/>
  </w:docVars>
  <w:rsids>
    <w:rsidRoot w:val="00000000"/>
    <w:rsid w:val="03206EA5"/>
    <w:rsid w:val="064660C2"/>
    <w:rsid w:val="090A3368"/>
    <w:rsid w:val="0A4C1210"/>
    <w:rsid w:val="0AB85257"/>
    <w:rsid w:val="113D431C"/>
    <w:rsid w:val="127173A1"/>
    <w:rsid w:val="14122A18"/>
    <w:rsid w:val="16EE7E2B"/>
    <w:rsid w:val="19F142E2"/>
    <w:rsid w:val="1DD77583"/>
    <w:rsid w:val="1FBA5176"/>
    <w:rsid w:val="253A4D8F"/>
    <w:rsid w:val="2C1C3C03"/>
    <w:rsid w:val="2D4C0AA8"/>
    <w:rsid w:val="33FD119B"/>
    <w:rsid w:val="37AF33BA"/>
    <w:rsid w:val="38EC0201"/>
    <w:rsid w:val="3C9E1C4F"/>
    <w:rsid w:val="3E820CD7"/>
    <w:rsid w:val="43BD7F58"/>
    <w:rsid w:val="495E1F61"/>
    <w:rsid w:val="49730A95"/>
    <w:rsid w:val="49B72B37"/>
    <w:rsid w:val="4C77208E"/>
    <w:rsid w:val="548B44E7"/>
    <w:rsid w:val="5C1D4FB4"/>
    <w:rsid w:val="5D461873"/>
    <w:rsid w:val="5ECB647C"/>
    <w:rsid w:val="61A1453B"/>
    <w:rsid w:val="63750765"/>
    <w:rsid w:val="66237D7B"/>
    <w:rsid w:val="710545DE"/>
    <w:rsid w:val="76A079ED"/>
    <w:rsid w:val="79764DDF"/>
    <w:rsid w:val="7F09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jc w:val="center"/>
      <w:outlineLvl w:val="0"/>
    </w:pPr>
    <w:rPr>
      <w:rFonts w:ascii="黑体" w:hAnsi="黑体"/>
      <w:b/>
      <w:kern w:val="0"/>
      <w:sz w:val="36"/>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widowControl/>
      <w:spacing w:line="480" w:lineRule="exact"/>
      <w:ind w:firstLine="567"/>
    </w:pPr>
    <w:rPr>
      <w:rFonts w:ascii="宋体"/>
      <w:snapToGrid w:val="0"/>
      <w:color w:val="000000"/>
      <w:kern w:val="28"/>
      <w:sz w:val="28"/>
      <w:szCs w:val="20"/>
    </w:rPr>
  </w:style>
  <w:style w:type="paragraph" w:styleId="7">
    <w:name w:val="annotation text"/>
    <w:basedOn w:val="1"/>
    <w:qFormat/>
    <w:uiPriority w:val="0"/>
    <w:pPr>
      <w:jc w:val="left"/>
    </w:pPr>
  </w:style>
  <w:style w:type="paragraph" w:styleId="8">
    <w:name w:val="Body Text"/>
    <w:basedOn w:val="1"/>
    <w:next w:val="1"/>
    <w:qFormat/>
    <w:uiPriority w:val="0"/>
    <w:pPr>
      <w:spacing w:line="360" w:lineRule="exact"/>
    </w:pPr>
    <w:rPr>
      <w:sz w:val="24"/>
    </w:rPr>
  </w:style>
  <w:style w:type="paragraph" w:styleId="9">
    <w:name w:val="Body Text Indent"/>
    <w:basedOn w:val="1"/>
    <w:qFormat/>
    <w:uiPriority w:val="0"/>
    <w:pPr>
      <w:ind w:firstLine="645"/>
    </w:pPr>
    <w:rPr>
      <w:rFonts w:ascii="楷体_GB2312" w:hAnsi="Times New Roman" w:eastAsia="楷体_GB2312"/>
      <w:sz w:val="32"/>
      <w:szCs w:val="20"/>
    </w:rPr>
  </w:style>
  <w:style w:type="paragraph" w:styleId="10">
    <w:name w:val="Plain Text"/>
    <w:basedOn w:val="1"/>
    <w:qFormat/>
    <w:uiPriority w:val="99"/>
    <w:rPr>
      <w:rFonts w:ascii="宋体" w:hAnsi="Courier New"/>
    </w:rPr>
  </w:style>
  <w:style w:type="paragraph" w:styleId="11">
    <w:name w:val="footer"/>
    <w:basedOn w:val="1"/>
    <w:qFormat/>
    <w:uiPriority w:val="99"/>
    <w:pPr>
      <w:tabs>
        <w:tab w:val="center" w:pos="4153"/>
        <w:tab w:val="right" w:pos="8306"/>
      </w:tabs>
      <w:snapToGrid w:val="0"/>
      <w:jc w:val="left"/>
    </w:pPr>
    <w:rPr>
      <w:sz w:val="18"/>
    </w:rPr>
  </w:style>
  <w:style w:type="paragraph" w:styleId="12">
    <w:name w:val="toc 9"/>
    <w:basedOn w:val="1"/>
    <w:next w:val="1"/>
    <w:qFormat/>
    <w:uiPriority w:val="0"/>
    <w:pPr>
      <w:wordWrap w:val="0"/>
      <w:ind w:left="2975"/>
    </w:pPr>
    <w:rPr>
      <w:rFonts w:ascii="Times New Roman" w:hAnsi="Times New Roman"/>
    </w:rPr>
  </w:style>
  <w:style w:type="paragraph" w:styleId="13">
    <w:name w:val="Body Text First Indent"/>
    <w:basedOn w:val="8"/>
    <w:unhideWhenUsed/>
    <w:qFormat/>
    <w:uiPriority w:val="99"/>
    <w:pPr>
      <w:tabs>
        <w:tab w:val="left" w:pos="567"/>
      </w:tabs>
      <w:ind w:firstLine="420" w:firstLineChars="1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Times New Roman"/>
      <w:sz w:val="24"/>
    </w:rPr>
  </w:style>
  <w:style w:type="paragraph" w:customStyle="1" w:styleId="1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3973</Words>
  <Characters>4035</Characters>
  <Lines>0</Lines>
  <Paragraphs>0</Paragraphs>
  <TotalTime>0</TotalTime>
  <ScaleCrop>false</ScaleCrop>
  <LinksUpToDate>false</LinksUpToDate>
  <CharactersWithSpaces>4635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2022-09-08T01:13:00Z</dcterms:created>
  <dc:creator>AOC</dc:creator>
  <cp:lastModifiedBy>刘倩</cp:lastModifiedBy>
  <dcterms:modified xsi:type="dcterms:W3CDTF">2026-05-20T08:18:52Z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E88B5CCED1A54DC79584440DE3438985_13</vt:lpwstr>
  </property>
  <property fmtid="{D5CDD505-2E9C-101B-9397-08002B2CF9AE}" pid="4" name="KSOTemplateDocerSaveRecord">
    <vt:lpwstr>eyJoZGlkIjoiMzNjNGI0MDk1OTY0MzdkYmEzYTU0NzdlYTZiNWNjMGIiLCJ1c2VySWQiOiIyMTc2ODYxNTgifQ==</vt:lpwstr>
  </property>
</Properties>
</file>