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版本号：HWHZ-202605120260724002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智慧教室（一期）网络中控改造项目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HWHZ-2026051</w:t>
      </w:r>
      <w:r>
        <w:br/>
      </w:r>
      <w:r>
        <w:br/>
      </w:r>
      <w:r>
        <w:br/>
      </w:r>
    </w:p>
    <w:p>
      <w:pPr>
        <w:pStyle w:val="null3"/>
        <w:jc w:val="center"/>
        <w:outlineLvl w:val="2"/>
      </w:pPr>
      <w:r>
        <w:rPr>
          <w:rFonts w:ascii="仿宋_GB2312" w:hAnsi="仿宋_GB2312" w:cs="仿宋_GB2312" w:eastAsia="仿宋_GB2312"/>
          <w:sz w:val="28"/>
          <w:b/>
        </w:rPr>
        <w:t>汉中职业技术学院</w:t>
      </w:r>
    </w:p>
    <w:p>
      <w:pPr>
        <w:pStyle w:val="null3"/>
        <w:jc w:val="center"/>
        <w:outlineLvl w:val="2"/>
      </w:pPr>
      <w:r>
        <w:rPr>
          <w:rFonts w:ascii="仿宋_GB2312" w:hAnsi="仿宋_GB2312" w:cs="仿宋_GB2312" w:eastAsia="仿宋_GB2312"/>
          <w:sz w:val="28"/>
          <w:b/>
        </w:rPr>
        <w:t>华文项目管理有限公司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华文项目管理有限公司</w:t>
      </w:r>
      <w:r>
        <w:rPr>
          <w:rFonts w:ascii="仿宋_GB2312" w:hAnsi="仿宋_GB2312" w:cs="仿宋_GB2312" w:eastAsia="仿宋_GB2312"/>
        </w:rPr>
        <w:t>（以下简称“代理机构”）受</w:t>
      </w:r>
      <w:r>
        <w:rPr>
          <w:rFonts w:ascii="仿宋_GB2312" w:hAnsi="仿宋_GB2312" w:cs="仿宋_GB2312" w:eastAsia="仿宋_GB2312"/>
        </w:rPr>
        <w:t>汉中职业技术学院</w:t>
      </w:r>
      <w:r>
        <w:rPr>
          <w:rFonts w:ascii="仿宋_GB2312" w:hAnsi="仿宋_GB2312" w:cs="仿宋_GB2312" w:eastAsia="仿宋_GB2312"/>
        </w:rPr>
        <w:t>委托，拟对</w:t>
      </w:r>
      <w:r>
        <w:rPr>
          <w:rFonts w:ascii="仿宋_GB2312" w:hAnsi="仿宋_GB2312" w:cs="仿宋_GB2312" w:eastAsia="仿宋_GB2312"/>
        </w:rPr>
        <w:t>智慧教室（一期）网络中控改造项目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HWHZ-2026051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智慧教室（一期）网络中控改造项目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采购学院智慧教室（一期）100间教室，增加网络中控、触摸式开关、网络交换机等设备，并开展信息化集成服务，更好的满足于教师教学需要，提升教师授课体验，节约能源，优化教学设备管控。</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1、有效的主体资格证明：投标供应商为具有独立承担民事责任能力的法人或其他组织或自然人，并出具合法有效的营业执照或事业法人证书等国家规定的相关证明，自然人参与的提供其身份证明；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法定代表人身份证明或授权委托书：法定代表人参加投标须提供《法定代表人身份证明》及身份证复印件；法定代表人授权他人参加投标，须提供《法定代表人身份证明》及《法定代表人授权委托书》附法定代表人身份证复印件及被授权人身份证复印件；</w:t>
      </w:r>
    </w:p>
    <w:p>
      <w:pPr>
        <w:pStyle w:val="null3"/>
      </w:pPr>
      <w:r>
        <w:rPr>
          <w:rFonts w:ascii="仿宋_GB2312" w:hAnsi="仿宋_GB2312" w:cs="仿宋_GB2312" w:eastAsia="仿宋_GB2312"/>
        </w:rPr>
        <w:t>3、供应商资格承诺函：拟参与本项目的投标人应按照汉中市财政局《关于全面推行政府采购供应商基本资格条件承诺制的通知》(汉财办采管(2024)20 号)文件要求，提供满足相应条件的资格承诺函；</w:t>
      </w:r>
    </w:p>
    <w:p>
      <w:pPr>
        <w:pStyle w:val="null3"/>
      </w:pPr>
      <w:r>
        <w:rPr>
          <w:rFonts w:ascii="仿宋_GB2312" w:hAnsi="仿宋_GB2312" w:cs="仿宋_GB2312" w:eastAsia="仿宋_GB2312"/>
        </w:rPr>
        <w:t>4、⾮联合体声明：本项⽬不接受联合体投标，需提供⾮联合体书⾯声明。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汉中市汉台区宗营镇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李安琪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0916-2211759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华文项目管理有限公司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汉中市汉台区北关街道办事处留侯路东方明珠小区临街商铺二楼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0916-2702818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祝广泽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采购包1：1,022,000.00元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开户名称：华文项目管理有限公司汉中分公司</w:t>
            </w:r>
          </w:p>
          <w:p>
            <w:pPr>
              <w:pStyle w:val="null3"/>
            </w:pPr>
            <w:r>
              <w:rPr>
                <w:rFonts w:ascii="仿宋_GB2312" w:hAnsi="仿宋_GB2312" w:cs="仿宋_GB2312" w:eastAsia="仿宋_GB2312"/>
              </w:rPr>
              <w:t>开户银行：中国建设银行股份有限公司汉中莲湖东路支行</w:t>
            </w:r>
          </w:p>
          <w:p>
            <w:pPr>
              <w:pStyle w:val="null3"/>
            </w:pPr>
            <w:r>
              <w:rPr>
                <w:rFonts w:ascii="仿宋_GB2312" w:hAnsi="仿宋_GB2312" w:cs="仿宋_GB2312" w:eastAsia="仿宋_GB2312"/>
              </w:rPr>
              <w:t>银行账号：61050110066600000600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说明：项目验收合格后，在支付第一次合同款之前，供应商向学院缴纳履约保证金。</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代理服务费收费标准：参照《招标代理服务收费管理暂行办法》的通知（计价格[2002]1980号）和《关于招标代理服务收费有关问题的通知》（发改办价格[2003]857号）的有关规定按标准收取代理服务费。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汉中职业技术学院</w:t>
      </w:r>
      <w:r>
        <w:rPr>
          <w:rFonts w:ascii="仿宋_GB2312" w:hAnsi="仿宋_GB2312" w:cs="仿宋_GB2312" w:eastAsia="仿宋_GB2312"/>
        </w:rPr>
        <w:t>和</w:t>
      </w:r>
      <w:r>
        <w:rPr>
          <w:rFonts w:ascii="仿宋_GB2312" w:hAnsi="仿宋_GB2312" w:cs="仿宋_GB2312" w:eastAsia="仿宋_GB2312"/>
        </w:rPr>
        <w:t>华文项目管理有限公司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汉中职业技术学院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华文项目管理有限公司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汉中职业技术学院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华文项目管理有限公司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1、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2、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 3、如采用投标人所不拥有的知识产权，则在投标报价中必须包括合法使用该知识产权的相关费用。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对合同履行结果进行评估。主要从验收时间、验收内容、验收标准、验收方式等方面进行。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华文项目管理有限公司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华文项目管理有限公司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华文项目管理有限公司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联系人：王女士</w:t>
      </w:r>
    </w:p>
    <w:p>
      <w:pPr>
        <w:pStyle w:val="null3"/>
      </w:pPr>
      <w:r>
        <w:rPr>
          <w:rFonts w:ascii="仿宋_GB2312" w:hAnsi="仿宋_GB2312" w:cs="仿宋_GB2312" w:eastAsia="仿宋_GB2312"/>
        </w:rPr>
        <w:t>联系电话：0916-2702818</w:t>
      </w:r>
    </w:p>
    <w:p>
      <w:pPr>
        <w:pStyle w:val="null3"/>
      </w:pPr>
      <w:r>
        <w:rPr>
          <w:rFonts w:ascii="仿宋_GB2312" w:hAnsi="仿宋_GB2312" w:cs="仿宋_GB2312" w:eastAsia="仿宋_GB2312"/>
        </w:rPr>
        <w:t>地址：汉中市汉台区北关街道办事处留侯路东方明珠小区临街商铺二楼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采购学院智慧教室（一期）100间教室，增加网络中控、触摸式开关、网络交换机等设备，并开展信息化集成服务，更好的满足于教师教学需要，提升教师授课体验，节约能源，优化教学设备管控。</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1,022,000.00</w:t>
      </w:r>
    </w:p>
    <w:p>
      <w:pPr>
        <w:pStyle w:val="null3"/>
      </w:pPr>
      <w:r>
        <w:rPr>
          <w:rFonts w:ascii="仿宋_GB2312" w:hAnsi="仿宋_GB2312" w:cs="仿宋_GB2312" w:eastAsia="仿宋_GB2312"/>
        </w:rPr>
        <w:t>采购包最高限价（元）: 1,022,000.00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货物</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1,022,000.00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标的名称：货物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84"/>
              <w:gridCol w:w="264"/>
              <w:gridCol w:w="1933"/>
              <w:gridCol w:w="129"/>
              <w:gridCol w:w="134"/>
            </w:tblGrid>
            <w:tr>
              <w:tc>
                <w:tcPr>
                  <w:tcW w:type="dxa" w:w="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2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品目名称</w:t>
                  </w:r>
                </w:p>
              </w:tc>
              <w:tc>
                <w:tcPr>
                  <w:tcW w:type="dxa" w:w="19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rFonts w:ascii="仿宋_GB2312" w:hAnsi="仿宋_GB2312" w:cs="仿宋_GB2312" w:eastAsia="仿宋_GB2312"/>
                      <w:sz w:val="24"/>
                      <w:b/>
                    </w:rPr>
                    <w:t>技术参数与性能指标</w:t>
                  </w:r>
                </w:p>
              </w:tc>
              <w:tc>
                <w:tcPr>
                  <w:tcW w:type="dxa" w:w="1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采购</w:t>
                  </w:r>
                </w:p>
                <w:p>
                  <w:pPr>
                    <w:pStyle w:val="null3"/>
                    <w:jc w:val="center"/>
                  </w:pPr>
                  <w:r>
                    <w:rPr>
                      <w:rFonts w:ascii="仿宋_GB2312" w:hAnsi="仿宋_GB2312" w:cs="仿宋_GB2312" w:eastAsia="仿宋_GB2312"/>
                      <w:sz w:val="24"/>
                      <w:b/>
                    </w:rPr>
                    <w:t>数量</w:t>
                  </w:r>
                </w:p>
              </w:tc>
              <w:tc>
                <w:tcPr>
                  <w:tcW w:type="dxa" w:w="1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r>
            <w:tr>
              <w:tc>
                <w:tcPr>
                  <w:tcW w:type="dxa" w:w="254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一、硬件采购及参数</w:t>
                  </w:r>
                </w:p>
              </w:tc>
            </w:tr>
            <w:tr>
              <w:tc>
                <w:tcPr>
                  <w:tcW w:type="dxa" w:w="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网络中控主机</w:t>
                  </w:r>
                </w:p>
              </w:tc>
              <w:tc>
                <w:tcPr>
                  <w:tcW w:type="dxa" w:w="19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★1.要求采用高集成度一体化设计，设备高度≤1.5U，所有教学功能系统采用一颗高性能嵌入式芯片、一块核心板卡的设计（须提供权威机构出具具有CMA或CNAS标识</w:t>
                  </w:r>
                  <w:r>
                    <w:rPr>
                      <w:rFonts w:ascii="仿宋_GB2312" w:hAnsi="仿宋_GB2312" w:cs="仿宋_GB2312" w:eastAsia="仿宋_GB2312"/>
                      <w:sz w:val="21"/>
                      <w:color w:val="000000"/>
                    </w:rPr>
                    <w:t>的检测报告</w:t>
                  </w:r>
                  <w:r>
                    <w:rPr>
                      <w:rFonts w:ascii="仿宋_GB2312" w:hAnsi="仿宋_GB2312" w:cs="仿宋_GB2312" w:eastAsia="仿宋_GB2312"/>
                      <w:sz w:val="21"/>
                      <w:color w:val="000000"/>
                    </w:rPr>
                    <w:t>扫描件并加盖原厂公章）。</w:t>
                  </w:r>
                </w:p>
                <w:p>
                  <w:pPr>
                    <w:pStyle w:val="null3"/>
                    <w:jc w:val="left"/>
                  </w:pPr>
                  <w:r>
                    <w:rPr>
                      <w:rFonts w:ascii="仿宋_GB2312" w:hAnsi="仿宋_GB2312" w:cs="仿宋_GB2312" w:eastAsia="仿宋_GB2312"/>
                      <w:sz w:val="21"/>
                      <w:color w:val="000000"/>
                    </w:rPr>
                    <w:t>2.支持后期通过升级扩展投屏模块、音视频广播模块等，系统采用直通散热设计。主机和触控液晶面板采用分体式设计。</w:t>
                  </w:r>
                </w:p>
                <w:p>
                  <w:pPr>
                    <w:pStyle w:val="null3"/>
                    <w:jc w:val="left"/>
                  </w:pPr>
                  <w:r>
                    <w:rPr>
                      <w:rFonts w:ascii="仿宋_GB2312" w:hAnsi="仿宋_GB2312" w:cs="仿宋_GB2312" w:eastAsia="仿宋_GB2312"/>
                      <w:sz w:val="21"/>
                      <w:color w:val="000000"/>
                    </w:rPr>
                    <w:t>★3.支持集成高清视频矩阵功能，支持≥4路HDMI输入接口，≥1路VGA输入接口，≥4路HDMI输出接口，≥1路HDBaseT输出接口或网络传输接口，≥6路、USB接口，≥1路USB声卡接口（所有接口均为原始物理接口，拒绝通过外置设备实现，须提供实物图片予以佐证）。</w:t>
                  </w:r>
                </w:p>
                <w:p>
                  <w:pPr>
                    <w:pStyle w:val="null3"/>
                    <w:jc w:val="left"/>
                  </w:pPr>
                  <w:r>
                    <w:rPr>
                      <w:rFonts w:ascii="仿宋_GB2312" w:hAnsi="仿宋_GB2312" w:cs="仿宋_GB2312" w:eastAsia="仿宋_GB2312"/>
                      <w:sz w:val="21"/>
                      <w:color w:val="000000"/>
                    </w:rPr>
                    <w:t>4.支持接入笔记本信号检测并自动切换音视频到输出通道，视频矩阵每路输出接口既可以输出不同画面，也可以输出相同画面。</w:t>
                  </w:r>
                </w:p>
                <w:p>
                  <w:pPr>
                    <w:pStyle w:val="null3"/>
                    <w:jc w:val="left"/>
                  </w:pPr>
                  <w:r>
                    <w:rPr>
                      <w:rFonts w:ascii="仿宋_GB2312" w:hAnsi="仿宋_GB2312" w:cs="仿宋_GB2312" w:eastAsia="仿宋_GB2312"/>
                      <w:sz w:val="21"/>
                      <w:color w:val="000000"/>
                    </w:rPr>
                    <w:t>5.支持音频切换功能，具备≥3路音频输入，≥3路音频输出。（所有接口均为原始物理接口，拒绝通过外置设备实现，须提供实物图片予以佐证）。</w:t>
                  </w:r>
                </w:p>
                <w:p>
                  <w:pPr>
                    <w:pStyle w:val="null3"/>
                    <w:jc w:val="left"/>
                  </w:pPr>
                  <w:r>
                    <w:rPr>
                      <w:rFonts w:ascii="仿宋_GB2312" w:hAnsi="仿宋_GB2312" w:cs="仿宋_GB2312" w:eastAsia="仿宋_GB2312"/>
                      <w:sz w:val="21"/>
                      <w:color w:val="000000"/>
                    </w:rPr>
                    <w:t>★6.集成强电开关控制模块，提供≥3路总功率为16A/220VAC交流供电输出。电源输出接口采用防脱插头，并具有防呆设计（须提供国家权威机构出具具有CMA或CNAS标识的检测报告扫描件）。</w:t>
                  </w:r>
                </w:p>
                <w:p>
                  <w:pPr>
                    <w:pStyle w:val="null3"/>
                    <w:jc w:val="left"/>
                  </w:pPr>
                  <w:r>
                    <w:rPr>
                      <w:rFonts w:ascii="仿宋_GB2312" w:hAnsi="仿宋_GB2312" w:cs="仿宋_GB2312" w:eastAsia="仿宋_GB2312"/>
                      <w:sz w:val="21"/>
                      <w:color w:val="000000"/>
                    </w:rPr>
                    <w:t>7.集成DSP音频处理器功能，具有≥3路有线麦克输入，提供可控48V幻象电源</w:t>
                  </w:r>
                  <w:r>
                    <w:rPr>
                      <w:rFonts w:ascii="仿宋_GB2312" w:hAnsi="仿宋_GB2312" w:cs="仿宋_GB2312" w:eastAsia="仿宋_GB2312"/>
                      <w:sz w:val="21"/>
                      <w:color w:val="000000"/>
                    </w:rPr>
                    <w:t>（须提供权威机构出具具有</w:t>
                  </w:r>
                  <w:r>
                    <w:rPr>
                      <w:rFonts w:ascii="仿宋_GB2312" w:hAnsi="仿宋_GB2312" w:cs="仿宋_GB2312" w:eastAsia="仿宋_GB2312"/>
                      <w:sz w:val="21"/>
                      <w:color w:val="000000"/>
                    </w:rPr>
                    <w:t>CMA或CNAS标识的检测报告扫描件并加盖原厂公章）。</w:t>
                  </w:r>
                </w:p>
                <w:p>
                  <w:pPr>
                    <w:pStyle w:val="null3"/>
                    <w:jc w:val="left"/>
                  </w:pPr>
                  <w:r>
                    <w:rPr>
                      <w:rFonts w:ascii="仿宋_GB2312" w:hAnsi="仿宋_GB2312" w:cs="仿宋_GB2312" w:eastAsia="仿宋_GB2312"/>
                      <w:sz w:val="21"/>
                      <w:color w:val="000000"/>
                    </w:rPr>
                    <w:t>8.集成UHF数字调制无线麦克风接收功能，具备≥1路接口同品牌无线麦克风音频输入，具备≥1路网络麦克风音频输入（投标文件可提供不限于第三方检测报告、设备实拍照片、彩页、官网截图、原厂承诺函等任一佐证）。</w:t>
                  </w:r>
                </w:p>
                <w:p>
                  <w:pPr>
                    <w:pStyle w:val="null3"/>
                    <w:jc w:val="left"/>
                  </w:pPr>
                  <w:r>
                    <w:rPr>
                      <w:rFonts w:ascii="仿宋_GB2312" w:hAnsi="仿宋_GB2312" w:cs="仿宋_GB2312" w:eastAsia="仿宋_GB2312"/>
                      <w:sz w:val="21"/>
                      <w:color w:val="000000"/>
                    </w:rPr>
                    <w:t>★9.内置自适应音频处理算法，在不同场地均能实现自动校准，具体音频相关技术指标要求：反馈抑制（AFC）：传声增益提升幅度：≥15dB；自动增益控制（AGC）：增益控制幅度：-12dB - +12dB。自适应背景降噪（ANS）：信噪比提升≥18dB ；回声消除（AEC）：回音消除尾音长度：≥512ms，回声消除幅度：≥ 60dB，收敛速度：≥ 60dB/S ；信噪比：≥95dB，信号处理延时≤8ms ；本地扩声声场不均匀度≤5dB；所有音频处理部分的频率响应： 20Hz-20kHz（±3dB）。（此项功能需提供证明材料，不限于彩页、官网截图、检测报告）。</w:t>
                  </w:r>
                </w:p>
                <w:p>
                  <w:pPr>
                    <w:pStyle w:val="null3"/>
                    <w:jc w:val="left"/>
                  </w:pPr>
                  <w:r>
                    <w:rPr>
                      <w:rFonts w:ascii="仿宋_GB2312" w:hAnsi="仿宋_GB2312" w:cs="仿宋_GB2312" w:eastAsia="仿宋_GB2312"/>
                      <w:sz w:val="21"/>
                      <w:color w:val="000000"/>
                    </w:rPr>
                    <w:t>10.功率放大器的输出功率：≥2*120W。</w:t>
                  </w:r>
                </w:p>
                <w:p>
                  <w:pPr>
                    <w:pStyle w:val="null3"/>
                    <w:jc w:val="left"/>
                  </w:pPr>
                  <w:r>
                    <w:rPr>
                      <w:rFonts w:ascii="仿宋_GB2312" w:hAnsi="仿宋_GB2312" w:cs="仿宋_GB2312" w:eastAsia="仿宋_GB2312"/>
                      <w:sz w:val="21"/>
                      <w:color w:val="000000"/>
                    </w:rPr>
                    <w:t>★11.需支持喊话功能，老师使用吊麦和教室音箱可直接与集控中心对话，喊话与吊麦本地扩声互不影响（此项功能需提供证明材料，不限于彩页、官网截图、检测报告）。</w:t>
                  </w:r>
                </w:p>
                <w:p>
                  <w:pPr>
                    <w:pStyle w:val="null3"/>
                    <w:jc w:val="left"/>
                  </w:pPr>
                  <w:r>
                    <w:rPr>
                      <w:rFonts w:ascii="仿宋_GB2312" w:hAnsi="仿宋_GB2312" w:cs="仿宋_GB2312" w:eastAsia="仿宋_GB2312"/>
                      <w:sz w:val="21"/>
                      <w:color w:val="000000"/>
                    </w:rPr>
                    <w:t>12.系统支持通过一只吊装麦克风实现本地扩音和远程互动，本地扩音和远程互动能同时进行，并且相互不影响效果；本地扩音要求扩出来的声音清晰响亮、无啸叫；远程互动要求声音清晰、无噪声和回声，双端同时讲话无卡音、丢字、声音变小和失真现象。</w:t>
                  </w:r>
                </w:p>
                <w:p>
                  <w:pPr>
                    <w:pStyle w:val="null3"/>
                    <w:jc w:val="left"/>
                  </w:pPr>
                  <w:r>
                    <w:rPr>
                      <w:rFonts w:ascii="仿宋_GB2312" w:hAnsi="仿宋_GB2312" w:cs="仿宋_GB2312" w:eastAsia="仿宋_GB2312"/>
                      <w:sz w:val="21"/>
                      <w:color w:val="000000"/>
                    </w:rPr>
                    <w:t>13.控制系统支持以下几种方式登录：支持RFID卡登录、密码、远程登录、扫码登录。</w:t>
                  </w:r>
                </w:p>
                <w:p>
                  <w:pPr>
                    <w:pStyle w:val="null3"/>
                    <w:jc w:val="left"/>
                  </w:pPr>
                  <w:r>
                    <w:rPr>
                      <w:rFonts w:ascii="仿宋_GB2312" w:hAnsi="仿宋_GB2312" w:cs="仿宋_GB2312" w:eastAsia="仿宋_GB2312"/>
                      <w:sz w:val="21"/>
                      <w:color w:val="000000"/>
                    </w:rPr>
                    <w:t>14.集成网络交换功能，提供≥8个网络接入端口和≥1个SFP光口（所有接口均为原始物理接口，拒绝通过外置设备实现，须提供实物图片予以佐证）。</w:t>
                  </w:r>
                </w:p>
                <w:p>
                  <w:pPr>
                    <w:pStyle w:val="null3"/>
                    <w:jc w:val="left"/>
                  </w:pPr>
                  <w:r>
                    <w:rPr>
                      <w:rFonts w:ascii="仿宋_GB2312" w:hAnsi="仿宋_GB2312" w:cs="仿宋_GB2312" w:eastAsia="仿宋_GB2312"/>
                      <w:sz w:val="21"/>
                      <w:color w:val="000000"/>
                    </w:rPr>
                    <w:t>★15.系统须具备自检功能，在上课前对教室内扩声系统、视频传输系统、设备启动情况等系统进行检测，能够精准的检测出扩声系统是否正常，教学电脑是否正常开机，视频矩阵信号是否正常，能够及时发现对应故障设备并进行异常提醒，系统完成自检后可生成自检报告（须提供实际功能应用截图</w:t>
                  </w:r>
                  <w:r>
                    <w:rPr>
                      <w:rFonts w:ascii="仿宋_GB2312" w:hAnsi="仿宋_GB2312" w:cs="仿宋_GB2312" w:eastAsia="仿宋_GB2312"/>
                      <w:sz w:val="24"/>
                    </w:rPr>
                    <w:t>佐证</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16.提供RFID读卡设备接口，支持与校园一卡通系统对接功能。</w:t>
                  </w:r>
                </w:p>
                <w:p>
                  <w:pPr>
                    <w:pStyle w:val="null3"/>
                    <w:jc w:val="left"/>
                  </w:pPr>
                  <w:r>
                    <w:rPr>
                      <w:rFonts w:ascii="仿宋_GB2312" w:hAnsi="仿宋_GB2312" w:cs="仿宋_GB2312" w:eastAsia="仿宋_GB2312"/>
                      <w:sz w:val="21"/>
                      <w:color w:val="000000"/>
                    </w:rPr>
                    <w:t>17.支持对接教务课表系统，实现定时开关功能，支持本地课表存储，可按课表自动执行系统开启和关闭，可脱网运行。</w:t>
                  </w:r>
                </w:p>
                <w:p>
                  <w:pPr>
                    <w:pStyle w:val="null3"/>
                    <w:jc w:val="left"/>
                  </w:pPr>
                  <w:r>
                    <w:rPr>
                      <w:rFonts w:ascii="仿宋_GB2312" w:hAnsi="仿宋_GB2312" w:cs="仿宋_GB2312" w:eastAsia="仿宋_GB2312"/>
                      <w:sz w:val="21"/>
                      <w:color w:val="000000"/>
                    </w:rPr>
                    <w:t>18.支持定时管理功能，可定时重启，支持本地升级和远程批量升级（可提供检测报告或原厂技术说明）。</w:t>
                  </w:r>
                </w:p>
                <w:p>
                  <w:pPr>
                    <w:pStyle w:val="null3"/>
                    <w:jc w:val="left"/>
                  </w:pPr>
                  <w:r>
                    <w:rPr>
                      <w:rFonts w:ascii="仿宋_GB2312" w:hAnsi="仿宋_GB2312" w:cs="仿宋_GB2312" w:eastAsia="仿宋_GB2312"/>
                      <w:sz w:val="21"/>
                      <w:color w:val="000000"/>
                    </w:rPr>
                    <w:t>★19.要求主机可以与学校现有中控管理平台对接，从而实现教学设备统一管理</w:t>
                  </w:r>
                  <w:r>
                    <w:rPr>
                      <w:rFonts w:ascii="仿宋_GB2312" w:hAnsi="仿宋_GB2312" w:cs="仿宋_GB2312" w:eastAsia="仿宋_GB2312"/>
                      <w:sz w:val="21"/>
                      <w:color w:val="000000"/>
                    </w:rPr>
                    <w:t>（需提供原厂针对此项目对接承诺函）。</w:t>
                  </w:r>
                </w:p>
                <w:p>
                  <w:pPr>
                    <w:pStyle w:val="null3"/>
                    <w:jc w:val="left"/>
                  </w:pPr>
                </w:p>
              </w:tc>
              <w:tc>
                <w:tcPr>
                  <w:tcW w:type="dxa" w:w="1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c>
                <w:tcPr>
                  <w:tcW w:type="dxa" w:w="1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网络中控面板</w:t>
                  </w:r>
                </w:p>
              </w:tc>
              <w:tc>
                <w:tcPr>
                  <w:tcW w:type="dxa" w:w="1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★1.要求液晶控制面板一体化设计，≥7寸座式工业电容式触摸屏，且集成刷卡模块，对讲模块，以及麦克风输入模块和扬声器模块。（此项功能需提供证明材料，不限于彩页、官网参数截图、检测报告）。</w:t>
                  </w:r>
                </w:p>
                <w:p>
                  <w:pPr>
                    <w:pStyle w:val="null3"/>
                    <w:jc w:val="left"/>
                  </w:pPr>
                  <w:r>
                    <w:rPr>
                      <w:rFonts w:ascii="仿宋_GB2312" w:hAnsi="仿宋_GB2312" w:cs="仿宋_GB2312" w:eastAsia="仿宋_GB2312"/>
                      <w:sz w:val="21"/>
                      <w:color w:val="000000"/>
                    </w:rPr>
                    <w:t>2.支持通过操作面板实现全双工IP语音对讲及故障报修运维功能，要求不配置专用对讲服务器实现功能。</w:t>
                  </w:r>
                </w:p>
                <w:p>
                  <w:pPr>
                    <w:pStyle w:val="null3"/>
                    <w:jc w:val="left"/>
                  </w:pPr>
                  <w:r>
                    <w:rPr>
                      <w:rFonts w:ascii="仿宋_GB2312" w:hAnsi="仿宋_GB2312" w:cs="仿宋_GB2312" w:eastAsia="仿宋_GB2312"/>
                      <w:sz w:val="21"/>
                      <w:color w:val="000000"/>
                    </w:rPr>
                    <w:t>3.开启方式需支持刷卡/插卡开机、扫码开机、密码开机、远程开机等。</w:t>
                  </w:r>
                </w:p>
                <w:p>
                  <w:pPr>
                    <w:pStyle w:val="null3"/>
                    <w:jc w:val="left"/>
                  </w:pPr>
                  <w:r>
                    <w:rPr>
                      <w:rFonts w:ascii="仿宋_GB2312" w:hAnsi="仿宋_GB2312" w:cs="仿宋_GB2312" w:eastAsia="仿宋_GB2312"/>
                      <w:sz w:val="21"/>
                      <w:color w:val="000000"/>
                    </w:rPr>
                    <w:t>4.液晶面板界面支持功能分组显示，支持中英文UI切换。</w:t>
                  </w:r>
                </w:p>
                <w:p>
                  <w:pPr>
                    <w:pStyle w:val="null3"/>
                    <w:jc w:val="left"/>
                  </w:pPr>
                  <w:r>
                    <w:rPr>
                      <w:rFonts w:ascii="仿宋_GB2312" w:hAnsi="仿宋_GB2312" w:cs="仿宋_GB2312" w:eastAsia="仿宋_GB2312"/>
                      <w:sz w:val="21"/>
                      <w:color w:val="000000"/>
                    </w:rPr>
                    <w:t>5.液晶面板支持自动息屏功能，长时间无操作，即关闭屏幕显示，点击屏幕，则重新唤醒屏幕显示。</w:t>
                  </w:r>
                </w:p>
                <w:p>
                  <w:pPr>
                    <w:pStyle w:val="null3"/>
                    <w:jc w:val="left"/>
                  </w:pPr>
                  <w:r>
                    <w:rPr>
                      <w:rFonts w:ascii="仿宋_GB2312" w:hAnsi="仿宋_GB2312" w:cs="仿宋_GB2312" w:eastAsia="仿宋_GB2312"/>
                      <w:sz w:val="21"/>
                      <w:color w:val="000000"/>
                    </w:rPr>
                    <w:t>6.液晶面板要求与多媒体教学终端为同一品牌。</w:t>
                  </w:r>
                </w:p>
                <w:p>
                  <w:pPr>
                    <w:pStyle w:val="null3"/>
                    <w:jc w:val="left"/>
                  </w:pPr>
                  <w:r>
                    <w:rPr>
                      <w:rFonts w:ascii="仿宋_GB2312" w:hAnsi="仿宋_GB2312" w:cs="仿宋_GB2312" w:eastAsia="仿宋_GB2312"/>
                      <w:sz w:val="21"/>
                      <w:color w:val="000000"/>
                    </w:rPr>
                    <w:t>7.提供液晶控制面板控制软件计算机著作权证书扫描件。</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吊麦拾音器</w:t>
                  </w:r>
                </w:p>
              </w:tc>
              <w:tc>
                <w:tcPr>
                  <w:tcW w:type="dxa" w:w="1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1.频率范围：20Hz-20KHz 。</w:t>
                  </w:r>
                </w:p>
                <w:p>
                  <w:pPr>
                    <w:pStyle w:val="null3"/>
                    <w:jc w:val="left"/>
                  </w:pPr>
                  <w:r>
                    <w:rPr>
                      <w:rFonts w:ascii="仿宋_GB2312" w:hAnsi="仿宋_GB2312" w:cs="仿宋_GB2312" w:eastAsia="仿宋_GB2312"/>
                      <w:sz w:val="21"/>
                      <w:color w:val="000000"/>
                    </w:rPr>
                    <w:t>2.灵敏度：≥-35dB（18mV/Pa）。</w:t>
                  </w:r>
                </w:p>
                <w:p>
                  <w:pPr>
                    <w:pStyle w:val="null3"/>
                    <w:jc w:val="left"/>
                  </w:pPr>
                  <w:r>
                    <w:rPr>
                      <w:rFonts w:ascii="仿宋_GB2312" w:hAnsi="仿宋_GB2312" w:cs="仿宋_GB2312" w:eastAsia="仿宋_GB2312"/>
                      <w:sz w:val="21"/>
                      <w:color w:val="000000"/>
                    </w:rPr>
                    <w:t>3.指向性：超心型。</w:t>
                  </w:r>
                </w:p>
                <w:p>
                  <w:pPr>
                    <w:pStyle w:val="null3"/>
                    <w:jc w:val="left"/>
                  </w:pPr>
                  <w:r>
                    <w:rPr>
                      <w:rFonts w:ascii="仿宋_GB2312" w:hAnsi="仿宋_GB2312" w:cs="仿宋_GB2312" w:eastAsia="仿宋_GB2312"/>
                      <w:sz w:val="21"/>
                      <w:color w:val="000000"/>
                    </w:rPr>
                    <w:t>4.最大声压级：≥135dB。</w:t>
                  </w:r>
                </w:p>
                <w:p>
                  <w:pPr>
                    <w:pStyle w:val="null3"/>
                    <w:jc w:val="left"/>
                  </w:pPr>
                  <w:r>
                    <w:rPr>
                      <w:rFonts w:ascii="仿宋_GB2312" w:hAnsi="仿宋_GB2312" w:cs="仿宋_GB2312" w:eastAsia="仿宋_GB2312"/>
                      <w:sz w:val="21"/>
                      <w:color w:val="000000"/>
                    </w:rPr>
                    <w:t>5.信噪比：≥75dB 。</w:t>
                  </w:r>
                </w:p>
                <w:p>
                  <w:pPr>
                    <w:pStyle w:val="null3"/>
                    <w:jc w:val="left"/>
                  </w:pPr>
                  <w:r>
                    <w:rPr>
                      <w:rFonts w:ascii="仿宋_GB2312" w:hAnsi="仿宋_GB2312" w:cs="仿宋_GB2312" w:eastAsia="仿宋_GB2312"/>
                      <w:sz w:val="21"/>
                      <w:color w:val="000000"/>
                    </w:rPr>
                    <w:t>6.供电电压：48V幻象电源供电。</w:t>
                  </w:r>
                </w:p>
                <w:p>
                  <w:pPr>
                    <w:pStyle w:val="null3"/>
                    <w:jc w:val="left"/>
                  </w:pPr>
                  <w:r>
                    <w:rPr>
                      <w:rFonts w:ascii="仿宋_GB2312" w:hAnsi="仿宋_GB2312" w:cs="仿宋_GB2312" w:eastAsia="仿宋_GB2312"/>
                      <w:sz w:val="21"/>
                      <w:color w:val="000000"/>
                    </w:rPr>
                    <w:t>7.抗手机、电磁、高频干扰。</w:t>
                  </w:r>
                </w:p>
                <w:p>
                  <w:pPr>
                    <w:pStyle w:val="null3"/>
                    <w:jc w:val="left"/>
                  </w:pPr>
                  <w:r>
                    <w:rPr>
                      <w:rFonts w:ascii="仿宋_GB2312" w:hAnsi="仿宋_GB2312" w:cs="仿宋_GB2312" w:eastAsia="仿宋_GB2312"/>
                      <w:sz w:val="21"/>
                      <w:color w:val="000000"/>
                    </w:rPr>
                    <w:t>8.有吊顶的教室使用吸顶麦克风拾音，吸顶麦克风露出部分不能超过8厘米，没有吊顶的教室使用吊装麦克风，麦克风最低处离地面</w:t>
                  </w:r>
                  <w:r>
                    <w:rPr>
                      <w:rFonts w:ascii="仿宋_GB2312" w:hAnsi="仿宋_GB2312" w:cs="仿宋_GB2312" w:eastAsia="仿宋_GB2312"/>
                      <w:sz w:val="21"/>
                      <w:color w:val="FF0000"/>
                    </w:rPr>
                    <w:t>≥</w:t>
                  </w:r>
                  <w:r>
                    <w:rPr>
                      <w:rFonts w:ascii="仿宋_GB2312" w:hAnsi="仿宋_GB2312" w:cs="仿宋_GB2312" w:eastAsia="仿宋_GB2312"/>
                      <w:sz w:val="21"/>
                      <w:color w:val="000000"/>
                    </w:rPr>
                    <w:t>3.5米（根据教室层高自行调整）。</w:t>
                  </w:r>
                </w:p>
                <w:p>
                  <w:pPr>
                    <w:pStyle w:val="null3"/>
                    <w:jc w:val="left"/>
                  </w:pPr>
                  <w:r>
                    <w:rPr>
                      <w:rFonts w:ascii="仿宋_GB2312" w:hAnsi="仿宋_GB2312" w:cs="仿宋_GB2312" w:eastAsia="仿宋_GB2312"/>
                      <w:sz w:val="21"/>
                      <w:color w:val="000000"/>
                    </w:rPr>
                    <w:t>9.内部嵌入数字麦克风软件（提供数字麦克风嵌入式软件的计算机软件著作权登记证书复印件）。</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r>
            <w:tr>
              <w:tc>
                <w:tcPr>
                  <w:tcW w:type="dxa" w:w="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教学音箱</w:t>
                  </w:r>
                </w:p>
              </w:tc>
              <w:tc>
                <w:tcPr>
                  <w:tcW w:type="dxa" w:w="1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1.频率响应：80Hz-18KHz（±3dB）。</w:t>
                  </w:r>
                </w:p>
                <w:p>
                  <w:pPr>
                    <w:pStyle w:val="null3"/>
                    <w:jc w:val="left"/>
                  </w:pPr>
                  <w:r>
                    <w:rPr>
                      <w:rFonts w:ascii="仿宋_GB2312" w:hAnsi="仿宋_GB2312" w:cs="仿宋_GB2312" w:eastAsia="仿宋_GB2312"/>
                      <w:sz w:val="21"/>
                      <w:color w:val="000000"/>
                    </w:rPr>
                    <w:t>2.额定阻抗：≤8Ω。</w:t>
                  </w:r>
                </w:p>
                <w:p>
                  <w:pPr>
                    <w:pStyle w:val="null3"/>
                    <w:jc w:val="left"/>
                  </w:pPr>
                  <w:r>
                    <w:rPr>
                      <w:rFonts w:ascii="仿宋_GB2312" w:hAnsi="仿宋_GB2312" w:cs="仿宋_GB2312" w:eastAsia="仿宋_GB2312"/>
                      <w:sz w:val="21"/>
                      <w:color w:val="000000"/>
                    </w:rPr>
                    <w:t>3.总谐波失真（120Hz-20KHz频率范围内）：≤3%。</w:t>
                  </w:r>
                </w:p>
                <w:p>
                  <w:pPr>
                    <w:pStyle w:val="null3"/>
                    <w:jc w:val="left"/>
                  </w:pPr>
                  <w:r>
                    <w:rPr>
                      <w:rFonts w:ascii="仿宋_GB2312" w:hAnsi="仿宋_GB2312" w:cs="仿宋_GB2312" w:eastAsia="仿宋_GB2312"/>
                      <w:sz w:val="21"/>
                      <w:color w:val="000000"/>
                    </w:rPr>
                    <w:t>4.特性灵敏度：≥88dB</w:t>
                  </w:r>
                  <w:r>
                    <w:rPr>
                      <w:rFonts w:ascii="仿宋_GB2312" w:hAnsi="仿宋_GB2312" w:cs="仿宋_GB2312" w:eastAsia="仿宋_GB2312"/>
                      <w:sz w:val="21"/>
                      <w:color w:val="000000"/>
                    </w:rPr>
                    <w:t>（需提供国家权威机构出具具有</w:t>
                  </w:r>
                  <w:r>
                    <w:rPr>
                      <w:rFonts w:ascii="仿宋_GB2312" w:hAnsi="仿宋_GB2312" w:cs="仿宋_GB2312" w:eastAsia="仿宋_GB2312"/>
                      <w:sz w:val="21"/>
                      <w:color w:val="000000"/>
                    </w:rPr>
                    <w:t>CMA或CNAS标识的检测报告扫描件并加盖原厂公章）。</w:t>
                  </w:r>
                </w:p>
                <w:p>
                  <w:pPr>
                    <w:pStyle w:val="null3"/>
                    <w:jc w:val="left"/>
                  </w:pPr>
                  <w:r>
                    <w:rPr>
                      <w:rFonts w:ascii="仿宋_GB2312" w:hAnsi="仿宋_GB2312" w:cs="仿宋_GB2312" w:eastAsia="仿宋_GB2312"/>
                      <w:sz w:val="21"/>
                      <w:color w:val="000000"/>
                    </w:rPr>
                    <w:t>5.长期最大功率：≥6</w:t>
                  </w:r>
                  <w:r>
                    <w:rPr>
                      <w:rFonts w:ascii="仿宋_GB2312" w:hAnsi="仿宋_GB2312" w:cs="仿宋_GB2312" w:eastAsia="仿宋_GB2312"/>
                      <w:sz w:val="21"/>
                      <w:color w:val="000000"/>
                    </w:rPr>
                    <w:t>0W（需提供国家权威机构出具具有CMA或CNAS标识的检测报告扫描件并加盖原厂公章）。</w:t>
                  </w:r>
                </w:p>
                <w:p>
                  <w:pPr>
                    <w:pStyle w:val="null3"/>
                    <w:jc w:val="left"/>
                  </w:pPr>
                  <w:r>
                    <w:rPr>
                      <w:rFonts w:ascii="仿宋_GB2312" w:hAnsi="仿宋_GB2312" w:cs="仿宋_GB2312" w:eastAsia="仿宋_GB2312"/>
                      <w:sz w:val="21"/>
                      <w:color w:val="000000"/>
                    </w:rPr>
                    <w:t>6.高音单元：≥1吋。</w:t>
                  </w:r>
                </w:p>
                <w:p>
                  <w:pPr>
                    <w:pStyle w:val="null3"/>
                    <w:jc w:val="left"/>
                  </w:pPr>
                  <w:r>
                    <w:rPr>
                      <w:rFonts w:ascii="仿宋_GB2312" w:hAnsi="仿宋_GB2312" w:cs="仿宋_GB2312" w:eastAsia="仿宋_GB2312"/>
                      <w:sz w:val="21"/>
                      <w:color w:val="000000"/>
                    </w:rPr>
                    <w:t>7.低音单元：≥4吋。</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对</w:t>
                  </w:r>
                </w:p>
              </w:tc>
            </w:tr>
            <w:tr>
              <w:tc>
                <w:tcPr>
                  <w:tcW w:type="dxa" w:w="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POE交换机</w:t>
                  </w:r>
                </w:p>
              </w:tc>
              <w:tc>
                <w:tcPr>
                  <w:tcW w:type="dxa" w:w="1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1.6口干兆POE以太网交换机。</w:t>
                  </w:r>
                </w:p>
                <w:p>
                  <w:pPr>
                    <w:pStyle w:val="null3"/>
                    <w:jc w:val="left"/>
                  </w:pPr>
                  <w:r>
                    <w:rPr>
                      <w:rFonts w:ascii="仿宋_GB2312" w:hAnsi="仿宋_GB2312" w:cs="仿宋_GB2312" w:eastAsia="仿宋_GB2312"/>
                      <w:sz w:val="21"/>
                      <w:color w:val="000000"/>
                    </w:rPr>
                    <w:t>2.RJ45千兆*6，4个RJ45支持PoE供电，单口30W供电，整机输出功率≥60W，支持智能功率调度，可满足单间教室全部终端同步稳定供电。</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228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备注：本次吊麦、音箱用于老旧故障设备替换，其余教室原有拾音、音响设备统一纳入项目</w:t>
                  </w:r>
                  <w:r>
                    <w:rPr>
                      <w:rFonts w:ascii="仿宋_GB2312" w:hAnsi="仿宋_GB2312" w:cs="仿宋_GB2312" w:eastAsia="仿宋_GB2312"/>
                      <w:sz w:val="21"/>
                      <w:color w:val="000000"/>
                    </w:rPr>
                    <w:t>3年质保维保范围。</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54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二</w:t>
                  </w:r>
                  <w:r>
                    <w:rPr>
                      <w:rFonts w:ascii="仿宋_GB2312" w:hAnsi="仿宋_GB2312" w:cs="仿宋_GB2312" w:eastAsia="仿宋_GB2312"/>
                      <w:sz w:val="28"/>
                    </w:rPr>
                    <w:t>、辅材及项目施工</w:t>
                  </w:r>
                </w:p>
              </w:tc>
            </w:tr>
            <w:tr>
              <w:tc>
                <w:tcPr>
                  <w:tcW w:type="dxa" w:w="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设备安装调试</w:t>
                  </w:r>
                </w:p>
              </w:tc>
              <w:tc>
                <w:tcPr>
                  <w:tcW w:type="dxa" w:w="19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包含教室的工程布线、设备安装、系统调试等服务。</w:t>
                  </w:r>
                </w:p>
              </w:tc>
              <w:tc>
                <w:tcPr>
                  <w:tcW w:type="dxa" w:w="1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c>
                <w:tcPr>
                  <w:tcW w:type="dxa" w:w="1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点位</w:t>
                  </w:r>
                </w:p>
              </w:tc>
            </w:tr>
            <w:tr>
              <w:tc>
                <w:tcPr>
                  <w:tcW w:type="dxa" w:w="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线材辅料</w:t>
                  </w:r>
                </w:p>
              </w:tc>
              <w:tc>
                <w:tcPr>
                  <w:tcW w:type="dxa" w:w="1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1.包含100间教室建设所需的网线、视频线、音频线、电源线、线管等所有线材辅材；</w:t>
                  </w:r>
                </w:p>
                <w:p>
                  <w:pPr>
                    <w:pStyle w:val="null3"/>
                    <w:jc w:val="left"/>
                  </w:pPr>
                  <w:r>
                    <w:rPr>
                      <w:rFonts w:ascii="仿宋_GB2312" w:hAnsi="仿宋_GB2312" w:cs="仿宋_GB2312" w:eastAsia="仿宋_GB2312"/>
                      <w:sz w:val="21"/>
                      <w:color w:val="000000"/>
                    </w:rPr>
                    <w:t>2.所有辅材必须符合国家标准。</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点位</w:t>
                  </w:r>
                </w:p>
              </w:tc>
            </w:tr>
            <w:tr>
              <w:tc>
                <w:tcPr>
                  <w:tcW w:type="dxa" w:w="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培训</w:t>
                  </w:r>
                </w:p>
              </w:tc>
              <w:tc>
                <w:tcPr>
                  <w:tcW w:type="dxa" w:w="1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对于部署完成的各项应用系统，供应商需保证培训相关人员（学校管理员及使用人员）达到熟练使用为止，并编制配发系统使用操作手册。</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r>
            <w:tr>
              <w:tc>
                <w:tcPr>
                  <w:tcW w:type="dxa" w:w="254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三</w:t>
                  </w:r>
                  <w:r>
                    <w:rPr>
                      <w:rFonts w:ascii="仿宋_GB2312" w:hAnsi="仿宋_GB2312" w:cs="仿宋_GB2312" w:eastAsia="仿宋_GB2312"/>
                      <w:sz w:val="28"/>
                    </w:rPr>
                    <w:t>、平台对接服务</w:t>
                  </w:r>
                </w:p>
              </w:tc>
            </w:tr>
            <w:tr>
              <w:tc>
                <w:tcPr>
                  <w:tcW w:type="dxa" w:w="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2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与现有系统对接服务</w:t>
                  </w:r>
                </w:p>
              </w:tc>
              <w:tc>
                <w:tcPr>
                  <w:tcW w:type="dxa" w:w="19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与校园现有教学设备管理综合平台进行无缝衔接，保障设备管理顺畅。</w:t>
                  </w:r>
                </w:p>
              </w:tc>
              <w:tc>
                <w:tcPr>
                  <w:tcW w:type="dxa" w:w="1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r>
            <w:tr>
              <w:tc>
                <w:tcPr>
                  <w:tcW w:type="dxa" w:w="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统一认证对接服务</w:t>
                  </w:r>
                </w:p>
              </w:tc>
              <w:tc>
                <w:tcPr>
                  <w:tcW w:type="dxa" w:w="1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1.需按照统一认证系统要求，进行系统对接，实现用户统一账号登录；</w:t>
                  </w:r>
                </w:p>
                <w:p>
                  <w:pPr>
                    <w:pStyle w:val="null3"/>
                    <w:jc w:val="left"/>
                  </w:pPr>
                  <w:r>
                    <w:rPr>
                      <w:rFonts w:ascii="仿宋_GB2312" w:hAnsi="仿宋_GB2312" w:cs="仿宋_GB2312" w:eastAsia="仿宋_GB2312"/>
                      <w:sz w:val="21"/>
                      <w:color w:val="000000"/>
                    </w:rPr>
                    <w:t>2.提供原厂系统及数据对接承诺函。</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r>
            <w:tr>
              <w:tc>
                <w:tcPr>
                  <w:tcW w:type="dxa" w:w="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教务系统对接服务</w:t>
                  </w:r>
                </w:p>
              </w:tc>
              <w:tc>
                <w:tcPr>
                  <w:tcW w:type="dxa" w:w="1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将教学综合信息服务平台（教务系统）中的</w:t>
                  </w:r>
                  <w:r>
                    <w:rPr>
                      <w:rFonts w:ascii="仿宋_GB2312" w:hAnsi="仿宋_GB2312" w:cs="仿宋_GB2312" w:eastAsia="仿宋_GB2312"/>
                      <w:sz w:val="21"/>
                      <w:color w:val="000000"/>
                    </w:rPr>
                    <w:t>课表</w:t>
                  </w:r>
                  <w:r>
                    <w:rPr>
                      <w:rFonts w:ascii="仿宋_GB2312" w:hAnsi="仿宋_GB2312" w:cs="仿宋_GB2312" w:eastAsia="仿宋_GB2312"/>
                      <w:sz w:val="21"/>
                      <w:color w:val="000000"/>
                    </w:rPr>
                    <w:t>数据与教学设备管理综合平台（多媒体设备管控）系统</w:t>
                  </w:r>
                  <w:r>
                    <w:rPr>
                      <w:rFonts w:ascii="仿宋_GB2312" w:hAnsi="仿宋_GB2312" w:cs="仿宋_GB2312" w:eastAsia="仿宋_GB2312"/>
                      <w:sz w:val="21"/>
                      <w:color w:val="000000"/>
                    </w:rPr>
                    <w:t>对接</w:t>
                  </w:r>
                  <w:r>
                    <w:rPr>
                      <w:rFonts w:ascii="仿宋_GB2312" w:hAnsi="仿宋_GB2312" w:cs="仿宋_GB2312" w:eastAsia="仿宋_GB2312"/>
                      <w:sz w:val="21"/>
                      <w:color w:val="000000"/>
                    </w:rPr>
                    <w:t>，</w:t>
                  </w:r>
                  <w:r>
                    <w:rPr>
                      <w:rFonts w:ascii="仿宋_GB2312" w:hAnsi="仿宋_GB2312" w:cs="仿宋_GB2312" w:eastAsia="仿宋_GB2312"/>
                      <w:sz w:val="21"/>
                      <w:color w:val="000000"/>
                    </w:rPr>
                    <w:t>精准控制教室多媒体教学设备的开启、关闭与常规管理</w:t>
                  </w:r>
                  <w:r>
                    <w:rPr>
                      <w:rFonts w:ascii="仿宋_GB2312" w:hAnsi="仿宋_GB2312" w:cs="仿宋_GB2312" w:eastAsia="仿宋_GB2312"/>
                      <w:sz w:val="21"/>
                      <w:color w:val="000000"/>
                    </w:rPr>
                    <w:t>；</w:t>
                  </w:r>
                  <w:r>
                    <w:rPr>
                      <w:rFonts w:ascii="仿宋_GB2312" w:hAnsi="仿宋_GB2312" w:cs="仿宋_GB2312" w:eastAsia="仿宋_GB2312"/>
                      <w:sz w:val="21"/>
                      <w:color w:val="000000"/>
                    </w:rPr>
                    <w:t>具备系统后台一键开启</w:t>
                  </w:r>
                  <w:r>
                    <w:rPr>
                      <w:rFonts w:ascii="仿宋_GB2312" w:hAnsi="仿宋_GB2312" w:cs="仿宋_GB2312" w:eastAsia="仿宋_GB2312"/>
                      <w:sz w:val="21"/>
                      <w:color w:val="000000"/>
                    </w:rPr>
                    <w:t>/关闭所有多媒体教学设备功能。</w:t>
                  </w:r>
                </w:p>
                <w:p>
                  <w:pPr>
                    <w:pStyle w:val="null3"/>
                    <w:jc w:val="left"/>
                  </w:pPr>
                  <w:r>
                    <w:rPr>
                      <w:rFonts w:ascii="仿宋_GB2312" w:hAnsi="仿宋_GB2312" w:cs="仿宋_GB2312" w:eastAsia="仿宋_GB2312"/>
                      <w:sz w:val="21"/>
                      <w:color w:val="000000"/>
                    </w:rPr>
                    <w:t>2.提供原厂系统及数据对接承诺函。</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r>
            <w:tr>
              <w:tc>
                <w:tcPr>
                  <w:tcW w:type="dxa" w:w="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中控系统数据对接</w:t>
                  </w:r>
                </w:p>
              </w:tc>
              <w:tc>
                <w:tcPr>
                  <w:tcW w:type="dxa" w:w="1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1.支持与数据中心数据库对接，包含教务数据、一网通办数据等；</w:t>
                  </w:r>
                  <w:r>
                    <w:br/>
                  </w:r>
                  <w:r>
                    <w:rPr>
                      <w:rFonts w:ascii="仿宋_GB2312" w:hAnsi="仿宋_GB2312" w:cs="仿宋_GB2312" w:eastAsia="仿宋_GB2312"/>
                      <w:sz w:val="21"/>
                      <w:color w:val="000000"/>
                    </w:rPr>
                    <w:t>2.提供原厂系统及数据对接承诺函。</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r>
            <w:tr>
              <w:tc>
                <w:tcPr>
                  <w:tcW w:type="dxa" w:w="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与数据中台开展数据对接</w:t>
                  </w:r>
                </w:p>
              </w:tc>
              <w:tc>
                <w:tcPr>
                  <w:tcW w:type="dxa" w:w="1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.与数据中台进行消息对接；</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系统产生的所有业务数据应对学院开放，下行数据应通过数据中台进行共享交换；上行数据应通过学院数据中台进行数据推送，免费配合</w:t>
                  </w:r>
                  <w:r>
                    <w:rPr>
                      <w:rFonts w:ascii="仿宋_GB2312" w:hAnsi="仿宋_GB2312" w:cs="仿宋_GB2312" w:eastAsia="仿宋_GB2312"/>
                      <w:sz w:val="21"/>
                    </w:rPr>
                    <w:t>开放</w:t>
                  </w:r>
                  <w:r>
                    <w:rPr>
                      <w:rFonts w:ascii="仿宋_GB2312" w:hAnsi="仿宋_GB2312" w:cs="仿宋_GB2312" w:eastAsia="仿宋_GB2312"/>
                      <w:sz w:val="21"/>
                    </w:rPr>
                    <w:t>数据接口，实现数据推送。</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r>
            <w:tr>
              <w:tc>
                <w:tcPr>
                  <w:tcW w:type="dxa" w:w="254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四、定制应用开发服务</w:t>
                  </w:r>
                </w:p>
              </w:tc>
            </w:tr>
            <w:tr>
              <w:tc>
                <w:tcPr>
                  <w:tcW w:type="dxa" w:w="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2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重大新闻</w:t>
                  </w:r>
                  <w:r>
                    <w:rPr>
                      <w:rFonts w:ascii="仿宋_GB2312" w:hAnsi="仿宋_GB2312" w:cs="仿宋_GB2312" w:eastAsia="仿宋_GB2312"/>
                      <w:sz w:val="21"/>
                    </w:rPr>
                    <w:t>/事项发布模块：</w:t>
                  </w:r>
                </w:p>
              </w:tc>
              <w:tc>
                <w:tcPr>
                  <w:tcW w:type="dxa" w:w="19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定制开发应用端软件，与</w:t>
                  </w:r>
                  <w:r>
                    <w:rPr>
                      <w:rFonts w:ascii="仿宋_GB2312" w:hAnsi="仿宋_GB2312" w:cs="仿宋_GB2312" w:eastAsia="仿宋_GB2312"/>
                      <w:sz w:val="21"/>
                    </w:rPr>
                    <w:t>20</w:t>
                  </w:r>
                  <w:r>
                    <w:rPr>
                      <w:rFonts w:ascii="仿宋_GB2312" w:hAnsi="仿宋_GB2312" w:cs="仿宋_GB2312" w:eastAsia="仿宋_GB2312"/>
                      <w:sz w:val="21"/>
                    </w:rPr>
                    <w:t>2</w:t>
                  </w:r>
                  <w:r>
                    <w:rPr>
                      <w:rFonts w:ascii="仿宋_GB2312" w:hAnsi="仿宋_GB2312" w:cs="仿宋_GB2312" w:eastAsia="仿宋_GB2312"/>
                      <w:sz w:val="21"/>
                    </w:rPr>
                    <w:t>5年建成的数智化教室建设项目做数据融合和对接服务，在各教学楼每层的教学资源展示大屏幕上（共26块资源展示大屏），分屏滚动显示重大新闻/获奖/事件等消息，显示方式采用标题+图片方式；融合和对接的数据来源为教务系统指定模块或数据中台指定模块；且原教学场所所显示的教室使用状态信息不受影响。消息推送延迟≤3s，支持JPG/PNG，后台自定义5–30s轮播间隔。</w:t>
                  </w:r>
                </w:p>
              </w:tc>
              <w:tc>
                <w:tcPr>
                  <w:tcW w:type="dxa" w:w="1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30 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汉中职业技术学院</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进度款，设备安装到位验收合格，达到付款条件起25个工作日内，支付合同总金额的60.0%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进度款，硬件及平台运行一学期后无故障，达到付款条件起25个工作日内，支付合同总金额的40.0%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试运行1周后组织验收，按照招标文件、投标文件和合同约定进行验收。分期实施的采购项目，应当结合分期考核的情况，明确分期验收要求。货物类项目可以根据需要设置出厂检验、到货检验、安装调试检验、配套服务检验等多重验收环节。工程类项目的验收方案应当符合行业管理部门规定的标准、方法和内容。</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在承诺的质保期内对所有产品及时进行免费的售后服务，电子产品保修期为3年。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乙方未全面履行合同义务或者发生违约，甲方有权终止合同，依法向乙方进行经济索赔，并报请政府采购监督管理机关依法进行相应的行政处罚。甲方违约的，应当赔偿给乙方造成的经济损失。</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投标供应商为具有独立承担民事责任能力的法人或其他组织或自然人，并出具合法有效的营业执照或事业法人证书等国家规定的相关证明，自然人参与的提供其身份证明；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身份证明》及《法定代表人授权委托书》附法定代表人身份证复印件及被授权人身份证复印件；</w:t>
            </w:r>
          </w:p>
        </w:tc>
        <w:tc>
          <w:tcPr>
            <w:tcW w:type="dxa" w:w="1661"/>
          </w:tcPr>
          <w:p>
            <w:pPr>
              <w:pStyle w:val="null3"/>
            </w:pPr>
            <w:r>
              <w:rPr>
                <w:rFonts w:ascii="仿宋_GB2312" w:hAnsi="仿宋_GB2312" w:cs="仿宋_GB2312" w:eastAsia="仿宋_GB2312"/>
              </w:rPr>
              <w:t>法定代表人身份证明或授权委托书.docx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拟参与本项目的投标人应按照汉中市财政局《关于全面推行政府采购供应商基本资格条件承诺制的通知》(汉财办采管(2024)20 号)文件要求，提供满足相应条件的资格承诺函；</w:t>
            </w:r>
          </w:p>
        </w:tc>
        <w:tc>
          <w:tcPr>
            <w:tcW w:type="dxa" w:w="1661"/>
          </w:tcPr>
          <w:p>
            <w:pPr>
              <w:pStyle w:val="null3"/>
            </w:pPr>
            <w:r>
              <w:rPr>
                <w:rFonts w:ascii="仿宋_GB2312" w:hAnsi="仿宋_GB2312" w:cs="仿宋_GB2312" w:eastAsia="仿宋_GB2312"/>
              </w:rPr>
              <w:t>汉中市政府采购供应商资格承诺函.docx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⾮联合体声明</w:t>
            </w:r>
          </w:p>
        </w:tc>
        <w:tc>
          <w:tcPr>
            <w:tcW w:type="dxa" w:w="3322"/>
          </w:tcPr>
          <w:p>
            <w:pPr>
              <w:pStyle w:val="null3"/>
            </w:pPr>
            <w:r>
              <w:rPr>
                <w:rFonts w:ascii="仿宋_GB2312" w:hAnsi="仿宋_GB2312" w:cs="仿宋_GB2312" w:eastAsia="仿宋_GB2312"/>
              </w:rPr>
              <w:t>本项⽬不接受联合体投标，需提供⾮联合体书⾯声明。</w:t>
            </w:r>
          </w:p>
        </w:tc>
        <w:tc>
          <w:tcPr>
            <w:tcW w:type="dxa" w:w="1661"/>
          </w:tcPr>
          <w:p>
            <w:pPr>
              <w:pStyle w:val="null3"/>
            </w:pPr>
            <w:r>
              <w:rPr>
                <w:rFonts w:ascii="仿宋_GB2312" w:hAnsi="仿宋_GB2312" w:cs="仿宋_GB2312" w:eastAsia="仿宋_GB2312"/>
              </w:rPr>
              <w:t>非联合体声明.docx 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均按招标文件要求签字盖章</w:t>
            </w:r>
          </w:p>
        </w:tc>
        <w:tc>
          <w:tcPr>
            <w:tcW w:type="dxa" w:w="1661"/>
          </w:tcPr>
          <w:p>
            <w:pPr>
              <w:pStyle w:val="null3"/>
            </w:pPr>
            <w:r>
              <w:rPr>
                <w:rFonts w:ascii="仿宋_GB2312" w:hAnsi="仿宋_GB2312" w:cs="仿宋_GB2312" w:eastAsia="仿宋_GB2312"/>
              </w:rPr>
              <w:t>开标一览表 技术方案.docx 中小企业声明函 商务应答表 汉中市政府采购供应商资格承诺函.docx 投标人应提交的相关资格证明材料 投标分项报价表.docx 法定代表人身份证明或授权委托书.docx 产品技术参数表 非联合体声明.docx 技术偏离表.docx 投标函 拟投入本项目人员配置情况表.docx 残疾人福利性单位声明函 标的清单 投标文件封面 业绩相关证明材料.docx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带“★”符合“技术参数与性能指标”要求，无偏差</w:t>
            </w:r>
          </w:p>
        </w:tc>
        <w:tc>
          <w:tcPr>
            <w:tcW w:type="dxa" w:w="1661"/>
          </w:tcPr>
          <w:p>
            <w:pPr>
              <w:pStyle w:val="null3"/>
            </w:pPr>
            <w:r>
              <w:rPr>
                <w:rFonts w:ascii="仿宋_GB2312" w:hAnsi="仿宋_GB2312" w:cs="仿宋_GB2312" w:eastAsia="仿宋_GB2312"/>
              </w:rPr>
              <w:t>产品技术参数表 技术偏离表.docx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符合招标文件格式要求无遗漏。</w:t>
            </w:r>
          </w:p>
        </w:tc>
        <w:tc>
          <w:tcPr>
            <w:tcW w:type="dxa" w:w="1661"/>
          </w:tcPr>
          <w:p>
            <w:pPr>
              <w:pStyle w:val="null3"/>
            </w:pPr>
            <w:r>
              <w:rPr>
                <w:rFonts w:ascii="仿宋_GB2312" w:hAnsi="仿宋_GB2312" w:cs="仿宋_GB2312" w:eastAsia="仿宋_GB2312"/>
              </w:rPr>
              <w:t>开标一览表 技术方案.docx 中小企业声明函 商务应答表 汉中市政府采购供应商资格承诺函.docx 投标人应提交的相关资格证明材料 投标分项报价表.docx 法定代表人身份证明或授权委托书.docx 产品技术参数表 非联合体声明.docx 技术偏离表.docx 投标函 拟投入本项目人员配置情况表.docx 残疾人福利性单位声明函 标的清单 投标文件封面 业绩相关证明材料.docx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投标人所投产品为“节能产品政府采购品目清单（非强制采购产品）”或“环境标志产品政府采购品目清单”内的，应提供该产品由国家确定的认证机构出具的节能产品认证证书或中国环境标志产品认证证书且处于有效期内的，每提供一个得 1 分，满分 3分。 备注：以加盖投标人公章的证明材料为计分依据，无证书不得分。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投标人2023年5月1日至今（合同签订时间为准）完成智慧教室、多媒体中控、校园音视频改造同类信息化项目业绩，每提供1份有效合同得2.5分，最高5分。 证明材料：合同复印件加盖公章，合同内须清晰体现同类设备/改造内容；合同无法体现项目内容的，须同步提供项目验收单、设备清单等佐证材料，材料缺失不得分。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业绩相关证明材料.docx</w:t>
            </w:r>
          </w:p>
        </w:tc>
      </w:tr>
      <w:tr>
        <w:tc>
          <w:tcPr>
            <w:tcW w:type="dxa" w:w="831"/>
            <w:vMerge/>
          </w:tcPr>
          <w:p/>
        </w:tc>
        <w:tc>
          <w:tcPr>
            <w:tcW w:type="dxa" w:w="1661"/>
          </w:tcPr>
          <w:p>
            <w:pPr>
              <w:pStyle w:val="null3"/>
            </w:pPr>
            <w:r>
              <w:rPr>
                <w:rFonts w:ascii="仿宋_GB2312" w:hAnsi="仿宋_GB2312" w:cs="仿宋_GB2312" w:eastAsia="仿宋_GB2312"/>
              </w:rPr>
              <w:t>项目专业技术人员配置</w:t>
            </w:r>
          </w:p>
        </w:tc>
        <w:tc>
          <w:tcPr>
            <w:tcW w:type="dxa" w:w="2492"/>
          </w:tcPr>
          <w:p>
            <w:pPr>
              <w:pStyle w:val="null3"/>
            </w:pPr>
            <w:r>
              <w:rPr>
                <w:rFonts w:ascii="仿宋_GB2312" w:hAnsi="仿宋_GB2312" w:cs="仿宋_GB2312" w:eastAsia="仿宋_GB2312"/>
              </w:rPr>
              <w:t>1、项⽬负责人具备软件/信息技术类⾼级职称得3分，中级职称得2分，初级职称得1分、⽆职称不得分。 2、项⽬实施团队成员中(不含项⽬负责人)，每具有⼀个⾼级职称得3分，每具有⼀个中级职称得2分，每具有⼀个初级职称得1分，最⾼得5分。 备注:须提供⼈员⾝份证、相关职称证书。</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拟投入本项目人员配置情况表.docx</w:t>
            </w:r>
          </w:p>
        </w:tc>
      </w:tr>
      <w:tr>
        <w:tc>
          <w:tcPr>
            <w:tcW w:type="dxa" w:w="831"/>
            <w:vMerge/>
          </w:tcPr>
          <w:p/>
        </w:tc>
        <w:tc>
          <w:tcPr>
            <w:tcW w:type="dxa" w:w="1661"/>
          </w:tcPr>
          <w:p>
            <w:pPr>
              <w:pStyle w:val="null3"/>
            </w:pPr>
            <w:r>
              <w:rPr>
                <w:rFonts w:ascii="仿宋_GB2312" w:hAnsi="仿宋_GB2312" w:cs="仿宋_GB2312" w:eastAsia="仿宋_GB2312"/>
              </w:rPr>
              <w:t>质保服务承诺</w:t>
            </w:r>
          </w:p>
        </w:tc>
        <w:tc>
          <w:tcPr>
            <w:tcW w:type="dxa" w:w="2492"/>
          </w:tcPr>
          <w:p>
            <w:pPr>
              <w:pStyle w:val="null3"/>
            </w:pPr>
            <w:r>
              <w:rPr>
                <w:rFonts w:ascii="仿宋_GB2312" w:hAnsi="仿宋_GB2312" w:cs="仿宋_GB2312" w:eastAsia="仿宋_GB2312"/>
              </w:rPr>
              <w:t>本项目基础质保3年，投标人书面承诺质保每延长1年加2分，最多延长3年，满分6分；须提供加盖公章的质保延长承诺函，年限表述模糊、无书面承诺本项不得分。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承诺提供7×24 ⼩时技术⽀持，24⼩时内解决问题。故障响应时间≤1 ⼩时的得满分5分；故障响应时间≤2 ⼩时得3 分；故障响应时间≤4⼩时得1 分；未提供有效承诺函或不满⾜上述条件的，不得分。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技术 参数 响应</w:t>
            </w:r>
          </w:p>
        </w:tc>
        <w:tc>
          <w:tcPr>
            <w:tcW w:type="dxa" w:w="2492"/>
          </w:tcPr>
          <w:p>
            <w:pPr>
              <w:pStyle w:val="null3"/>
            </w:pPr>
            <w:r>
              <w:rPr>
                <w:rFonts w:ascii="仿宋_GB2312" w:hAnsi="仿宋_GB2312" w:cs="仿宋_GB2312" w:eastAsia="仿宋_GB2312"/>
              </w:rPr>
              <w:t>1.带★标识参数为本项目实质性要求，任意一条不满足、无有效佐证的，投标文件直接无效，本分项不再评审打分；本分项仅评审不带▲、★的普通技术参数。 2. 全部普通参数完全满足招标文件指标，且每条参数配套有效佐证材料，得基础25分。 3. 扣分规则： （1）轻微负偏离：参数小幅低于招标指标、仅小幅影响使用，或参数文字达标但缺失佐证材料，每项扣0.3分； （2）重大负偏离：核心功能缺失、指标差距较大，无法满足日常教学使用，每项扣0.5分； 4. 所有普通参数扣分累计最高扣5分，本分项最低得分20分； 5. 普通参数指标优于招标文件（正偏离）不扣分，不额外加分； 6. 佐证材料认可范围：原厂/具备CMA/CNAS资质第三方检测报告、官方彩页、品牌官网参数截图、设备实拍图、原厂通用技术承诺函均可；(技术参数中有要求按要求） 7. 技术偏离表描述含糊、无法清晰判断是否达标的对应参数，统一按轻微负偏离扣分。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根据项目实际需求，提供完整详细的项目实施方案。内容包含：①100 间教室改造施工、线路布设、设备拆装相关要求； ②安装、分阶段调试、系统对接工作内容； ③施工安全与应急管理要求。二、评审依据： ①完整性（3 分）：方案覆盖供货、现场施工、旧设备拆除、安装、系统调试、平台对接、应急处置全流程，内容完整无缺失； ②落地性（3 分）：结合校园环境与教学作息制定施工计划，作业安排合理，可直接落地执行； ③科学性（3 分）：施工时序安排科学，风险预判充分，防控措施详实可行。 全部满足要求得9分。每缺失一项内容扣3分，每项内容存在1处缺陷，扣0.5分，扣完即止。 未提供者不得分。 备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培训服务方案</w:t>
            </w:r>
          </w:p>
        </w:tc>
        <w:tc>
          <w:tcPr>
            <w:tcW w:type="dxa" w:w="2492"/>
          </w:tcPr>
          <w:p>
            <w:pPr>
              <w:pStyle w:val="null3"/>
            </w:pPr>
            <w:r>
              <w:rPr>
                <w:rFonts w:ascii="仿宋_GB2312" w:hAnsi="仿宋_GB2312" w:cs="仿宋_GB2312" w:eastAsia="仿宋_GB2312"/>
              </w:rPr>
              <w:t>一、评审内容 ①管理人员、授课教师、运维人员不同岗位的使用操作要求； ②设备实操与日常故障排查教学标准； ③项目交付资料相关管理要求。 二、评审依据：①完整性（3分）：针对管理员、任课教师、运维人员分别制定差异化培训内容，包含实操教学与后期回访计划； ②落地性（3分）：培训方式合理，契合校园工作时间，不干扰正常教学秩序； ③完备性（3分）：交付纸质及电子版操作手册，并明确阶段性复训工作安排。 全部满足要求得9分。每缺失一项内容扣3分，每项内容存在1处缺陷，扣0.5分，扣完即止。 未提供者不得分。 备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有效投标人的最低报价（落实政府采购政策进行价格调整的，以调整后的价格计算）为基准价得30分，其他各投标人的报价得分按下列公式计算：（基准价/投标报价）×30。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详见附件：业绩相关证明材料.docx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详见附件：拟投入本项目人员配置情况表.docx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详见附件：非联合体声明.docx</w:t>
      </w:r>
    </w:p>
    <w:p>
      <w:pPr>
        <w:pStyle w:val="null3"/>
        <w:ind w:firstLine="960"/>
      </w:pPr>
      <w:r>
        <w:rPr>
          <w:rFonts w:ascii="仿宋_GB2312" w:hAnsi="仿宋_GB2312" w:cs="仿宋_GB2312" w:eastAsia="仿宋_GB2312"/>
        </w:rPr>
        <w:t>详见附件：法定代表人身份证明或授权委托书.docx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