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GZC2026-CS-064</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甘泉立交至桥镇红色旅游公路工程枣林洛河大桥及南曲洛河大桥质量检测服务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甘泉立交至桥镇红色旅游公路工程枣林洛河大桥及南曲洛河大桥质量检测服务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甘泉县交通运输局</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10</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33</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39</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44</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B046D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3902F2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甘泉立交至桥镇红色旅游公路工程枣林洛河大桥及南曲洛河大桥质量检测服务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2026年10月20日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4EA1FB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0B7C81D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项目编号：GZC2026-CS-064</w:t>
      </w:r>
    </w:p>
    <w:p w14:paraId="1CB7A0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项目名称：甘泉立交至桥镇红色旅游公路工程枣林洛河大桥及南曲洛河大桥质量检测服务</w:t>
      </w:r>
    </w:p>
    <w:p w14:paraId="5C34BC4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11668E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预算金额：582,362.00元</w:t>
      </w:r>
    </w:p>
    <w:p w14:paraId="353D4C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75F1A8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合同包1(甘泉立交至桥镇红色旅游公路工程枣林洛河大桥及南曲洛河大桥质量检测服务):</w:t>
      </w:r>
    </w:p>
    <w:p w14:paraId="444070B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合同包预算金额：582,362.00元</w:t>
      </w:r>
    </w:p>
    <w:p w14:paraId="18B088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合同包最高限价：582,362.00元</w:t>
      </w:r>
    </w:p>
    <w:tbl>
      <w:tblPr>
        <w:tblStyle w:val="20"/>
        <w:tblW w:w="92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24"/>
        <w:gridCol w:w="1139"/>
        <w:gridCol w:w="4461"/>
        <w:gridCol w:w="725"/>
        <w:gridCol w:w="1059"/>
        <w:gridCol w:w="1308"/>
      </w:tblGrid>
      <w:tr w14:paraId="068D54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3" w:hRule="atLeast"/>
          <w:tblHeader/>
        </w:trPr>
        <w:tc>
          <w:tcPr>
            <w:tcW w:w="6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C14FF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82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0F169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3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6D81C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79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0A220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3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87159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1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8E888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47DEBA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95000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6D179B">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A3DD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甘泉县交通运输局甘泉立交至桥镇红色旅游公路工程枣林洛河大桥及南曲洛河大桥质量检测服务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E8698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0110B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23FF42">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582,362.00</w:t>
            </w:r>
          </w:p>
        </w:tc>
      </w:tr>
    </w:tbl>
    <w:p w14:paraId="65407CF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1D15CC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752EEE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207D267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73B898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544835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合同包1(甘泉立交至桥镇红色旅游公路工程枣林洛河大桥及南曲洛河大桥质量检测服务)落实政府采购政策需满足的资格要求如下:</w:t>
      </w:r>
    </w:p>
    <w:p w14:paraId="15F00BA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02752D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2470F1E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合同包1(甘泉立交至桥镇红色旅游公路工程枣林洛河大桥及南曲洛河大桥质量检测服务)特定资格要求如下:</w:t>
      </w:r>
    </w:p>
    <w:p w14:paraId="693CE77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投标人须具备有效期内的公路水运工程质量检测机构等级证书公路工程甲级资质或公路水运工程试验检测机构等级证书公路工程综合甲级资质或有效的公路水运试验检测机构等级证书公路工程桥梁隧道工程专项资质或公路水运工程质量检测机构资质桥梁隧道工程专项资质。</w:t>
      </w:r>
    </w:p>
    <w:p w14:paraId="343FEB3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235676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2026年10月08日 至 2026年10月13日 ，每天上午 08:00:00 至 12:00:00 ，下午 14:00:00 至 18:00:00 （北京时间）</w:t>
      </w:r>
    </w:p>
    <w:p w14:paraId="318D5F1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1A572AD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09CD567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001FA9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01A0DE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2026年10月20日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289AC8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66DAE2B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488250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2026年10月20日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0B3824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6955AA1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6964D2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0E03EB7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16F28B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1、具有独立承担民事责任的能力：</w:t>
      </w:r>
      <w:r>
        <w:rPr>
          <w:rFonts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2、财务状况报告：提供2025年度的财务审计报告（成立时间至提交响应文件截止时间不足一年的可提供成立后任意时段的资产负债表）或其基本存款账户开户银行出具的资信证明；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3、税收缴纳证明：提供2026年1月1日至今的任意一个月的缴税凭证；依法免税的供应商应提供相关文件证明；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4、投标人参加本项目提供具有履行本合同所必需的材料和专业技术能力的说明及承诺；</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对列入失信被执行人、重大税收违法案件当事人名单、政府采购严重违法失信行为记录名单及其他不符合《中华人民共和国中华人民共和国政府采购法》第二十二条规定条件的供应商，拒绝其参加本项目投标。</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1619DF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155687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26045F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甘泉县交通运输局</w:t>
      </w:r>
    </w:p>
    <w:p w14:paraId="7464B0C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w:t>
      </w:r>
    </w:p>
    <w:p w14:paraId="50EC8E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13909118151</w:t>
      </w:r>
    </w:p>
    <w:p w14:paraId="1502B5A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13C333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2C55164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7EE18B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21413C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61F4DA6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777ECB2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110370DE">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ACCA51F">
      <w:pPr>
        <w:pStyle w:val="16"/>
        <w:spacing w:before="0" w:beforeAutospacing="0" w:after="0" w:afterAutospacing="0" w:line="400" w:lineRule="exact"/>
        <w:jc w:val="both"/>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500323094"/>
      <w:bookmarkEnd w:id="0"/>
      <w:bookmarkStart w:id="1" w:name="_Toc526842682"/>
      <w:bookmarkEnd w:id="1"/>
      <w:bookmarkStart w:id="2" w:name="_Toc420591642"/>
      <w:bookmarkEnd w:id="2"/>
      <w:bookmarkStart w:id="3" w:name="_Toc421778364"/>
      <w:bookmarkEnd w:id="3"/>
      <w:bookmarkStart w:id="4" w:name="_Toc15103"/>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甘泉县交通运输局</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甘泉县城北关</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强博</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13909118151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甘泉立交至桥镇红色旅游公路工程枣林洛河大桥及南曲洛河大桥质量检测服务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582,362.00元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582,362.00元</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cs="宋体"/>
                <w:color w:val="000000"/>
                <w:sz w:val="24"/>
                <w:highlight w:val="none"/>
                <w:lang w:val="en-US" w:eastAsia="zh-CN"/>
              </w:rPr>
              <w:t>提交日期</w:t>
            </w:r>
          </w:p>
        </w:tc>
        <w:tc>
          <w:tcPr>
            <w:tcW w:w="7405" w:type="dxa"/>
            <w:tcBorders>
              <w:top w:val="single" w:color="auto" w:sz="4" w:space="0"/>
              <w:left w:val="single" w:color="auto" w:sz="4" w:space="0"/>
              <w:bottom w:val="single" w:color="auto" w:sz="4" w:space="0"/>
              <w:right w:val="single" w:color="auto" w:sz="4" w:space="0"/>
            </w:tcBorders>
            <w:vAlign w:val="center"/>
          </w:tcPr>
          <w:p w14:paraId="11EC6752">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自签订合同之日起40日历天</w:t>
            </w:r>
            <w:r>
              <w:rPr>
                <w:rFonts w:hint="eastAsia" w:ascii="宋体" w:hAnsi="宋体" w:cs="宋体"/>
                <w:b w:val="0"/>
                <w:bCs w:val="0"/>
                <w:color w:val="auto"/>
                <w:sz w:val="24"/>
                <w:lang w:val="en-US" w:eastAsia="zh-CN"/>
              </w:rPr>
              <w:t>内完成</w:t>
            </w:r>
            <w:r>
              <w:rPr>
                <w:rFonts w:hint="eastAsia" w:ascii="宋体" w:hAnsi="宋体" w:eastAsia="宋体" w:cs="宋体"/>
                <w:b w:val="0"/>
                <w:bCs w:val="0"/>
                <w:color w:val="auto"/>
                <w:sz w:val="24"/>
                <w:lang w:val="en-US" w:eastAsia="zh-CN"/>
              </w:rPr>
              <w:t>。现场检测任务须在合同签订后 30 日历天内全部完成，完成现场检测后 10 个日历天内提交完整检测成果报告，后续持续配合直至项目竣工验收工作结束。</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 2026年10月20日 09时30分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w:t>
            </w:r>
            <w:r>
              <w:rPr>
                <w:rFonts w:hint="eastAsia" w:ascii="宋体" w:hAnsi="宋体" w:cs="宋体"/>
                <w:b w:val="0"/>
                <w:bCs w:val="0"/>
                <w:color w:val="auto"/>
                <w:sz w:val="24"/>
                <w:lang w:val="en-US" w:eastAsia="zh-CN"/>
              </w:rPr>
              <w:t>日</w:t>
            </w:r>
            <w:r>
              <w:rPr>
                <w:rFonts w:hint="eastAsia" w:ascii="宋体" w:hAnsi="宋体" w:eastAsia="宋体" w:cs="宋体"/>
                <w:b w:val="0"/>
                <w:bCs w:val="0"/>
                <w:color w:val="auto"/>
                <w:sz w:val="24"/>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0000FF"/>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 2026年10月20日 09时30分 （北京时间）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eastAsia="宋体" w:cs="宋体"/>
                <w:b/>
                <w:bCs/>
                <w:color w:val="auto"/>
                <w:sz w:val="24"/>
                <w:szCs w:val="32"/>
                <w:lang w:val="en-US" w:eastAsia="zh-CN"/>
              </w:rPr>
              <w:t>其他未列明行业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甘泉县交通运输局</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1E686A4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41D3708F">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kern w:val="2"/>
          <w:sz w:val="24"/>
          <w:szCs w:val="24"/>
          <w:lang w:val="en-US" w:eastAsia="zh-CN" w:bidi="ar-SA"/>
        </w:rPr>
        <w:t>特定资格要求</w:t>
      </w:r>
      <w:r>
        <w:rPr>
          <w:rFonts w:hint="eastAsia" w:ascii="宋体" w:hAnsi="宋体" w:eastAsia="宋体" w:cs="宋体"/>
          <w:b w:val="0"/>
          <w:bCs w:val="0"/>
          <w:color w:val="000000"/>
          <w:kern w:val="2"/>
          <w:sz w:val="24"/>
          <w:szCs w:val="24"/>
          <w:lang w:val="en-US" w:eastAsia="zh-CN" w:bidi="ar-SA"/>
        </w:rPr>
        <w:t>：投标人须具备有效期内的公路水运工程质量检测机构等级证书公路工程甲级资质或公路水运工程试验检测机构等级证书公路工程综合甲级资质或有效的公路水运试验检测机构等级证书公路工程桥梁隧道工程专项资质或公路水运工程质量检测机构资质桥梁隧道工程专项资质。</w:t>
      </w:r>
    </w:p>
    <w:p w14:paraId="33FA8AF1">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1F940CAA">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68B3CD67">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承诺声明：</w:t>
      </w:r>
      <w:r>
        <w:rPr>
          <w:rFonts w:hint="eastAsia" w:ascii="宋体" w:hAnsi="宋体" w:eastAsia="宋体" w:cs="宋体"/>
          <w:b w:val="0"/>
          <w:bCs w:val="0"/>
          <w:color w:val="000000"/>
          <w:sz w:val="24"/>
          <w:szCs w:val="24"/>
          <w:lang w:val="en-US" w:eastAsia="zh-CN"/>
        </w:rPr>
        <w:t>提供具有履行合同所必需的设备和专业技术能力的承诺书</w:t>
      </w:r>
      <w:r>
        <w:rPr>
          <w:rFonts w:hint="eastAsia" w:ascii="宋体" w:hAnsi="宋体" w:eastAsia="宋体" w:cs="宋体"/>
          <w:b/>
          <w:bCs/>
          <w:color w:val="auto"/>
          <w:sz w:val="24"/>
          <w:szCs w:val="24"/>
          <w:lang w:eastAsia="zh-CN"/>
        </w:rPr>
        <w:t>。</w:t>
      </w:r>
    </w:p>
    <w:p w14:paraId="6B86C59C">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0AB78985">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3F3472A6">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强博</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eastAsia="宋体" w:cs="宋体"/>
          <w:color w:val="000000" w:themeColor="text1"/>
          <w:sz w:val="24"/>
          <w:lang w:eastAsia="zh-CN"/>
          <w14:textFill>
            <w14:solidFill>
              <w14:schemeClr w14:val="tx1"/>
            </w14:solidFill>
          </w14:textFill>
        </w:rPr>
        <w:t>13909118151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甘泉县城北关</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甘泉立交至桥镇红色旅游公路工程枣林洛河大桥及南曲洛河大桥质量检测服务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15.所有潜在供应商对会议记录进行签字确认。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numPr>
          <w:ilvl w:val="0"/>
          <w:numId w:val="3"/>
        </w:num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5ABD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63C7B3FB">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0DBC318F">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5899C5BE">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4CAAD075">
            <w:pPr>
              <w:spacing w:line="400" w:lineRule="exact"/>
              <w:jc w:val="center"/>
              <w:rPr>
                <w:b/>
                <w:color w:val="auto"/>
              </w:rPr>
            </w:pPr>
            <w:r>
              <w:rPr>
                <w:rFonts w:hint="eastAsia"/>
                <w:b/>
                <w:color w:val="auto"/>
              </w:rPr>
              <w:t>符合</w:t>
            </w:r>
          </w:p>
          <w:p w14:paraId="27FFD380">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4683CE6A">
            <w:pPr>
              <w:spacing w:line="400" w:lineRule="exact"/>
              <w:jc w:val="center"/>
              <w:rPr>
                <w:b/>
                <w:color w:val="auto"/>
              </w:rPr>
            </w:pPr>
            <w:r>
              <w:rPr>
                <w:rFonts w:hint="eastAsia"/>
                <w:b/>
                <w:color w:val="auto"/>
              </w:rPr>
              <w:t>不符合</w:t>
            </w:r>
          </w:p>
          <w:p w14:paraId="770C786C">
            <w:pPr>
              <w:spacing w:line="400" w:lineRule="exact"/>
              <w:jc w:val="center"/>
              <w:rPr>
                <w:rFonts w:ascii="宋体" w:hAnsi="宋体"/>
                <w:b/>
                <w:color w:val="auto"/>
              </w:rPr>
            </w:pPr>
            <w:r>
              <w:rPr>
                <w:rFonts w:hint="eastAsia" w:ascii="宋体" w:hAnsi="宋体"/>
                <w:b/>
                <w:color w:val="auto"/>
              </w:rPr>
              <w:t>﹙×﹚</w:t>
            </w:r>
          </w:p>
        </w:tc>
      </w:tr>
      <w:tr w14:paraId="0193F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8D1233">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0A92AC3C">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59D5F5FA">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D51C57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648A57E">
            <w:pPr>
              <w:spacing w:line="400" w:lineRule="exact"/>
              <w:ind w:firstLine="200"/>
              <w:rPr>
                <w:rFonts w:hint="eastAsia" w:ascii="宋体" w:hAnsi="宋体" w:eastAsia="宋体" w:cs="宋体"/>
                <w:color w:val="auto"/>
              </w:rPr>
            </w:pPr>
          </w:p>
        </w:tc>
      </w:tr>
      <w:tr w14:paraId="728E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8ADFC13">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50EB7E1E">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775EA1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E0366B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B209483">
            <w:pPr>
              <w:spacing w:line="400" w:lineRule="exact"/>
              <w:ind w:firstLine="200"/>
              <w:rPr>
                <w:rFonts w:hint="eastAsia" w:ascii="宋体" w:hAnsi="宋体" w:eastAsia="宋体" w:cs="宋体"/>
                <w:color w:val="auto"/>
              </w:rPr>
            </w:pPr>
          </w:p>
        </w:tc>
      </w:tr>
      <w:tr w14:paraId="2BE5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1A682647">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107F86F7">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DF57BA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D746120">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9BB2489">
            <w:pPr>
              <w:spacing w:line="400" w:lineRule="exact"/>
              <w:ind w:firstLine="200"/>
              <w:rPr>
                <w:rFonts w:hint="eastAsia" w:ascii="宋体" w:hAnsi="宋体" w:eastAsia="宋体" w:cs="宋体"/>
                <w:color w:val="auto"/>
              </w:rPr>
            </w:pPr>
          </w:p>
        </w:tc>
      </w:tr>
      <w:tr w14:paraId="3F0AF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D592219">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2EDBD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提交日期</w:t>
            </w:r>
          </w:p>
        </w:tc>
        <w:tc>
          <w:tcPr>
            <w:tcW w:w="1768" w:type="dxa"/>
            <w:tcBorders>
              <w:top w:val="single" w:color="auto" w:sz="4" w:space="0"/>
              <w:left w:val="single" w:color="auto" w:sz="4" w:space="0"/>
              <w:bottom w:val="single" w:color="auto" w:sz="4" w:space="0"/>
              <w:right w:val="single" w:color="auto" w:sz="4" w:space="0"/>
            </w:tcBorders>
            <w:vAlign w:val="center"/>
          </w:tcPr>
          <w:p w14:paraId="1B3E6D5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15EB64E">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D0173A">
            <w:pPr>
              <w:spacing w:line="400" w:lineRule="exact"/>
              <w:ind w:firstLine="200"/>
              <w:rPr>
                <w:rFonts w:hint="eastAsia" w:ascii="宋体" w:hAnsi="宋体" w:eastAsia="宋体" w:cs="宋体"/>
                <w:color w:val="auto"/>
              </w:rPr>
            </w:pPr>
          </w:p>
        </w:tc>
      </w:tr>
      <w:tr w14:paraId="2691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097656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72F6EC92">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技术成果要求</w:t>
            </w:r>
          </w:p>
        </w:tc>
        <w:tc>
          <w:tcPr>
            <w:tcW w:w="1768" w:type="dxa"/>
            <w:tcBorders>
              <w:top w:val="single" w:color="auto" w:sz="4" w:space="0"/>
              <w:left w:val="single" w:color="auto" w:sz="4" w:space="0"/>
              <w:bottom w:val="single" w:color="auto" w:sz="4" w:space="0"/>
              <w:right w:val="single" w:color="auto" w:sz="4" w:space="0"/>
            </w:tcBorders>
            <w:vAlign w:val="center"/>
          </w:tcPr>
          <w:p w14:paraId="12C694A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7CBB6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203E3859">
            <w:pPr>
              <w:spacing w:line="400" w:lineRule="exact"/>
              <w:ind w:firstLine="200"/>
              <w:rPr>
                <w:rFonts w:hint="eastAsia" w:ascii="宋体" w:hAnsi="宋体" w:eastAsia="宋体" w:cs="宋体"/>
                <w:color w:val="auto"/>
              </w:rPr>
            </w:pPr>
          </w:p>
        </w:tc>
      </w:tr>
      <w:tr w14:paraId="3B588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05EAC43">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C3BD799">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成果交付要求</w:t>
            </w:r>
          </w:p>
        </w:tc>
        <w:tc>
          <w:tcPr>
            <w:tcW w:w="1768" w:type="dxa"/>
            <w:tcBorders>
              <w:top w:val="single" w:color="auto" w:sz="4" w:space="0"/>
              <w:left w:val="single" w:color="auto" w:sz="4" w:space="0"/>
              <w:bottom w:val="single" w:color="auto" w:sz="4" w:space="0"/>
              <w:right w:val="single" w:color="auto" w:sz="4" w:space="0"/>
            </w:tcBorders>
            <w:vAlign w:val="center"/>
          </w:tcPr>
          <w:p w14:paraId="47636A30">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0AC6DA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D4E7173">
            <w:pPr>
              <w:spacing w:line="400" w:lineRule="exact"/>
              <w:ind w:firstLine="200"/>
              <w:rPr>
                <w:rFonts w:hint="eastAsia" w:ascii="宋体" w:hAnsi="宋体" w:eastAsia="宋体" w:cs="宋体"/>
                <w:color w:val="auto"/>
              </w:rPr>
            </w:pPr>
          </w:p>
        </w:tc>
      </w:tr>
      <w:tr w14:paraId="5A265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CEFBA54">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63AED1AE">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 xml:space="preserve">服务承诺及履约要求 </w:t>
            </w:r>
          </w:p>
        </w:tc>
        <w:tc>
          <w:tcPr>
            <w:tcW w:w="1768" w:type="dxa"/>
            <w:tcBorders>
              <w:top w:val="single" w:color="auto" w:sz="4" w:space="0"/>
              <w:left w:val="single" w:color="auto" w:sz="4" w:space="0"/>
              <w:bottom w:val="single" w:color="auto" w:sz="4" w:space="0"/>
              <w:right w:val="single" w:color="auto" w:sz="4" w:space="0"/>
            </w:tcBorders>
            <w:vAlign w:val="center"/>
          </w:tcPr>
          <w:p w14:paraId="6B01A0EB">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95E017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2119E45">
            <w:pPr>
              <w:spacing w:line="400" w:lineRule="exact"/>
              <w:ind w:firstLine="200"/>
              <w:rPr>
                <w:rFonts w:hint="eastAsia" w:ascii="宋体" w:hAnsi="宋体" w:eastAsia="宋体" w:cs="宋体"/>
                <w:color w:val="auto"/>
              </w:rPr>
            </w:pPr>
          </w:p>
        </w:tc>
      </w:tr>
      <w:tr w14:paraId="7B3A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466DD56">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1F726F3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质量保证及售后技术服务</w:t>
            </w:r>
          </w:p>
        </w:tc>
        <w:tc>
          <w:tcPr>
            <w:tcW w:w="1768" w:type="dxa"/>
            <w:tcBorders>
              <w:top w:val="single" w:color="auto" w:sz="4" w:space="0"/>
              <w:left w:val="single" w:color="auto" w:sz="4" w:space="0"/>
              <w:bottom w:val="single" w:color="auto" w:sz="4" w:space="0"/>
              <w:right w:val="single" w:color="auto" w:sz="4" w:space="0"/>
            </w:tcBorders>
            <w:vAlign w:val="center"/>
          </w:tcPr>
          <w:p w14:paraId="54E6061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C2850A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166FF3">
            <w:pPr>
              <w:spacing w:line="400" w:lineRule="exact"/>
              <w:ind w:firstLine="200"/>
              <w:rPr>
                <w:rFonts w:hint="eastAsia" w:ascii="宋体" w:hAnsi="宋体" w:eastAsia="宋体" w:cs="宋体"/>
                <w:color w:val="auto"/>
              </w:rPr>
            </w:pPr>
          </w:p>
        </w:tc>
      </w:tr>
      <w:tr w14:paraId="2047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8F5E0A">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5CA16D9C">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甲乙双方责任</w:t>
            </w:r>
          </w:p>
        </w:tc>
        <w:tc>
          <w:tcPr>
            <w:tcW w:w="1768" w:type="dxa"/>
            <w:tcBorders>
              <w:top w:val="single" w:color="auto" w:sz="4" w:space="0"/>
              <w:left w:val="single" w:color="auto" w:sz="4" w:space="0"/>
              <w:bottom w:val="single" w:color="auto" w:sz="4" w:space="0"/>
              <w:right w:val="single" w:color="auto" w:sz="4" w:space="0"/>
            </w:tcBorders>
            <w:vAlign w:val="center"/>
          </w:tcPr>
          <w:p w14:paraId="401B580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66AAAC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E42211C">
            <w:pPr>
              <w:spacing w:line="400" w:lineRule="exact"/>
              <w:ind w:firstLine="200"/>
              <w:rPr>
                <w:rFonts w:hint="eastAsia" w:ascii="宋体" w:hAnsi="宋体" w:eastAsia="宋体" w:cs="宋体"/>
                <w:color w:val="auto"/>
              </w:rPr>
            </w:pPr>
          </w:p>
        </w:tc>
      </w:tr>
      <w:tr w14:paraId="31267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F823956">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6F27CF7D">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08CE0103">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7F354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4BAD643">
            <w:pPr>
              <w:spacing w:line="400" w:lineRule="exact"/>
              <w:ind w:firstLine="200"/>
              <w:rPr>
                <w:rFonts w:hint="eastAsia" w:ascii="宋体" w:hAnsi="宋体" w:eastAsia="宋体" w:cs="宋体"/>
                <w:color w:val="auto"/>
              </w:rPr>
            </w:pPr>
          </w:p>
        </w:tc>
      </w:tr>
      <w:tr w14:paraId="233C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40D80CF">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0447284A">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1B8E8A8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DA17E2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D56D5C1">
            <w:pPr>
              <w:spacing w:line="400" w:lineRule="exact"/>
              <w:ind w:firstLine="200"/>
              <w:rPr>
                <w:rFonts w:hint="eastAsia" w:ascii="宋体" w:hAnsi="宋体" w:eastAsia="宋体" w:cs="宋体"/>
                <w:color w:val="auto"/>
              </w:rPr>
            </w:pPr>
          </w:p>
        </w:tc>
      </w:tr>
      <w:tr w14:paraId="1E3A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C870A6">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12</w:t>
            </w:r>
          </w:p>
        </w:tc>
        <w:tc>
          <w:tcPr>
            <w:tcW w:w="3286" w:type="dxa"/>
            <w:tcBorders>
              <w:top w:val="single" w:color="auto" w:sz="4" w:space="0"/>
              <w:left w:val="single" w:color="auto" w:sz="4" w:space="0"/>
              <w:bottom w:val="single" w:color="auto" w:sz="4" w:space="0"/>
              <w:right w:val="single" w:color="auto" w:sz="4" w:space="0"/>
            </w:tcBorders>
            <w:vAlign w:val="center"/>
          </w:tcPr>
          <w:p w14:paraId="349DF00F">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保密条款</w:t>
            </w:r>
          </w:p>
        </w:tc>
        <w:tc>
          <w:tcPr>
            <w:tcW w:w="1768" w:type="dxa"/>
            <w:tcBorders>
              <w:top w:val="single" w:color="auto" w:sz="4" w:space="0"/>
              <w:left w:val="single" w:color="auto" w:sz="4" w:space="0"/>
              <w:bottom w:val="single" w:color="auto" w:sz="4" w:space="0"/>
              <w:right w:val="single" w:color="auto" w:sz="4" w:space="0"/>
            </w:tcBorders>
            <w:vAlign w:val="center"/>
          </w:tcPr>
          <w:p w14:paraId="157CA3B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E96D3B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A645E73">
            <w:pPr>
              <w:spacing w:line="400" w:lineRule="exact"/>
              <w:ind w:firstLine="200"/>
              <w:rPr>
                <w:rFonts w:hint="eastAsia" w:ascii="宋体" w:hAnsi="宋体" w:eastAsia="宋体" w:cs="宋体"/>
                <w:color w:val="auto"/>
              </w:rPr>
            </w:pPr>
          </w:p>
        </w:tc>
      </w:tr>
      <w:tr w14:paraId="04B5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1EEBCA5">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13</w:t>
            </w:r>
          </w:p>
        </w:tc>
        <w:tc>
          <w:tcPr>
            <w:tcW w:w="3286" w:type="dxa"/>
            <w:tcBorders>
              <w:top w:val="single" w:color="auto" w:sz="4" w:space="0"/>
              <w:left w:val="single" w:color="auto" w:sz="4" w:space="0"/>
              <w:bottom w:val="single" w:color="auto" w:sz="4" w:space="0"/>
              <w:right w:val="single" w:color="auto" w:sz="4" w:space="0"/>
            </w:tcBorders>
            <w:vAlign w:val="center"/>
          </w:tcPr>
          <w:p w14:paraId="60F7517B">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合同组成部分</w:t>
            </w:r>
            <w:r>
              <w:rPr>
                <w:rFonts w:hint="eastAsia" w:ascii="宋体" w:hAnsi="宋体" w:cs="宋体"/>
                <w:color w:val="auto"/>
                <w:lang w:val="en-US" w:eastAsia="zh-CN"/>
              </w:rPr>
              <w:t>、</w:t>
            </w:r>
            <w:r>
              <w:rPr>
                <w:rFonts w:hint="eastAsia" w:ascii="宋体" w:hAnsi="宋体" w:eastAsia="宋体" w:cs="宋体"/>
                <w:color w:val="auto"/>
                <w:lang w:val="en-US" w:eastAsia="zh-CN"/>
              </w:rPr>
              <w:t>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3BB2BFA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A488F25">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FF7DBAE">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b/>
          <w:bCs/>
          <w:color w:val="auto"/>
          <w:sz w:val="24"/>
          <w:szCs w:val="24"/>
          <w:highlight w:val="none"/>
          <w:lang w:eastAsia="zh-CN"/>
        </w:rPr>
      </w:pPr>
      <w:bookmarkStart w:id="12" w:name="_GoBack"/>
      <w:r>
        <w:rPr>
          <w:rFonts w:hint="eastAsia" w:ascii="宋体" w:hAnsi="宋体" w:eastAsia="宋体" w:cs="宋体"/>
          <w:b/>
          <w:bCs/>
          <w:color w:val="auto"/>
          <w:sz w:val="24"/>
          <w:szCs w:val="24"/>
          <w:highlight w:val="none"/>
        </w:rPr>
        <w:t>评审要素及分值一览表</w:t>
      </w:r>
    </w:p>
    <w:bookmarkEnd w:id="12"/>
    <w:tbl>
      <w:tblPr>
        <w:tblStyle w:val="20"/>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1333"/>
        <w:gridCol w:w="885"/>
        <w:gridCol w:w="6914"/>
      </w:tblGrid>
      <w:tr w14:paraId="4498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0" w:hRule="atLeast"/>
          <w:jc w:val="center"/>
        </w:trPr>
        <w:tc>
          <w:tcPr>
            <w:tcW w:w="513" w:type="dxa"/>
            <w:noWrap w:val="0"/>
            <w:vAlign w:val="center"/>
          </w:tcPr>
          <w:p w14:paraId="5D8B3351">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序号</w:t>
            </w:r>
          </w:p>
        </w:tc>
        <w:tc>
          <w:tcPr>
            <w:tcW w:w="1333" w:type="dxa"/>
            <w:noWrap w:val="0"/>
            <w:vAlign w:val="center"/>
          </w:tcPr>
          <w:p w14:paraId="4494F42C">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评审项目</w:t>
            </w:r>
          </w:p>
        </w:tc>
        <w:tc>
          <w:tcPr>
            <w:tcW w:w="885" w:type="dxa"/>
            <w:noWrap w:val="0"/>
            <w:vAlign w:val="center"/>
          </w:tcPr>
          <w:p w14:paraId="6D3D4C32">
            <w:pPr>
              <w:widowControl/>
              <w:spacing w:line="340" w:lineRule="exact"/>
              <w:jc w:val="center"/>
              <w:rPr>
                <w:rFonts w:hint="eastAsia" w:ascii="宋体" w:hAnsi="宋体" w:eastAsia="宋体" w:cs="宋体"/>
                <w:kern w:val="0"/>
                <w:sz w:val="24"/>
              </w:rPr>
            </w:pPr>
            <w:r>
              <w:rPr>
                <w:rFonts w:hint="eastAsia" w:ascii="宋体" w:hAnsi="宋体" w:eastAsia="宋体" w:cs="宋体"/>
                <w:kern w:val="0"/>
                <w:sz w:val="24"/>
              </w:rPr>
              <w:t>标准分</w:t>
            </w:r>
          </w:p>
        </w:tc>
        <w:tc>
          <w:tcPr>
            <w:tcW w:w="6914" w:type="dxa"/>
            <w:noWrap w:val="0"/>
            <w:vAlign w:val="center"/>
          </w:tcPr>
          <w:p w14:paraId="5B5F1F97">
            <w:pPr>
              <w:widowControl/>
              <w:spacing w:line="340" w:lineRule="exact"/>
              <w:jc w:val="center"/>
              <w:rPr>
                <w:rFonts w:hint="eastAsia" w:ascii="宋体" w:hAnsi="宋体" w:eastAsia="宋体" w:cs="宋体"/>
                <w:b/>
                <w:bCs/>
                <w:kern w:val="0"/>
                <w:sz w:val="24"/>
              </w:rPr>
            </w:pPr>
            <w:r>
              <w:rPr>
                <w:rFonts w:hint="eastAsia" w:ascii="宋体" w:hAnsi="宋体" w:eastAsia="宋体" w:cs="宋体"/>
                <w:b/>
                <w:bCs/>
                <w:kern w:val="0"/>
                <w:sz w:val="24"/>
              </w:rPr>
              <w:t>评分办法</w:t>
            </w:r>
          </w:p>
        </w:tc>
      </w:tr>
      <w:tr w14:paraId="7218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F349F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1</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3E4217A">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投标</w:t>
            </w:r>
          </w:p>
          <w:p w14:paraId="7F00825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报价</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3601AA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30</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t>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7F50C8B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按照财政部《政府采购货物和服务招标投标管理办法》（财政部令第87号）的有关规定：价格分采用低价优先法计算，即满足磋商文件要求且投标价格最低的投标报价为评标基准价，其价格分为满分。其他供应商的价格分统一按照下列公式计算：</w:t>
            </w:r>
          </w:p>
          <w:p w14:paraId="0312829B">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投标报价得分=（评标基准价/投标报价）×价格权值（即</w:t>
            </w:r>
            <w:r>
              <w:rPr>
                <w:rFonts w:hint="eastAsia" w:ascii="宋体" w:hAnsi="宋体" w:cs="宋体"/>
                <w:lang w:val="en-US" w:eastAsia="zh-CN" w:bidi="ar-SA"/>
              </w:rPr>
              <w:t>30</w:t>
            </w:r>
            <w:r>
              <w:rPr>
                <w:rFonts w:hint="eastAsia" w:ascii="宋体" w:hAnsi="宋体" w:eastAsia="宋体" w:cs="宋体"/>
                <w:lang w:val="en-US" w:eastAsia="zh-CN" w:bidi="ar-SA"/>
              </w:rPr>
              <w:t>%）×100</w:t>
            </w:r>
          </w:p>
          <w:p w14:paraId="31102AD6">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（因落实政府采购政策进行价格调整的，以调整后的价格计算评标基准价和投标报价）</w:t>
            </w:r>
          </w:p>
          <w:p w14:paraId="2FA23C27">
            <w:pPr>
              <w:widowControl w:val="0"/>
              <w:spacing w:line="240" w:lineRule="auto"/>
              <w:jc w:val="both"/>
              <w:rPr>
                <w:rFonts w:hint="eastAsia" w:ascii="宋体" w:hAnsi="宋体" w:eastAsia="宋体" w:cs="宋体"/>
                <w:lang w:val="en-US" w:eastAsia="zh-CN" w:bidi="ar-SA"/>
              </w:rPr>
            </w:pPr>
            <w:r>
              <w:rPr>
                <w:rFonts w:hint="eastAsia" w:ascii="宋体" w:hAnsi="宋体" w:eastAsia="宋体" w:cs="宋体"/>
                <w:lang w:val="en-US" w:eastAsia="zh-CN" w:bidi="ar-SA"/>
              </w:rPr>
              <w:t>备注：因本项目</w:t>
            </w:r>
            <w:r>
              <w:rPr>
                <w:rFonts w:hint="eastAsia" w:ascii="宋体" w:hAnsi="宋体" w:cs="宋体"/>
                <w:lang w:val="en-US" w:eastAsia="zh-CN" w:bidi="ar-SA"/>
              </w:rPr>
              <w:t>全部</w:t>
            </w:r>
            <w:r>
              <w:rPr>
                <w:rFonts w:hint="eastAsia" w:ascii="宋体" w:hAnsi="宋体" w:eastAsia="宋体" w:cs="宋体"/>
                <w:lang w:val="en-US" w:eastAsia="zh-CN" w:bidi="ar-SA"/>
              </w:rPr>
              <w:t>面向</w:t>
            </w:r>
            <w:r>
              <w:rPr>
                <w:rFonts w:hint="eastAsia" w:ascii="宋体" w:hAnsi="宋体" w:cs="宋体"/>
                <w:lang w:val="en-US" w:eastAsia="zh-CN" w:bidi="ar-SA"/>
              </w:rPr>
              <w:t>中小</w:t>
            </w:r>
            <w:r>
              <w:rPr>
                <w:rFonts w:hint="eastAsia" w:ascii="宋体" w:hAnsi="宋体" w:eastAsia="宋体" w:cs="宋体"/>
                <w:lang w:val="en-US" w:eastAsia="zh-CN" w:bidi="ar-SA"/>
              </w:rPr>
              <w:t>企业采购，磋商报价得分针对《政府采购促进中小企业发展管理办法》的通知--财库[2020]46号不再进行扣除。</w:t>
            </w:r>
          </w:p>
          <w:p w14:paraId="2CA352F9">
            <w:pPr>
              <w:widowControl w:val="0"/>
              <w:spacing w:line="240" w:lineRule="auto"/>
              <w:jc w:val="both"/>
              <w:rPr>
                <w:rFonts w:hint="default" w:ascii="Microsoft YaHei 微软雅黑 黑体 宋体" w:hAnsi="Microsoft YaHei 微软雅黑 黑体 宋体" w:eastAsia="宋体" w:cs="Microsoft YaHei 微软雅黑 黑体 宋体"/>
                <w:color w:val="333333"/>
                <w:kern w:val="0"/>
                <w:sz w:val="18"/>
                <w:szCs w:val="18"/>
                <w:shd w:val="clear" w:color="auto" w:fill="FCFCFC"/>
                <w:lang w:val="en-US" w:eastAsia="zh-CN" w:bidi="ar-SA"/>
              </w:rPr>
            </w:pPr>
            <w:r>
              <w:rPr>
                <w:rFonts w:hint="eastAsia" w:ascii="宋体" w:hAnsi="宋体" w:eastAsia="宋体" w:cs="宋体"/>
                <w:b/>
                <w:bCs/>
                <w:lang w:val="en-US" w:eastAsia="zh-CN" w:bidi="ar-SA"/>
              </w:rPr>
              <w:t>本项目所属行业：其他未列明行业</w:t>
            </w:r>
          </w:p>
        </w:tc>
      </w:tr>
      <w:tr w14:paraId="07A0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13" w:type="dxa"/>
            <w:tcBorders>
              <w:top w:val="single" w:color="auto" w:sz="4" w:space="0"/>
              <w:left w:val="single" w:color="auto" w:sz="4" w:space="0"/>
              <w:right w:val="single" w:color="auto" w:sz="4" w:space="0"/>
            </w:tcBorders>
            <w:noWrap w:val="0"/>
            <w:vAlign w:val="center"/>
          </w:tcPr>
          <w:p w14:paraId="64581ECD">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w:t>
            </w:r>
          </w:p>
        </w:tc>
        <w:tc>
          <w:tcPr>
            <w:tcW w:w="1333" w:type="dxa"/>
            <w:tcBorders>
              <w:top w:val="single" w:color="auto" w:sz="4" w:space="0"/>
              <w:left w:val="single" w:color="auto" w:sz="4" w:space="0"/>
              <w:right w:val="single" w:color="auto" w:sz="4" w:space="0"/>
            </w:tcBorders>
            <w:noWrap w:val="0"/>
            <w:vAlign w:val="center"/>
          </w:tcPr>
          <w:p w14:paraId="4233B4DC">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质量检测服务方案及内容</w:t>
            </w:r>
          </w:p>
        </w:tc>
        <w:tc>
          <w:tcPr>
            <w:tcW w:w="885" w:type="dxa"/>
            <w:tcBorders>
              <w:top w:val="single" w:color="auto" w:sz="4" w:space="0"/>
              <w:left w:val="single" w:color="auto" w:sz="4" w:space="0"/>
              <w:right w:val="single" w:color="auto" w:sz="4" w:space="0"/>
            </w:tcBorders>
            <w:noWrap w:val="0"/>
            <w:vAlign w:val="center"/>
          </w:tcPr>
          <w:p w14:paraId="6CEA0EBF">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25分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2EED8895">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cs="宋体"/>
                <w:b/>
                <w:bCs/>
                <w:sz w:val="21"/>
                <w:szCs w:val="21"/>
                <w:lang w:val="en-US" w:eastAsia="zh-CN" w:bidi="ar-SA"/>
              </w:rPr>
              <w:t>1、</w:t>
            </w:r>
            <w:r>
              <w:rPr>
                <w:rFonts w:hint="eastAsia" w:ascii="宋体" w:hAnsi="宋体" w:eastAsia="宋体" w:cs="宋体"/>
                <w:b/>
                <w:bCs/>
                <w:sz w:val="21"/>
                <w:szCs w:val="21"/>
                <w:lang w:val="en-US" w:eastAsia="zh-CN" w:bidi="ar-SA"/>
              </w:rPr>
              <w:t>项目实施总体流程、思路及相关技术规范等（0-10 分）；</w:t>
            </w:r>
            <w:r>
              <w:rPr>
                <w:rFonts w:hint="eastAsia" w:ascii="宋体" w:hAnsi="宋体" w:eastAsia="宋体" w:cs="宋体"/>
                <w:sz w:val="21"/>
                <w:szCs w:val="21"/>
                <w:lang w:val="en-US" w:eastAsia="zh-CN" w:bidi="ar-SA"/>
              </w:rPr>
              <w:t xml:space="preserve"> </w:t>
            </w:r>
          </w:p>
          <w:p w14:paraId="7FBD84CD">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1.1完整准确阐述项目实施总体流程、思路及相关技术规范等，总体认知解读充分，得</w:t>
            </w:r>
            <w:r>
              <w:rPr>
                <w:rFonts w:hint="eastAsia" w:ascii="宋体" w:hAnsi="宋体" w:cs="宋体"/>
                <w:sz w:val="21"/>
                <w:szCs w:val="21"/>
                <w:lang w:val="en-US" w:eastAsia="zh-CN" w:bidi="ar-SA"/>
              </w:rPr>
              <w:t>7</w:t>
            </w:r>
            <w:r>
              <w:rPr>
                <w:rFonts w:hint="eastAsia" w:ascii="宋体" w:hAnsi="宋体" w:eastAsia="宋体" w:cs="宋体"/>
                <w:sz w:val="21"/>
                <w:szCs w:val="21"/>
                <w:lang w:val="en-US" w:eastAsia="zh-CN" w:bidi="ar-SA"/>
              </w:rPr>
              <w:t xml:space="preserve">-10分； </w:t>
            </w:r>
          </w:p>
          <w:p w14:paraId="30F9F93A">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1.2较准确的阐述项目实施总体流程、思路及相关技术规范等，总体认知解读较充分，得3-6 分； </w:t>
            </w:r>
          </w:p>
          <w:p w14:paraId="77E843B8">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1.3阐述项目实施总体流程、思路及相关技术规范等，总体认知解读不充分，得 0-</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 xml:space="preserve">分。 </w:t>
            </w:r>
          </w:p>
          <w:p w14:paraId="61A634BD">
            <w:pPr>
              <w:widowControl w:val="0"/>
              <w:numPr>
                <w:ilvl w:val="0"/>
                <w:numId w:val="0"/>
              </w:numPr>
              <w:spacing w:line="240" w:lineRule="auto"/>
              <w:jc w:val="both"/>
              <w:rPr>
                <w:rFonts w:hint="eastAsia" w:ascii="宋体" w:hAnsi="宋体" w:eastAsia="宋体" w:cs="宋体"/>
                <w:b/>
                <w:bCs/>
                <w:sz w:val="21"/>
                <w:szCs w:val="21"/>
                <w:lang w:val="en-US" w:eastAsia="zh-CN" w:bidi="ar-SA"/>
              </w:rPr>
            </w:pPr>
            <w:r>
              <w:rPr>
                <w:rFonts w:hint="eastAsia" w:ascii="宋体" w:hAnsi="宋体" w:cs="宋体"/>
                <w:b/>
                <w:bCs/>
                <w:sz w:val="21"/>
                <w:szCs w:val="21"/>
                <w:lang w:val="en-US" w:eastAsia="zh-CN" w:bidi="ar-SA"/>
              </w:rPr>
              <w:t>2、</w:t>
            </w:r>
            <w:r>
              <w:rPr>
                <w:rFonts w:hint="eastAsia" w:ascii="宋体" w:hAnsi="宋体" w:eastAsia="宋体" w:cs="宋体"/>
                <w:b/>
                <w:bCs/>
                <w:sz w:val="21"/>
                <w:szCs w:val="21"/>
                <w:lang w:val="en-US" w:eastAsia="zh-CN" w:bidi="ar-SA"/>
              </w:rPr>
              <w:t>检测方案（0-</w:t>
            </w:r>
            <w:r>
              <w:rPr>
                <w:rFonts w:hint="eastAsia" w:ascii="宋体" w:hAnsi="宋体" w:cs="宋体"/>
                <w:b/>
                <w:bCs/>
                <w:sz w:val="21"/>
                <w:szCs w:val="21"/>
                <w:lang w:val="en-US" w:eastAsia="zh-CN" w:bidi="ar-SA"/>
              </w:rPr>
              <w:t>10</w:t>
            </w:r>
            <w:r>
              <w:rPr>
                <w:rFonts w:hint="eastAsia" w:ascii="宋体" w:hAnsi="宋体" w:eastAsia="宋体" w:cs="宋体"/>
                <w:b/>
                <w:bCs/>
                <w:sz w:val="21"/>
                <w:szCs w:val="21"/>
                <w:lang w:val="en-US" w:eastAsia="zh-CN" w:bidi="ar-SA"/>
              </w:rPr>
              <w:t xml:space="preserve">分） </w:t>
            </w:r>
          </w:p>
          <w:p w14:paraId="78254589">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2.1制定的检测技术方案内容完整、表述清晰、实施可行性强、全面性高得</w:t>
            </w:r>
            <w:r>
              <w:rPr>
                <w:rFonts w:hint="eastAsia" w:ascii="宋体" w:hAnsi="宋体" w:cs="宋体"/>
                <w:sz w:val="21"/>
                <w:szCs w:val="21"/>
                <w:lang w:val="en-US" w:eastAsia="zh-CN" w:bidi="ar-SA"/>
              </w:rPr>
              <w:t>7</w:t>
            </w:r>
            <w:r>
              <w:rPr>
                <w:rFonts w:hint="eastAsia" w:ascii="宋体" w:hAnsi="宋体" w:eastAsia="宋体" w:cs="宋体"/>
                <w:sz w:val="21"/>
                <w:szCs w:val="21"/>
                <w:lang w:val="en-US" w:eastAsia="zh-CN" w:bidi="ar-SA"/>
              </w:rPr>
              <w:t>-1</w:t>
            </w:r>
            <w:r>
              <w:rPr>
                <w:rFonts w:hint="eastAsia" w:ascii="宋体" w:hAnsi="宋体" w:cs="宋体"/>
                <w:sz w:val="21"/>
                <w:szCs w:val="21"/>
                <w:lang w:val="en-US" w:eastAsia="zh-CN" w:bidi="ar-SA"/>
              </w:rPr>
              <w:t>0</w:t>
            </w:r>
            <w:r>
              <w:rPr>
                <w:rFonts w:hint="eastAsia" w:ascii="宋体" w:hAnsi="宋体" w:eastAsia="宋体" w:cs="宋体"/>
                <w:sz w:val="21"/>
                <w:szCs w:val="21"/>
                <w:lang w:val="en-US" w:eastAsia="zh-CN" w:bidi="ar-SA"/>
              </w:rPr>
              <w:t>分；</w:t>
            </w:r>
          </w:p>
          <w:p w14:paraId="21DE724A">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2.2制定的技术方案内容较完整、表述较清晰、实施可行性较强、全面性较高得</w:t>
            </w:r>
            <w:r>
              <w:rPr>
                <w:rFonts w:hint="eastAsia" w:ascii="宋体" w:hAnsi="宋体" w:cs="宋体"/>
                <w:sz w:val="21"/>
                <w:szCs w:val="21"/>
                <w:lang w:val="en-US" w:eastAsia="zh-CN" w:bidi="ar-SA"/>
              </w:rPr>
              <w:t>3</w:t>
            </w:r>
            <w:r>
              <w:rPr>
                <w:rFonts w:hint="eastAsia" w:ascii="宋体" w:hAnsi="宋体" w:eastAsia="宋体" w:cs="宋体"/>
                <w:sz w:val="21"/>
                <w:szCs w:val="21"/>
                <w:lang w:val="en-US" w:eastAsia="zh-CN" w:bidi="ar-SA"/>
              </w:rPr>
              <w:t>-</w:t>
            </w:r>
            <w:r>
              <w:rPr>
                <w:rFonts w:hint="eastAsia" w:ascii="宋体" w:hAnsi="宋体" w:cs="宋体"/>
                <w:sz w:val="21"/>
                <w:szCs w:val="21"/>
                <w:lang w:val="en-US" w:eastAsia="zh-CN" w:bidi="ar-SA"/>
              </w:rPr>
              <w:t>6</w:t>
            </w:r>
            <w:r>
              <w:rPr>
                <w:rFonts w:hint="eastAsia" w:ascii="宋体" w:hAnsi="宋体" w:eastAsia="宋体" w:cs="宋体"/>
                <w:sz w:val="21"/>
                <w:szCs w:val="21"/>
                <w:lang w:val="en-US" w:eastAsia="zh-CN" w:bidi="ar-SA"/>
              </w:rPr>
              <w:t>分；</w:t>
            </w:r>
          </w:p>
          <w:p w14:paraId="15E5136D">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2.3制定的技术方案内容不完整、表述不清晰、实施可行性不强、全面性不高得0-</w:t>
            </w:r>
            <w:r>
              <w:rPr>
                <w:rFonts w:hint="eastAsia" w:ascii="宋体" w:hAnsi="宋体" w:cs="宋体"/>
                <w:sz w:val="21"/>
                <w:szCs w:val="21"/>
                <w:lang w:val="en-US" w:eastAsia="zh-CN" w:bidi="ar-SA"/>
              </w:rPr>
              <w:t>2</w:t>
            </w:r>
            <w:r>
              <w:rPr>
                <w:rFonts w:hint="eastAsia" w:ascii="宋体" w:hAnsi="宋体" w:eastAsia="宋体" w:cs="宋体"/>
                <w:sz w:val="21"/>
                <w:szCs w:val="21"/>
                <w:lang w:val="en-US" w:eastAsia="zh-CN" w:bidi="ar-SA"/>
              </w:rPr>
              <w:t>分。</w:t>
            </w:r>
          </w:p>
          <w:p w14:paraId="559617AF">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cs="宋体"/>
                <w:b/>
                <w:bCs/>
                <w:sz w:val="21"/>
                <w:szCs w:val="21"/>
                <w:lang w:val="en-US" w:eastAsia="zh-CN" w:bidi="ar-SA"/>
              </w:rPr>
              <w:t>3、</w:t>
            </w:r>
            <w:r>
              <w:rPr>
                <w:rFonts w:hint="eastAsia" w:ascii="宋体" w:hAnsi="宋体" w:eastAsia="宋体" w:cs="宋体"/>
                <w:b/>
                <w:bCs/>
                <w:sz w:val="21"/>
                <w:szCs w:val="21"/>
                <w:lang w:val="en-US" w:eastAsia="zh-CN" w:bidi="ar-SA"/>
              </w:rPr>
              <w:t>重难点分析及应对措施（0-5分）</w:t>
            </w:r>
            <w:r>
              <w:rPr>
                <w:rFonts w:hint="eastAsia" w:ascii="宋体" w:hAnsi="宋体" w:eastAsia="宋体" w:cs="宋体"/>
                <w:sz w:val="21"/>
                <w:szCs w:val="21"/>
                <w:lang w:val="en-US" w:eastAsia="zh-CN" w:bidi="ar-SA"/>
              </w:rPr>
              <w:t xml:space="preserve"> </w:t>
            </w:r>
          </w:p>
          <w:p w14:paraId="01C67235">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3.1重点难点分析准确到位、解决措施合理得4-5分；</w:t>
            </w:r>
          </w:p>
          <w:p w14:paraId="5920AC23">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3.2重点难点分析较准确到位、解决措施较合理得2-4 分；</w:t>
            </w:r>
          </w:p>
          <w:p w14:paraId="4CC50A67">
            <w:pPr>
              <w:widowControl w:val="0"/>
              <w:numPr>
                <w:ilvl w:val="0"/>
                <w:numId w:val="0"/>
              </w:numPr>
              <w:spacing w:line="240" w:lineRule="auto"/>
              <w:ind w:leftChars="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3.3重点难点分析不准确、解决措施基本合理得0-2 分。</w:t>
            </w:r>
          </w:p>
        </w:tc>
      </w:tr>
      <w:tr w14:paraId="6422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A8D3BA8">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3</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3D1ED68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zh-CN" w:eastAsia="en-US"/>
              </w:rPr>
              <w:t>成果文件质量、安全及服务保证措施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71386E9">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6</w:t>
            </w: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zh-CN" w:eastAsia="en-US"/>
              </w:rPr>
              <w:t>分</w:t>
            </w:r>
          </w:p>
        </w:tc>
        <w:tc>
          <w:tcPr>
            <w:tcW w:w="6914" w:type="dxa"/>
            <w:tcBorders>
              <w:top w:val="single" w:color="auto" w:sz="4" w:space="0"/>
              <w:left w:val="single" w:color="auto" w:sz="4" w:space="0"/>
              <w:bottom w:val="single" w:color="auto" w:sz="4" w:space="0"/>
              <w:right w:val="single" w:color="auto" w:sz="4" w:space="0"/>
            </w:tcBorders>
            <w:noWrap w:val="0"/>
            <w:vAlign w:val="top"/>
          </w:tcPr>
          <w:p w14:paraId="1F3DBB24">
            <w:pPr>
              <w:widowControl w:val="0"/>
              <w:spacing w:line="240" w:lineRule="auto"/>
              <w:jc w:val="both"/>
              <w:rPr>
                <w:rFonts w:hint="eastAsia" w:ascii="宋体" w:hAnsi="宋体" w:eastAsia="宋体" w:cs="宋体"/>
                <w:sz w:val="21"/>
                <w:szCs w:val="21"/>
                <w:highlight w:val="none"/>
                <w:lang w:val="zh-CN" w:eastAsia="en-US" w:bidi="ar-SA"/>
              </w:rPr>
            </w:pPr>
            <w:r>
              <w:rPr>
                <w:rFonts w:hint="eastAsia" w:ascii="宋体" w:hAnsi="宋体" w:eastAsia="宋体" w:cs="宋体"/>
                <w:sz w:val="21"/>
                <w:szCs w:val="21"/>
                <w:highlight w:val="none"/>
                <w:lang w:val="en-US" w:eastAsia="zh-CN" w:bidi="ar-SA"/>
              </w:rPr>
              <w:t>1、</w:t>
            </w:r>
            <w:r>
              <w:rPr>
                <w:rFonts w:hint="eastAsia" w:ascii="宋体" w:hAnsi="宋体" w:eastAsia="宋体" w:cs="宋体"/>
                <w:sz w:val="21"/>
                <w:szCs w:val="21"/>
                <w:highlight w:val="none"/>
                <w:lang w:val="zh-CN" w:eastAsia="en-US" w:bidi="ar-SA"/>
              </w:rPr>
              <w:t>质量、安全、服务目标明确、保证措施切实可行得</w:t>
            </w:r>
            <w:r>
              <w:rPr>
                <w:rFonts w:hint="eastAsia" w:ascii="宋体" w:hAnsi="宋体" w:eastAsia="宋体" w:cs="宋体"/>
                <w:sz w:val="21"/>
                <w:szCs w:val="21"/>
                <w:highlight w:val="none"/>
                <w:lang w:val="en-US" w:eastAsia="zh-CN" w:bidi="ar-SA"/>
              </w:rPr>
              <w:t>4</w:t>
            </w:r>
            <w:r>
              <w:rPr>
                <w:rFonts w:hint="eastAsia" w:ascii="宋体" w:hAnsi="宋体" w:eastAsia="宋体" w:cs="宋体"/>
                <w:sz w:val="21"/>
                <w:szCs w:val="21"/>
                <w:highlight w:val="none"/>
                <w:lang w:val="zh-CN" w:eastAsia="en-US" w:bidi="ar-SA"/>
              </w:rPr>
              <w:t>-</w:t>
            </w:r>
            <w:r>
              <w:rPr>
                <w:rFonts w:hint="eastAsia" w:ascii="宋体" w:hAnsi="宋体" w:eastAsia="宋体" w:cs="宋体"/>
                <w:sz w:val="21"/>
                <w:szCs w:val="21"/>
                <w:highlight w:val="none"/>
                <w:lang w:val="en-US" w:eastAsia="zh-CN" w:bidi="ar-SA"/>
              </w:rPr>
              <w:t>6</w:t>
            </w:r>
            <w:r>
              <w:rPr>
                <w:rFonts w:hint="eastAsia" w:ascii="宋体" w:hAnsi="宋体" w:eastAsia="宋体" w:cs="宋体"/>
                <w:sz w:val="21"/>
                <w:szCs w:val="21"/>
                <w:highlight w:val="none"/>
                <w:lang w:val="zh-CN" w:eastAsia="en-US" w:bidi="ar-SA"/>
              </w:rPr>
              <w:t>分，</w:t>
            </w:r>
          </w:p>
          <w:p w14:paraId="44280F41">
            <w:pPr>
              <w:widowControl w:val="0"/>
              <w:spacing w:line="240" w:lineRule="auto"/>
              <w:jc w:val="both"/>
              <w:rPr>
                <w:rFonts w:hint="eastAsia" w:ascii="宋体" w:hAnsi="宋体" w:eastAsia="宋体" w:cs="宋体"/>
                <w:sz w:val="21"/>
                <w:szCs w:val="21"/>
                <w:highlight w:val="none"/>
                <w:lang w:val="zh-CN" w:eastAsia="en-US" w:bidi="ar-SA"/>
              </w:rPr>
            </w:pPr>
            <w:r>
              <w:rPr>
                <w:rFonts w:hint="eastAsia" w:ascii="宋体" w:hAnsi="宋体" w:eastAsia="宋体" w:cs="宋体"/>
                <w:sz w:val="21"/>
                <w:szCs w:val="21"/>
                <w:highlight w:val="none"/>
                <w:lang w:val="en-US" w:eastAsia="zh-CN" w:bidi="ar-SA"/>
              </w:rPr>
              <w:t>2、</w:t>
            </w:r>
            <w:r>
              <w:rPr>
                <w:rFonts w:hint="eastAsia" w:ascii="宋体" w:hAnsi="宋体" w:eastAsia="宋体" w:cs="宋体"/>
                <w:sz w:val="21"/>
                <w:szCs w:val="21"/>
                <w:highlight w:val="none"/>
                <w:lang w:val="zh-CN" w:eastAsia="en-US" w:bidi="ar-SA"/>
              </w:rPr>
              <w:t>质量、安全、服务目标基本明确、保证措施基本可行得1-</w:t>
            </w:r>
            <w:r>
              <w:rPr>
                <w:rFonts w:hint="eastAsia" w:ascii="宋体" w:hAnsi="宋体" w:eastAsia="宋体" w:cs="宋体"/>
                <w:sz w:val="21"/>
                <w:szCs w:val="21"/>
                <w:highlight w:val="none"/>
                <w:lang w:val="en-US" w:eastAsia="zh-CN" w:bidi="ar-SA"/>
              </w:rPr>
              <w:t>3</w:t>
            </w:r>
            <w:r>
              <w:rPr>
                <w:rFonts w:hint="eastAsia" w:ascii="宋体" w:hAnsi="宋体" w:eastAsia="宋体" w:cs="宋体"/>
                <w:sz w:val="21"/>
                <w:szCs w:val="21"/>
                <w:highlight w:val="none"/>
                <w:lang w:val="zh-CN" w:eastAsia="en-US" w:bidi="ar-SA"/>
              </w:rPr>
              <w:t>分，</w:t>
            </w:r>
          </w:p>
          <w:p w14:paraId="405EDD67">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3、</w:t>
            </w:r>
            <w:r>
              <w:rPr>
                <w:rFonts w:hint="eastAsia" w:ascii="宋体" w:hAnsi="宋体" w:eastAsia="宋体" w:cs="宋体"/>
                <w:sz w:val="21"/>
                <w:szCs w:val="21"/>
                <w:highlight w:val="none"/>
                <w:lang w:val="zh-CN" w:eastAsia="en-US" w:bidi="ar-SA"/>
              </w:rPr>
              <w:t>缺项得0分。</w:t>
            </w:r>
          </w:p>
        </w:tc>
      </w:tr>
      <w:tr w14:paraId="2519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0BCC8EFF">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4</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3DD4E1E">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zh-CN" w:eastAsia="zh-CN"/>
              </w:rPr>
              <w:t>项目进度计划及保证措施</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09E5C7A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4分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0BDC0868">
            <w:pPr>
              <w:widowControl w:val="0"/>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1、进度计划满足要求，控制措施合理得3-4分；</w:t>
            </w:r>
          </w:p>
          <w:p w14:paraId="3BE5B4AF">
            <w:pPr>
              <w:widowControl w:val="0"/>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2、进度计划基本满足要求，控制措施基本合理得0-2分；</w:t>
            </w:r>
          </w:p>
          <w:p w14:paraId="7BECED1C">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3、缺项得0分。</w:t>
            </w:r>
          </w:p>
        </w:tc>
      </w:tr>
      <w:tr w14:paraId="3A21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3560738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5</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07BD0342">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服务承诺</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69088747">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5分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43F65123">
            <w:pPr>
              <w:widowControl w:val="0"/>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投标人针对本项目制定的服务期限、服务内容、服务承诺是否满足要求，是否合理、全面。</w:t>
            </w:r>
          </w:p>
          <w:p w14:paraId="4500B906">
            <w:pPr>
              <w:widowControl w:val="0"/>
              <w:numPr>
                <w:ilvl w:val="0"/>
                <w:numId w:val="4"/>
              </w:numPr>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服务期限满足采购人要求、服务内容合理，服务承诺全面，得5分；</w:t>
            </w:r>
          </w:p>
          <w:p w14:paraId="786F154E">
            <w:pPr>
              <w:widowControl w:val="0"/>
              <w:numPr>
                <w:ilvl w:val="0"/>
                <w:numId w:val="4"/>
              </w:numPr>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服务期限较能满足采购人要求、服务内容较合理，服务承诺较全面，得3分； </w:t>
            </w:r>
          </w:p>
          <w:p w14:paraId="55562497">
            <w:pPr>
              <w:widowControl w:val="0"/>
              <w:numPr>
                <w:ilvl w:val="0"/>
                <w:numId w:val="4"/>
              </w:numPr>
              <w:spacing w:line="240" w:lineRule="auto"/>
              <w:ind w:left="0" w:leftChars="0" w:firstLine="0" w:firstLineChars="0"/>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服务期限基本满足采购人要求、服务内容一般</w:t>
            </w:r>
            <w:r>
              <w:rPr>
                <w:rFonts w:hint="eastAsia" w:ascii="宋体" w:hAnsi="宋体" w:cs="宋体"/>
                <w:sz w:val="21"/>
                <w:szCs w:val="21"/>
                <w:highlight w:val="none"/>
                <w:lang w:val="en-US" w:eastAsia="zh-CN" w:bidi="ar-SA"/>
              </w:rPr>
              <w:t>、</w:t>
            </w:r>
            <w:r>
              <w:rPr>
                <w:rFonts w:hint="eastAsia" w:ascii="宋体" w:hAnsi="宋体" w:eastAsia="宋体" w:cs="宋体"/>
                <w:sz w:val="21"/>
                <w:szCs w:val="21"/>
                <w:highlight w:val="none"/>
                <w:lang w:val="en-US" w:eastAsia="zh-CN" w:bidi="ar-SA"/>
              </w:rPr>
              <w:t xml:space="preserve">承诺一般，得1分； </w:t>
            </w:r>
          </w:p>
          <w:p w14:paraId="79962E6E">
            <w:pPr>
              <w:widowControl w:val="0"/>
              <w:numPr>
                <w:ilvl w:val="0"/>
                <w:numId w:val="0"/>
              </w:numPr>
              <w:spacing w:line="240" w:lineRule="auto"/>
              <w:ind w:left="0" w:leftChars="0" w:firstLine="0" w:firstLineChars="0"/>
              <w:jc w:val="both"/>
              <w:rPr>
                <w:rFonts w:hint="default"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4.无或其它情况不得分。</w:t>
            </w:r>
          </w:p>
        </w:tc>
      </w:tr>
      <w:tr w14:paraId="1ACB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65146226">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6</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1624DEC4">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拟派项目人员</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44E1B0D0">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20分</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3CF6C420">
            <w:pPr>
              <w:widowControl w:val="0"/>
              <w:spacing w:line="240" w:lineRule="auto"/>
              <w:jc w:val="both"/>
              <w:rPr>
                <w:rFonts w:hint="eastAsia" w:ascii="宋体" w:hAnsi="宋体" w:eastAsia="宋体" w:cs="宋体"/>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项目负责人</w:t>
            </w:r>
            <w:r>
              <w:rPr>
                <w:rFonts w:hint="eastAsia" w:ascii="宋体" w:hAnsi="宋体" w:eastAsia="宋体" w:cs="宋体"/>
                <w:b/>
                <w:bCs/>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zh-CN" w:bidi="ar-SA"/>
              </w:rPr>
              <w:t>具有公路相关专业（公路、桥梁</w:t>
            </w:r>
            <w:r>
              <w:rPr>
                <w:rFonts w:hint="eastAsia" w:ascii="宋体" w:hAnsi="宋体" w:cs="宋体"/>
                <w:color w:val="000000"/>
                <w:sz w:val="21"/>
                <w:szCs w:val="21"/>
                <w:highlight w:val="none"/>
                <w:lang w:val="en-US" w:eastAsia="zh-CN" w:bidi="ar-SA"/>
              </w:rPr>
              <w:t>、试验检测</w:t>
            </w:r>
            <w:r>
              <w:rPr>
                <w:rFonts w:hint="eastAsia" w:ascii="宋体" w:hAnsi="宋体" w:eastAsia="宋体" w:cs="宋体"/>
                <w:color w:val="000000"/>
                <w:sz w:val="21"/>
                <w:szCs w:val="21"/>
                <w:highlight w:val="none"/>
                <w:lang w:val="en-US" w:eastAsia="zh-CN" w:bidi="ar-SA"/>
              </w:rPr>
              <w:t>等）高级及以上职称，</w:t>
            </w:r>
            <w:r>
              <w:rPr>
                <w:rFonts w:hint="eastAsia" w:ascii="宋体" w:hAnsi="宋体" w:cs="宋体"/>
                <w:color w:val="000000"/>
                <w:sz w:val="21"/>
                <w:szCs w:val="21"/>
                <w:highlight w:val="none"/>
                <w:lang w:val="en-US" w:eastAsia="zh-CN" w:bidi="ar-SA"/>
              </w:rPr>
              <w:t>并持有</w:t>
            </w:r>
            <w:r>
              <w:rPr>
                <w:rFonts w:hint="eastAsia" w:ascii="宋体" w:hAnsi="宋体" w:eastAsia="宋体" w:cs="宋体"/>
                <w:color w:val="000000"/>
                <w:sz w:val="21"/>
                <w:szCs w:val="21"/>
                <w:highlight w:val="none"/>
                <w:lang w:val="en-US" w:eastAsia="zh-CN" w:bidi="ar-SA"/>
              </w:rPr>
              <w:t>人力资源和社会保障部门或交通运输主管部门颁发的公路水运</w:t>
            </w:r>
            <w:r>
              <w:rPr>
                <w:rFonts w:hint="eastAsia" w:ascii="宋体" w:hAnsi="宋体" w:cs="宋体"/>
                <w:color w:val="000000"/>
                <w:sz w:val="21"/>
                <w:szCs w:val="21"/>
                <w:highlight w:val="none"/>
                <w:lang w:val="en-US" w:eastAsia="zh-CN" w:bidi="ar-SA"/>
              </w:rPr>
              <w:t>工程</w:t>
            </w:r>
            <w:r>
              <w:rPr>
                <w:rFonts w:hint="eastAsia" w:ascii="宋体" w:hAnsi="宋体" w:eastAsia="宋体" w:cs="宋体"/>
                <w:color w:val="000000"/>
                <w:sz w:val="21"/>
                <w:szCs w:val="21"/>
                <w:highlight w:val="none"/>
                <w:lang w:val="en-US" w:eastAsia="zh-CN" w:bidi="ar-SA"/>
              </w:rPr>
              <w:t>试验检测师</w:t>
            </w:r>
            <w:r>
              <w:rPr>
                <w:rFonts w:hint="eastAsia" w:ascii="宋体" w:hAnsi="宋体" w:cs="宋体"/>
                <w:color w:val="000000"/>
                <w:sz w:val="21"/>
                <w:szCs w:val="21"/>
                <w:highlight w:val="none"/>
                <w:lang w:val="en-US" w:eastAsia="zh-CN" w:bidi="ar-SA"/>
              </w:rPr>
              <w:t>或公路工程检测工程师</w:t>
            </w:r>
            <w:r>
              <w:rPr>
                <w:rFonts w:hint="eastAsia" w:ascii="宋体" w:hAnsi="宋体" w:eastAsia="宋体" w:cs="宋体"/>
                <w:color w:val="000000"/>
                <w:sz w:val="21"/>
                <w:szCs w:val="21"/>
                <w:highlight w:val="none"/>
                <w:lang w:val="en-US" w:eastAsia="zh-CN" w:bidi="ar-SA"/>
              </w:rPr>
              <w:t>资格证书（桥梁或桥梁隧道工程专业）</w:t>
            </w:r>
            <w:r>
              <w:rPr>
                <w:rFonts w:hint="eastAsia" w:ascii="宋体" w:hAnsi="宋体" w:cs="宋体"/>
                <w:color w:val="000000"/>
                <w:sz w:val="21"/>
                <w:szCs w:val="21"/>
                <w:highlight w:val="none"/>
                <w:lang w:val="en-US" w:eastAsia="zh-CN" w:bidi="ar-SA"/>
              </w:rPr>
              <w:t>，</w:t>
            </w:r>
            <w:r>
              <w:rPr>
                <w:rFonts w:hint="eastAsia" w:ascii="宋体" w:hAnsi="宋体" w:eastAsia="宋体" w:cs="宋体"/>
                <w:color w:val="000000"/>
                <w:sz w:val="21"/>
                <w:szCs w:val="21"/>
                <w:highlight w:val="none"/>
                <w:lang w:val="en-US" w:eastAsia="zh-CN" w:bidi="ar-SA"/>
              </w:rPr>
              <w:t>得</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分，最高</w:t>
            </w:r>
            <w:r>
              <w:rPr>
                <w:rFonts w:hint="eastAsia" w:ascii="宋体" w:hAnsi="宋体" w:cs="宋体"/>
                <w:color w:val="000000"/>
                <w:sz w:val="21"/>
                <w:szCs w:val="21"/>
                <w:highlight w:val="none"/>
                <w:lang w:val="en-US" w:eastAsia="zh-CN" w:bidi="ar-SA"/>
              </w:rPr>
              <w:t>6</w:t>
            </w:r>
            <w:r>
              <w:rPr>
                <w:rFonts w:hint="eastAsia" w:ascii="宋体" w:hAnsi="宋体" w:eastAsia="宋体" w:cs="宋体"/>
                <w:color w:val="000000"/>
                <w:sz w:val="21"/>
                <w:szCs w:val="21"/>
                <w:highlight w:val="none"/>
                <w:lang w:val="en-US" w:eastAsia="zh-CN" w:bidi="ar-SA"/>
              </w:rPr>
              <w:t>分，缺项得0分。</w:t>
            </w:r>
          </w:p>
          <w:p w14:paraId="37C1A0E0">
            <w:pPr>
              <w:widowControl w:val="0"/>
              <w:numPr>
                <w:ilvl w:val="0"/>
                <w:numId w:val="0"/>
              </w:numPr>
              <w:spacing w:line="240" w:lineRule="auto"/>
              <w:jc w:val="both"/>
              <w:rPr>
                <w:rFonts w:hint="eastAsia" w:ascii="宋体" w:hAnsi="宋体" w:eastAsia="宋体" w:cs="宋体"/>
                <w:sz w:val="21"/>
                <w:szCs w:val="21"/>
                <w:highlight w:val="none"/>
                <w:lang w:val="en-US" w:eastAsia="zh-CN" w:bidi="ar-SA"/>
              </w:rPr>
            </w:pPr>
            <w:r>
              <w:rPr>
                <w:rFonts w:hint="eastAsia" w:ascii="宋体" w:hAnsi="宋体" w:cs="宋体"/>
                <w:b/>
                <w:bCs/>
                <w:color w:val="000000"/>
                <w:sz w:val="21"/>
                <w:szCs w:val="21"/>
                <w:highlight w:val="none"/>
                <w:lang w:val="en-US" w:eastAsia="zh-CN" w:bidi="ar-SA"/>
              </w:rPr>
              <w:t>检测</w:t>
            </w:r>
            <w:r>
              <w:rPr>
                <w:rFonts w:hint="eastAsia" w:ascii="宋体" w:hAnsi="宋体" w:eastAsia="宋体" w:cs="宋体"/>
                <w:b/>
                <w:bCs/>
                <w:color w:val="000000"/>
                <w:sz w:val="21"/>
                <w:szCs w:val="21"/>
                <w:highlight w:val="none"/>
                <w:lang w:val="en-US" w:eastAsia="zh-CN" w:bidi="ar-SA"/>
              </w:rPr>
              <w:t>人员：</w:t>
            </w:r>
            <w:r>
              <w:rPr>
                <w:rFonts w:hint="eastAsia" w:ascii="宋体" w:hAnsi="宋体" w:eastAsia="宋体" w:cs="宋体"/>
                <w:sz w:val="21"/>
                <w:szCs w:val="21"/>
                <w:highlight w:val="none"/>
                <w:lang w:val="en-US" w:eastAsia="zh-CN" w:bidi="ar-SA"/>
              </w:rPr>
              <w:t xml:space="preserve">具有公路相关专业（公路、桥梁、试验检测等）相关专业中级及以上技术职称，并持有人力资源和社会保障部门或交通运输主管部门颁发的公路水运工程试验检测师或公路工程检测工程师资格证书（桥梁或桥梁隧道工程专业），每提供1人得3分，最高12分，缺项得0分。 </w:t>
            </w:r>
          </w:p>
          <w:p w14:paraId="64C02DF6">
            <w:pPr>
              <w:widowControl w:val="0"/>
              <w:numPr>
                <w:ilvl w:val="0"/>
                <w:numId w:val="0"/>
              </w:numPr>
              <w:spacing w:line="240" w:lineRule="auto"/>
              <w:jc w:val="both"/>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安全员：</w:t>
            </w:r>
            <w:r>
              <w:rPr>
                <w:rFonts w:hint="eastAsia" w:ascii="宋体" w:hAnsi="宋体" w:eastAsia="宋体" w:cs="宋体"/>
                <w:sz w:val="21"/>
                <w:szCs w:val="21"/>
                <w:highlight w:val="none"/>
                <w:lang w:val="en-US" w:eastAsia="zh-CN" w:bidi="ar-SA"/>
              </w:rPr>
              <w:t>具有交通主管部门颁发的安全生产考核合格证的得2分，满分2分，缺项得0分。</w:t>
            </w:r>
          </w:p>
          <w:p w14:paraId="3233F3FB">
            <w:pPr>
              <w:widowControl w:val="0"/>
              <w:numPr>
                <w:ilvl w:val="0"/>
                <w:numId w:val="0"/>
              </w:numPr>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b/>
                <w:bCs/>
                <w:sz w:val="21"/>
                <w:szCs w:val="21"/>
                <w:highlight w:val="none"/>
                <w:lang w:val="en-US" w:eastAsia="zh-CN" w:bidi="ar-SA"/>
              </w:rPr>
              <w:t>以上人员需要提供身份证、社保缴纳证明、职称证书、资格证书等证明材料扫描件。</w:t>
            </w:r>
          </w:p>
        </w:tc>
      </w:tr>
      <w:tr w14:paraId="5F491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13" w:type="dxa"/>
            <w:tcBorders>
              <w:top w:val="single" w:color="auto" w:sz="4" w:space="0"/>
              <w:left w:val="single" w:color="auto" w:sz="4" w:space="0"/>
              <w:bottom w:val="single" w:color="auto" w:sz="4" w:space="0"/>
              <w:right w:val="single" w:color="auto" w:sz="4" w:space="0"/>
            </w:tcBorders>
            <w:noWrap w:val="0"/>
            <w:vAlign w:val="center"/>
          </w:tcPr>
          <w:p w14:paraId="570E01DE">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t>7</w:t>
            </w:r>
          </w:p>
        </w:tc>
        <w:tc>
          <w:tcPr>
            <w:tcW w:w="1333" w:type="dxa"/>
            <w:tcBorders>
              <w:top w:val="single" w:color="auto" w:sz="4" w:space="0"/>
              <w:left w:val="single" w:color="auto" w:sz="4" w:space="0"/>
              <w:bottom w:val="single" w:color="auto" w:sz="4" w:space="0"/>
              <w:right w:val="single" w:color="auto" w:sz="4" w:space="0"/>
            </w:tcBorders>
            <w:noWrap w:val="0"/>
            <w:vAlign w:val="center"/>
          </w:tcPr>
          <w:p w14:paraId="5795475B">
            <w:pPr>
              <w:spacing w:line="340" w:lineRule="exact"/>
              <w:jc w:val="cente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业绩</w:t>
            </w:r>
          </w:p>
        </w:tc>
        <w:tc>
          <w:tcPr>
            <w:tcW w:w="885" w:type="dxa"/>
            <w:tcBorders>
              <w:top w:val="single" w:color="auto" w:sz="4" w:space="0"/>
              <w:left w:val="single" w:color="auto" w:sz="4" w:space="0"/>
              <w:bottom w:val="single" w:color="auto" w:sz="4" w:space="0"/>
              <w:right w:val="single" w:color="auto" w:sz="4" w:space="0"/>
            </w:tcBorders>
            <w:noWrap w:val="0"/>
            <w:vAlign w:val="center"/>
          </w:tcPr>
          <w:p w14:paraId="21D901DB">
            <w:pPr>
              <w:spacing w:line="340" w:lineRule="exact"/>
              <w:jc w:val="center"/>
              <w:rPr>
                <w:rFonts w:hint="default"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lang w:val="en-US" w:eastAsia="zh-CN"/>
              </w:rPr>
            </w:pPr>
            <w:r>
              <w:rPr>
                <w:rFonts w:hint="eastAsia" w:ascii="Microsoft YaHei 微软雅黑 黑体 宋体" w:hAnsi="Microsoft YaHei 微软雅黑 黑体 宋体" w:eastAsia="Microsoft YaHei 微软雅黑 黑体 宋体" w:cs="Microsoft YaHei 微软雅黑 黑体 宋体"/>
                <w:color w:val="333333"/>
                <w:kern w:val="0"/>
                <w:sz w:val="18"/>
                <w:szCs w:val="18"/>
                <w:highlight w:val="none"/>
                <w:shd w:val="clear" w:color="auto" w:fill="FCFCFC"/>
                <w:lang w:val="en-US" w:eastAsia="zh-CN"/>
              </w:rPr>
              <w:t>10</w:t>
            </w:r>
          </w:p>
        </w:tc>
        <w:tc>
          <w:tcPr>
            <w:tcW w:w="6914" w:type="dxa"/>
            <w:tcBorders>
              <w:top w:val="single" w:color="auto" w:sz="4" w:space="0"/>
              <w:left w:val="single" w:color="auto" w:sz="4" w:space="0"/>
              <w:bottom w:val="single" w:color="auto" w:sz="4" w:space="0"/>
              <w:right w:val="single" w:color="auto" w:sz="4" w:space="0"/>
            </w:tcBorders>
            <w:noWrap w:val="0"/>
            <w:vAlign w:val="center"/>
          </w:tcPr>
          <w:p w14:paraId="6D340E8E">
            <w:pPr>
              <w:widowControl w:val="0"/>
              <w:spacing w:line="240" w:lineRule="auto"/>
              <w:jc w:val="both"/>
              <w:rPr>
                <w:rFonts w:hint="eastAsia" w:ascii="宋体" w:hAnsi="宋体" w:eastAsia="宋体" w:cs="宋体"/>
                <w:sz w:val="21"/>
                <w:szCs w:val="21"/>
                <w:lang w:val="en-US" w:eastAsia="zh-CN" w:bidi="ar-SA"/>
              </w:rPr>
            </w:pPr>
            <w:r>
              <w:rPr>
                <w:rFonts w:hint="eastAsia" w:ascii="宋体" w:hAnsi="宋体" w:eastAsia="宋体" w:cs="宋体"/>
                <w:sz w:val="21"/>
                <w:szCs w:val="21"/>
                <w:highlight w:val="none"/>
                <w:lang w:val="en-US" w:eastAsia="zh-CN" w:bidi="ar-SA"/>
              </w:rPr>
              <w:t>供应商提供2023年1月至今的</w:t>
            </w:r>
            <w:r>
              <w:rPr>
                <w:rFonts w:hint="eastAsia" w:ascii="宋体" w:hAnsi="宋体" w:cs="宋体"/>
                <w:sz w:val="21"/>
                <w:szCs w:val="21"/>
                <w:highlight w:val="none"/>
                <w:lang w:val="en-US" w:eastAsia="zh-CN" w:bidi="ar-SA"/>
              </w:rPr>
              <w:t>桥梁检测</w:t>
            </w:r>
            <w:r>
              <w:rPr>
                <w:rFonts w:hint="eastAsia" w:ascii="宋体" w:hAnsi="宋体" w:eastAsia="宋体" w:cs="宋体"/>
                <w:sz w:val="21"/>
                <w:szCs w:val="21"/>
                <w:highlight w:val="none"/>
                <w:lang w:val="en-US" w:eastAsia="zh-CN" w:bidi="ar-SA"/>
              </w:rPr>
              <w:t>类</w:t>
            </w:r>
            <w:r>
              <w:rPr>
                <w:rFonts w:hint="eastAsia" w:ascii="宋体" w:hAnsi="宋体" w:cs="宋体"/>
                <w:sz w:val="21"/>
                <w:szCs w:val="21"/>
                <w:highlight w:val="none"/>
                <w:lang w:val="en-US" w:eastAsia="zh-CN" w:bidi="ar-SA"/>
              </w:rPr>
              <w:t>项目</w:t>
            </w:r>
            <w:r>
              <w:rPr>
                <w:rFonts w:hint="eastAsia" w:ascii="宋体" w:hAnsi="宋体" w:eastAsia="宋体" w:cs="宋体"/>
                <w:sz w:val="21"/>
                <w:szCs w:val="21"/>
                <w:highlight w:val="none"/>
                <w:lang w:val="en-US" w:eastAsia="zh-CN" w:bidi="ar-SA"/>
              </w:rPr>
              <w:t>业绩，每提供一份得2分，最高得10分，未提供得0分。（以合同复印件或中标通知书为准）</w:t>
            </w:r>
          </w:p>
        </w:tc>
      </w:tr>
      <w:tr w14:paraId="01E0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645" w:type="dxa"/>
            <w:gridSpan w:val="4"/>
            <w:tcBorders>
              <w:top w:val="single" w:color="auto" w:sz="4" w:space="0"/>
              <w:left w:val="single" w:color="auto" w:sz="4" w:space="0"/>
              <w:bottom w:val="single" w:color="auto" w:sz="4" w:space="0"/>
              <w:right w:val="single" w:color="auto" w:sz="4" w:space="0"/>
            </w:tcBorders>
            <w:noWrap w:val="0"/>
            <w:vAlign w:val="center"/>
          </w:tcPr>
          <w:p w14:paraId="7261BF7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cs="宋体"/>
                <w:color w:val="333333"/>
                <w:kern w:val="0"/>
                <w:sz w:val="21"/>
                <w:szCs w:val="21"/>
                <w:shd w:val="clear" w:color="auto" w:fill="FCFCFC"/>
                <w:lang w:val="en-US" w:eastAsia="zh-CN"/>
              </w:rPr>
              <w:t>1、</w:t>
            </w:r>
            <w:r>
              <w:rPr>
                <w:rFonts w:hint="eastAsia" w:ascii="宋体" w:hAnsi="宋体" w:eastAsia="宋体" w:cs="宋体"/>
                <w:color w:val="333333"/>
                <w:kern w:val="0"/>
                <w:sz w:val="21"/>
                <w:szCs w:val="21"/>
                <w:shd w:val="clear" w:color="auto" w:fill="FCFCFC"/>
              </w:rPr>
              <w:t>汇总上述各项得分，按由高至低的顺序确定成交候选人。</w:t>
            </w:r>
          </w:p>
          <w:p w14:paraId="1E736A82">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2、技术标缺项的，此项得零分，不得成为成交候选人。</w:t>
            </w:r>
          </w:p>
          <w:p w14:paraId="7EAA3D26">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3、商务标计算采用插入法，数据汇总时保留小数点后两位，第三位四舍五入。</w:t>
            </w:r>
          </w:p>
          <w:p w14:paraId="3F185278">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4、当递交磋商文件的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少于三个或经</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评审合格的</w:t>
            </w:r>
            <w:r>
              <w:rPr>
                <w:rFonts w:hint="eastAsia" w:ascii="宋体" w:hAnsi="宋体" w:eastAsia="宋体" w:cs="宋体"/>
                <w:color w:val="333333"/>
                <w:kern w:val="0"/>
                <w:sz w:val="21"/>
                <w:szCs w:val="21"/>
                <w:shd w:val="clear" w:color="auto" w:fill="FCFCFC"/>
                <w:lang w:eastAsia="zh-CN"/>
              </w:rPr>
              <w:t>潜在供应商</w:t>
            </w:r>
            <w:r>
              <w:rPr>
                <w:rFonts w:hint="eastAsia" w:ascii="宋体" w:hAnsi="宋体" w:eastAsia="宋体" w:cs="宋体"/>
                <w:color w:val="333333"/>
                <w:kern w:val="0"/>
                <w:sz w:val="21"/>
                <w:szCs w:val="21"/>
                <w:shd w:val="clear" w:color="auto" w:fill="FCFCFC"/>
              </w:rPr>
              <w:t>少于三个且明显缺乏竞争时，采购代理机构将依法重新组织磋商。</w:t>
            </w:r>
          </w:p>
          <w:p w14:paraId="21BFAC90">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5、</w:t>
            </w:r>
            <w:r>
              <w:rPr>
                <w:rFonts w:hint="eastAsia" w:ascii="宋体" w:hAnsi="宋体" w:eastAsia="宋体" w:cs="宋体"/>
                <w:color w:val="333333"/>
                <w:kern w:val="0"/>
                <w:sz w:val="21"/>
                <w:szCs w:val="21"/>
                <w:shd w:val="clear" w:color="auto" w:fill="FCFCFC"/>
                <w:lang w:eastAsia="zh-CN"/>
              </w:rPr>
              <w:t>磋商小组</w:t>
            </w:r>
            <w:r>
              <w:rPr>
                <w:rFonts w:hint="eastAsia" w:ascii="宋体" w:hAnsi="宋体" w:eastAsia="宋体" w:cs="宋体"/>
                <w:color w:val="333333"/>
                <w:kern w:val="0"/>
                <w:sz w:val="21"/>
                <w:szCs w:val="21"/>
                <w:shd w:val="clear" w:color="auto" w:fill="FCFCFC"/>
              </w:rPr>
              <w:t>成员应写出评审报告，并在评标原始记录上签名。</w:t>
            </w:r>
          </w:p>
          <w:p w14:paraId="40A4034A">
            <w:pPr>
              <w:overflowPunct w:val="0"/>
              <w:topLinePunct/>
              <w:spacing w:line="360" w:lineRule="exact"/>
              <w:jc w:val="left"/>
              <w:rPr>
                <w:rFonts w:hint="eastAsia" w:ascii="宋体" w:hAnsi="宋体" w:eastAsia="宋体" w:cs="宋体"/>
                <w:color w:val="333333"/>
                <w:kern w:val="0"/>
                <w:sz w:val="21"/>
                <w:szCs w:val="21"/>
                <w:shd w:val="clear" w:color="auto" w:fill="FCFCFC"/>
              </w:rPr>
            </w:pPr>
            <w:r>
              <w:rPr>
                <w:rFonts w:hint="eastAsia" w:ascii="宋体" w:hAnsi="宋体" w:eastAsia="宋体" w:cs="宋体"/>
                <w:color w:val="333333"/>
                <w:kern w:val="0"/>
                <w:sz w:val="21"/>
                <w:szCs w:val="21"/>
                <w:shd w:val="clear" w:color="auto" w:fill="FCFCFC"/>
              </w:rPr>
              <w:t>6、磋商文件的其它否决条件按相关法律、法规和规定执行。</w:t>
            </w:r>
          </w:p>
          <w:p w14:paraId="1CAA1CF3">
            <w:pPr>
              <w:overflowPunct w:val="0"/>
              <w:topLinePunct/>
              <w:spacing w:line="360" w:lineRule="exact"/>
              <w:jc w:val="left"/>
              <w:rPr>
                <w:rFonts w:hint="eastAsia" w:ascii="Microsoft YaHei 微软雅黑 黑体 宋体" w:hAnsi="Microsoft YaHei 微软雅黑 黑体 宋体" w:eastAsia="Microsoft YaHei 微软雅黑 黑体 宋体" w:cs="Microsoft YaHei 微软雅黑 黑体 宋体"/>
                <w:color w:val="333333"/>
                <w:kern w:val="0"/>
                <w:sz w:val="18"/>
                <w:szCs w:val="18"/>
                <w:shd w:val="clear" w:color="auto" w:fill="FCFCFC"/>
              </w:rPr>
            </w:pPr>
            <w:r>
              <w:rPr>
                <w:rFonts w:hint="eastAsia" w:ascii="宋体" w:hAnsi="宋体" w:eastAsia="宋体" w:cs="宋体"/>
                <w:color w:val="333333"/>
                <w:kern w:val="0"/>
                <w:sz w:val="21"/>
                <w:szCs w:val="21"/>
                <w:shd w:val="clear" w:color="auto" w:fill="FCFCFC"/>
              </w:rPr>
              <w:t>7、未尽事宜按有关规定执行。本文件最终解释权为磋商组织机构。</w:t>
            </w:r>
          </w:p>
        </w:tc>
      </w:tr>
    </w:tbl>
    <w:p w14:paraId="09F99F6C">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p w14:paraId="3B5AA9E3">
      <w:pPr>
        <w:spacing w:line="360" w:lineRule="auto"/>
        <w:ind w:firstLine="486" w:firstLineChars="200"/>
        <w:rPr>
          <w:rFonts w:hint="eastAsia" w:ascii="宋体" w:hAnsi="宋体" w:eastAsia="宋体" w:cs="宋体"/>
          <w:sz w:val="24"/>
        </w:rPr>
      </w:pPr>
    </w:p>
    <w:p w14:paraId="53382981">
      <w:pPr>
        <w:spacing w:line="360" w:lineRule="auto"/>
        <w:ind w:firstLine="486" w:firstLineChars="200"/>
        <w:rPr>
          <w:rFonts w:hint="eastAsia" w:ascii="宋体" w:hAnsi="宋体" w:eastAsia="宋体" w:cs="宋体"/>
          <w:sz w:val="24"/>
        </w:rPr>
      </w:pPr>
    </w:p>
    <w:p w14:paraId="322D913C">
      <w:pPr>
        <w:spacing w:line="360" w:lineRule="auto"/>
        <w:ind w:firstLine="486" w:firstLineChars="200"/>
        <w:rPr>
          <w:rFonts w:hint="eastAsia" w:ascii="宋体" w:hAnsi="宋体" w:eastAsia="宋体" w:cs="宋体"/>
          <w:sz w:val="24"/>
        </w:rPr>
      </w:pPr>
    </w:p>
    <w:p w14:paraId="529FB415">
      <w:pPr>
        <w:spacing w:line="360" w:lineRule="auto"/>
        <w:ind w:firstLine="486" w:firstLineChars="200"/>
        <w:rPr>
          <w:rFonts w:hint="eastAsia" w:ascii="宋体" w:hAnsi="宋体" w:eastAsia="宋体" w:cs="宋体"/>
          <w:sz w:val="24"/>
        </w:rPr>
      </w:pPr>
    </w:p>
    <w:p w14:paraId="1120BB9E">
      <w:pPr>
        <w:spacing w:line="360" w:lineRule="auto"/>
        <w:ind w:firstLine="486" w:firstLineChars="200"/>
        <w:rPr>
          <w:rFonts w:hint="eastAsia" w:ascii="宋体" w:hAnsi="宋体" w:eastAsia="宋体" w:cs="宋体"/>
          <w:sz w:val="24"/>
        </w:rPr>
      </w:pPr>
    </w:p>
    <w:p w14:paraId="7A7C0885">
      <w:pPr>
        <w:spacing w:line="360" w:lineRule="auto"/>
        <w:rPr>
          <w:rFonts w:hint="eastAsia" w:ascii="宋体" w:hAnsi="宋体" w:eastAsia="宋体" w:cs="宋体"/>
          <w:sz w:val="24"/>
        </w:rPr>
      </w:pPr>
    </w:p>
    <w:p w14:paraId="0A34D5F8">
      <w:pPr>
        <w:spacing w:line="360" w:lineRule="auto"/>
        <w:ind w:firstLine="486" w:firstLineChars="200"/>
        <w:rPr>
          <w:rFonts w:hint="eastAsia" w:ascii="宋体" w:hAnsi="宋体" w:eastAsia="宋体" w:cs="宋体"/>
          <w:sz w:val="24"/>
        </w:rPr>
      </w:pP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60D1EFFB">
      <w:pPr>
        <w:pStyle w:val="2"/>
        <w:spacing w:before="0" w:after="0"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sz w:val="32"/>
          <w:szCs w:val="32"/>
          <w:highlight w:val="none"/>
        </w:rPr>
        <w:t>第三章 磋商内容及技术要求</w:t>
      </w:r>
      <w:bookmarkStart w:id="9" w:name="_Toc502742968"/>
      <w:bookmarkEnd w:id="9"/>
    </w:p>
    <w:p w14:paraId="09F8DD90">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一、项目概况</w:t>
      </w:r>
    </w:p>
    <w:p w14:paraId="2FF23C31">
      <w:pPr>
        <w:widowControl/>
        <w:spacing w:before="0" w:after="0" w:line="360" w:lineRule="auto"/>
        <w:ind w:firstLine="560" w:firstLineChars="200"/>
        <w:jc w:val="left"/>
        <w:rPr>
          <w:rFonts w:ascii="仿宋" w:hAnsi="仿宋" w:eastAsia="仿宋" w:cs="Times New Roman"/>
          <w:kern w:val="0"/>
          <w:sz w:val="28"/>
          <w:szCs w:val="28"/>
          <w:lang w:eastAsia="en-US"/>
        </w:rPr>
      </w:pPr>
      <w:r>
        <w:rPr>
          <w:rFonts w:ascii="仿宋" w:hAnsi="仿宋" w:eastAsia="仿宋" w:cs="Times New Roman"/>
          <w:b w:val="0"/>
          <w:kern w:val="0"/>
          <w:sz w:val="28"/>
          <w:szCs w:val="28"/>
          <w:lang w:eastAsia="en-US"/>
        </w:rPr>
        <w:t>甘泉立交至桥镇红色旅游公路工程路线全长32.932公里，采用二级公路技术标准。该项目是串联区域红色资源、助力乡村振兴的重点民生与文旅配套工程。枣林洛河大桥、南曲洛河大桥是该公路的核心控制性跨河构筑物，其施工质量、结构安全直接关乎整条公路的运营安全、通行品质及使用寿命。为严格落实公路工程质量管理规范，全面核查桥梁施工质量、结构稳定性与承载能力，保障项目顺利完成竣</w:t>
      </w:r>
      <w:r>
        <w:rPr>
          <w:rFonts w:hint="eastAsia" w:ascii="仿宋" w:hAnsi="仿宋" w:eastAsia="仿宋" w:cs="Times New Roman"/>
          <w:b w:val="0"/>
          <w:kern w:val="0"/>
          <w:sz w:val="28"/>
          <w:szCs w:val="28"/>
          <w:lang w:val="en-US" w:eastAsia="zh-CN"/>
        </w:rPr>
        <w:t>交</w:t>
      </w:r>
      <w:r>
        <w:rPr>
          <w:rFonts w:ascii="仿宋" w:hAnsi="仿宋" w:eastAsia="仿宋" w:cs="Times New Roman"/>
          <w:b w:val="0"/>
          <w:kern w:val="0"/>
          <w:sz w:val="28"/>
          <w:szCs w:val="28"/>
          <w:lang w:eastAsia="en-US"/>
        </w:rPr>
        <w:t>工验收，现拟开展两座桥梁的专项质量检测服务采购。</w:t>
      </w:r>
    </w:p>
    <w:p w14:paraId="1132BD9F">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甘泉立交至桥镇红色旅游公路工程位于延安市甘泉县境内，项目采用二级公路设计标准，设计速度60km/h，桥梁标准宽度10m，桥梁设计荷载公路—Ⅰ级，设计洪水频率1/100，地震动峰值加速度0.05g。</w:t>
      </w:r>
    </w:p>
    <w:p w14:paraId="04F93240">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枣林洛河大桥：位于枣林村西侧，桥梁横跨洛河。本桥为新建桥梁，桥梁交角为60度，桥梁起点桩号K6+232.0，中心桩号K6+410，终点桩号K6+588。桥面宽10.0m=净9.0+2×0.5m防撞护栏。桥长356.00m，上部结构采用9×30m装配式预应力混凝土小箱梁+50m钢混组合梁+30m装配式预应力混凝土小箱梁；下部桩柱式墩、肋板台、桩接盖梁式桥台，钻孔灌注桩基础。</w:t>
      </w:r>
    </w:p>
    <w:p w14:paraId="1B530644">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南曲洛河大桥：位于南曲村北侧，桥梁横跨洛河。本桥为新建桥梁，桥梁起点桩号K7+986，中心桩号K7+843.0，终点桩号K8+129.0。桥梁总长286.0m，桥面宽10.0m=净9.0+2×0.5m防撞护栏。上部结构采用3×30m+2×50m+3×30m装配式预应力混凝土桥面连续小箱梁+钢混组合梁；下部桩柱式墩、柱式台，基础采用嵌岩桩基础。</w:t>
      </w:r>
    </w:p>
    <w:p w14:paraId="1058F903">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二、服务范围</w:t>
      </w:r>
    </w:p>
    <w:p w14:paraId="793C20D9">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本项目采购范围为枣林洛河大桥及南曲洛河大桥两座桥梁的专项质量检测服务，依据国家现行公路桥梁检测标准，完成钢结构检测、交工实体检测、荷载试验等工作，检测项目的内容包括以下部分：</w:t>
      </w:r>
    </w:p>
    <w:p w14:paraId="29C386F5">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（1）钢结构原材抽检试验；</w:t>
      </w:r>
    </w:p>
    <w:p w14:paraId="036FCA2D">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（2）钢结构实体检测；</w:t>
      </w:r>
    </w:p>
    <w:p w14:paraId="48C78C62">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（3）桥梁荷载试验；</w:t>
      </w:r>
    </w:p>
    <w:p w14:paraId="7DCA48C1">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（4）外观检查、工程实体检测；</w:t>
      </w:r>
    </w:p>
    <w:p w14:paraId="2D5DDBAE">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（5）内业资料审查。</w:t>
      </w:r>
    </w:p>
    <w:p w14:paraId="194FA925">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三、服务内容</w:t>
      </w:r>
    </w:p>
    <w:p w14:paraId="2F098AC2">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1.钢结构检测</w:t>
      </w:r>
    </w:p>
    <w:p w14:paraId="70CFCF97">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依据国家现行公路桥梁检测标准，对两座桥梁钢结构原材料进行抽检试验，对钢结构实体进行专项检测，包括焊缝无损检测、涂层厚度检测等，确保钢结构施工质量满足设计及规范要求。</w:t>
      </w:r>
    </w:p>
    <w:p w14:paraId="43C5CB5B">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2.桥梁荷载试验</w:t>
      </w:r>
    </w:p>
    <w:p w14:paraId="174D5F5C">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对枣林洛河大桥、南曲洛河大桥分别进行静载试验和动载试验，测试桥梁结构在试验荷载作用下的应变、挠度、振动特性等参数，评定桥梁结构的实际承载能力是否满足设计荷载等级要求，为桥梁交工验收提供科学依据。</w:t>
      </w:r>
    </w:p>
    <w:p w14:paraId="03203667">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3.外观检查与工程实体检测</w:t>
      </w:r>
    </w:p>
    <w:p w14:paraId="3B5D4692">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对两座桥梁进行全面的外观质量检查，包括混凝土结构外观质量、钢结构外观质量、支座、伸缩缝、桥面系、防撞护栏等附属设施检查。同时进行工程实体检测，包括混凝土强度、钢筋保护层厚度、结构尺寸偏差等参数检测。</w:t>
      </w:r>
    </w:p>
    <w:p w14:paraId="256DBB5F">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4.内业资料审查</w:t>
      </w:r>
    </w:p>
    <w:p w14:paraId="0A09E9AC">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对两座桥梁施工过程中的质量保证资料、隐蔽工程验收记录、原材料进场检验报告、施工自检报告等内业资料进行全面审查，评估施工过程质量管理的规范性和完整性。</w:t>
      </w:r>
    </w:p>
    <w:p w14:paraId="6C7C653D">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四、技术标准与规范</w:t>
      </w:r>
    </w:p>
    <w:p w14:paraId="529519E0">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（1）《公路工程质量检验评定标准</w:t>
      </w:r>
      <w:r>
        <w:rPr>
          <w:rFonts w:hint="eastAsia" w:ascii="仿宋" w:hAnsi="仿宋" w:eastAsia="仿宋" w:cs="Times New Roman"/>
          <w:kern w:val="0"/>
          <w:sz w:val="28"/>
          <w:szCs w:val="22"/>
          <w:lang w:val="en-US" w:eastAsia="zh-CN"/>
        </w:rPr>
        <w:t xml:space="preserve"> 第一册 土建工程</w:t>
      </w:r>
      <w:r>
        <w:rPr>
          <w:rFonts w:ascii="仿宋" w:hAnsi="仿宋" w:eastAsia="仿宋" w:cs="Times New Roman"/>
          <w:kern w:val="0"/>
          <w:sz w:val="28"/>
          <w:szCs w:val="22"/>
          <w:lang w:eastAsia="en-US"/>
        </w:rPr>
        <w:t>》（JTG F80/1-2017）；</w:t>
      </w:r>
    </w:p>
    <w:p w14:paraId="14BA2628">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（2）《公路桥梁荷载试验规程》（JTG/T J21-01-2015）；</w:t>
      </w:r>
    </w:p>
    <w:p w14:paraId="35E661D1">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（3）《公路桥梁承载能力检测评定规程》（JTG/T J21-2011）；</w:t>
      </w:r>
    </w:p>
    <w:p w14:paraId="3600D0D8">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（4）《钢结构工程施工质量验收标准》（GB 50205-2020）；</w:t>
      </w:r>
    </w:p>
    <w:p w14:paraId="322575A3">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（5）《公路工程竣（交）工验收办法》（交通部令2004年第3号）；</w:t>
      </w:r>
    </w:p>
    <w:p w14:paraId="2C4ABE76">
      <w:pPr>
        <w:widowControl/>
        <w:bidi w:val="0"/>
        <w:spacing w:before="0" w:after="0" w:line="360" w:lineRule="auto"/>
        <w:ind w:firstLine="560" w:firstLineChars="200"/>
        <w:rPr>
          <w:rFonts w:hint="eastAsia" w:ascii="仿宋" w:hAnsi="仿宋" w:eastAsia="仿宋" w:cs="Times New Roman"/>
          <w:kern w:val="0"/>
          <w:sz w:val="28"/>
          <w:szCs w:val="22"/>
          <w:lang w:eastAsia="zh-CN"/>
        </w:rPr>
      </w:pPr>
      <w:r>
        <w:rPr>
          <w:rFonts w:ascii="仿宋" w:hAnsi="仿宋" w:eastAsia="仿宋" w:cs="Times New Roman"/>
          <w:kern w:val="0"/>
          <w:sz w:val="28"/>
          <w:szCs w:val="22"/>
          <w:lang w:eastAsia="en-US"/>
        </w:rPr>
        <w:t>（6）</w:t>
      </w:r>
      <w:r>
        <w:rPr>
          <w:rFonts w:hint="default" w:ascii="仿宋" w:hAnsi="仿宋" w:eastAsia="仿宋" w:cs="Times New Roman"/>
          <w:kern w:val="0"/>
          <w:sz w:val="28"/>
          <w:szCs w:val="22"/>
          <w:lang w:eastAsia="en-US"/>
        </w:rPr>
        <w:t>《公路工程竣（交）工验收办法实施细则》（交公路发〔2010〕65号）</w:t>
      </w:r>
      <w:r>
        <w:rPr>
          <w:rFonts w:hint="eastAsia" w:ascii="仿宋" w:hAnsi="仿宋" w:eastAsia="仿宋" w:cs="Times New Roman"/>
          <w:kern w:val="0"/>
          <w:sz w:val="28"/>
          <w:szCs w:val="22"/>
          <w:lang w:eastAsia="zh-CN"/>
        </w:rPr>
        <w:t>；</w:t>
      </w:r>
    </w:p>
    <w:p w14:paraId="79C40F8C">
      <w:pPr>
        <w:widowControl/>
        <w:bidi w:val="0"/>
        <w:spacing w:before="0" w:after="0" w:line="360" w:lineRule="auto"/>
        <w:ind w:firstLine="560" w:firstLineChars="200"/>
        <w:rPr>
          <w:rFonts w:hint="eastAsia" w:ascii="仿宋" w:hAnsi="仿宋" w:eastAsia="仿宋" w:cs="Times New Roman"/>
          <w:kern w:val="0"/>
          <w:sz w:val="28"/>
          <w:szCs w:val="22"/>
          <w:lang w:eastAsia="zh-CN"/>
        </w:rPr>
      </w:pPr>
      <w:r>
        <w:rPr>
          <w:rFonts w:hint="eastAsia" w:ascii="仿宋" w:hAnsi="仿宋" w:eastAsia="仿宋" w:cs="Times New Roman"/>
          <w:kern w:val="0"/>
          <w:sz w:val="28"/>
          <w:szCs w:val="22"/>
          <w:lang w:eastAsia="zh-CN"/>
        </w:rPr>
        <w:t>（</w:t>
      </w:r>
      <w:r>
        <w:rPr>
          <w:rFonts w:hint="eastAsia" w:ascii="仿宋" w:hAnsi="仿宋" w:eastAsia="仿宋" w:cs="Times New Roman"/>
          <w:kern w:val="0"/>
          <w:sz w:val="28"/>
          <w:szCs w:val="22"/>
          <w:lang w:val="en-US" w:eastAsia="zh-CN"/>
        </w:rPr>
        <w:t>7</w:t>
      </w:r>
      <w:r>
        <w:rPr>
          <w:rFonts w:hint="eastAsia" w:ascii="仿宋" w:hAnsi="仿宋" w:eastAsia="仿宋" w:cs="Times New Roman"/>
          <w:kern w:val="0"/>
          <w:sz w:val="28"/>
          <w:szCs w:val="22"/>
          <w:lang w:eastAsia="zh-CN"/>
        </w:rPr>
        <w:t>）《回弹法检测混凝土抗压强度技术规程》（JGJ/T 23-2011）；</w:t>
      </w:r>
    </w:p>
    <w:p w14:paraId="7AA81700">
      <w:pPr>
        <w:widowControl/>
        <w:bidi w:val="0"/>
        <w:spacing w:before="0" w:after="0" w:line="360" w:lineRule="auto"/>
        <w:ind w:firstLine="560" w:firstLineChars="200"/>
        <w:rPr>
          <w:rFonts w:hint="eastAsia" w:ascii="仿宋" w:hAnsi="仿宋" w:eastAsia="仿宋" w:cs="Times New Roman"/>
          <w:kern w:val="0"/>
          <w:sz w:val="28"/>
          <w:szCs w:val="22"/>
          <w:lang w:eastAsia="zh-CN"/>
        </w:rPr>
      </w:pPr>
      <w:r>
        <w:rPr>
          <w:rFonts w:hint="eastAsia" w:ascii="仿宋" w:hAnsi="仿宋" w:eastAsia="仿宋" w:cs="Times New Roman"/>
          <w:kern w:val="0"/>
          <w:sz w:val="28"/>
          <w:szCs w:val="22"/>
          <w:lang w:eastAsia="zh-CN"/>
        </w:rPr>
        <w:t>（</w:t>
      </w:r>
      <w:r>
        <w:rPr>
          <w:rFonts w:hint="eastAsia" w:ascii="仿宋" w:hAnsi="仿宋" w:eastAsia="仿宋" w:cs="Times New Roman"/>
          <w:kern w:val="0"/>
          <w:sz w:val="28"/>
          <w:szCs w:val="22"/>
          <w:lang w:val="en-US" w:eastAsia="zh-CN"/>
        </w:rPr>
        <w:t>8</w:t>
      </w:r>
      <w:r>
        <w:rPr>
          <w:rFonts w:hint="eastAsia" w:ascii="仿宋" w:hAnsi="仿宋" w:eastAsia="仿宋" w:cs="Times New Roman"/>
          <w:kern w:val="0"/>
          <w:sz w:val="28"/>
          <w:szCs w:val="22"/>
          <w:lang w:eastAsia="zh-CN"/>
        </w:rPr>
        <w:t>）《混凝土中钢筋检测技术标准》（JGJ/T 152-2019）；</w:t>
      </w:r>
    </w:p>
    <w:p w14:paraId="1B67AC8F">
      <w:pPr>
        <w:widowControl/>
        <w:bidi w:val="0"/>
        <w:spacing w:before="0" w:after="0" w:line="360" w:lineRule="auto"/>
        <w:ind w:firstLine="560" w:firstLineChars="200"/>
        <w:rPr>
          <w:rFonts w:hint="eastAsia" w:ascii="仿宋" w:hAnsi="仿宋" w:eastAsia="仿宋" w:cs="Times New Roman"/>
          <w:kern w:val="0"/>
          <w:sz w:val="28"/>
          <w:szCs w:val="22"/>
          <w:lang w:eastAsia="zh-CN"/>
        </w:rPr>
      </w:pPr>
      <w:r>
        <w:rPr>
          <w:rFonts w:hint="eastAsia" w:ascii="仿宋" w:hAnsi="仿宋" w:eastAsia="仿宋" w:cs="Times New Roman"/>
          <w:kern w:val="0"/>
          <w:sz w:val="28"/>
          <w:szCs w:val="22"/>
          <w:lang w:eastAsia="zh-CN"/>
        </w:rPr>
        <w:t>（</w:t>
      </w:r>
      <w:r>
        <w:rPr>
          <w:rFonts w:hint="eastAsia" w:ascii="仿宋" w:hAnsi="仿宋" w:eastAsia="仿宋" w:cs="Times New Roman"/>
          <w:kern w:val="0"/>
          <w:sz w:val="28"/>
          <w:szCs w:val="22"/>
          <w:lang w:val="en-US" w:eastAsia="zh-CN"/>
        </w:rPr>
        <w:t>9</w:t>
      </w:r>
      <w:r>
        <w:rPr>
          <w:rFonts w:hint="eastAsia" w:ascii="仿宋" w:hAnsi="仿宋" w:eastAsia="仿宋" w:cs="Times New Roman"/>
          <w:kern w:val="0"/>
          <w:sz w:val="28"/>
          <w:szCs w:val="22"/>
          <w:lang w:eastAsia="zh-CN"/>
        </w:rPr>
        <w:t>）《焊缝无损检测 超声检测技术、检测等级和评定》（GB/T 11345-20</w:t>
      </w:r>
      <w:r>
        <w:rPr>
          <w:rFonts w:hint="eastAsia" w:ascii="仿宋" w:hAnsi="仿宋" w:eastAsia="仿宋" w:cs="Times New Roman"/>
          <w:kern w:val="0"/>
          <w:sz w:val="28"/>
          <w:szCs w:val="22"/>
          <w:lang w:val="en-US" w:eastAsia="zh-CN"/>
        </w:rPr>
        <w:t>2</w:t>
      </w:r>
      <w:r>
        <w:rPr>
          <w:rFonts w:hint="eastAsia" w:ascii="仿宋" w:hAnsi="仿宋" w:eastAsia="仿宋" w:cs="Times New Roman"/>
          <w:kern w:val="0"/>
          <w:sz w:val="28"/>
          <w:szCs w:val="22"/>
          <w:lang w:eastAsia="zh-CN"/>
        </w:rPr>
        <w:t>3）；</w:t>
      </w:r>
    </w:p>
    <w:p w14:paraId="45669643">
      <w:pPr>
        <w:widowControl/>
        <w:bidi w:val="0"/>
        <w:spacing w:before="0" w:after="0" w:line="360" w:lineRule="auto"/>
        <w:ind w:firstLine="560" w:firstLineChars="200"/>
        <w:rPr>
          <w:rFonts w:hint="eastAsia" w:ascii="仿宋" w:hAnsi="仿宋" w:eastAsia="仿宋" w:cs="Times New Roman"/>
          <w:kern w:val="0"/>
          <w:sz w:val="28"/>
          <w:szCs w:val="22"/>
          <w:lang w:eastAsia="zh-CN"/>
        </w:rPr>
      </w:pPr>
      <w:r>
        <w:rPr>
          <w:rFonts w:hint="eastAsia" w:ascii="仿宋" w:hAnsi="仿宋" w:eastAsia="仿宋" w:cs="Times New Roman"/>
          <w:kern w:val="0"/>
          <w:sz w:val="28"/>
          <w:szCs w:val="22"/>
          <w:lang w:eastAsia="zh-CN"/>
        </w:rPr>
        <w:t>（</w:t>
      </w:r>
      <w:r>
        <w:rPr>
          <w:rFonts w:hint="eastAsia" w:ascii="仿宋" w:hAnsi="仿宋" w:eastAsia="仿宋" w:cs="Times New Roman"/>
          <w:kern w:val="0"/>
          <w:sz w:val="28"/>
          <w:szCs w:val="22"/>
          <w:lang w:val="en-US" w:eastAsia="zh-CN"/>
        </w:rPr>
        <w:t>10</w:t>
      </w:r>
      <w:r>
        <w:rPr>
          <w:rFonts w:hint="eastAsia" w:ascii="仿宋" w:hAnsi="仿宋" w:eastAsia="仿宋" w:cs="Times New Roman"/>
          <w:kern w:val="0"/>
          <w:sz w:val="28"/>
          <w:szCs w:val="22"/>
          <w:lang w:eastAsia="zh-CN"/>
        </w:rPr>
        <w:t>）《焊缝无损检测超声检测验收等级》（GB/T 29712-20</w:t>
      </w:r>
      <w:r>
        <w:rPr>
          <w:rFonts w:hint="eastAsia" w:ascii="仿宋" w:hAnsi="仿宋" w:eastAsia="仿宋" w:cs="Times New Roman"/>
          <w:kern w:val="0"/>
          <w:sz w:val="28"/>
          <w:szCs w:val="22"/>
          <w:lang w:val="en-US" w:eastAsia="zh-CN"/>
        </w:rPr>
        <w:t>2</w:t>
      </w:r>
      <w:r>
        <w:rPr>
          <w:rFonts w:hint="eastAsia" w:ascii="仿宋" w:hAnsi="仿宋" w:eastAsia="仿宋" w:cs="Times New Roman"/>
          <w:kern w:val="0"/>
          <w:sz w:val="28"/>
          <w:szCs w:val="22"/>
          <w:lang w:eastAsia="zh-CN"/>
        </w:rPr>
        <w:t>3）；</w:t>
      </w:r>
    </w:p>
    <w:p w14:paraId="2A12F244">
      <w:pPr>
        <w:widowControl/>
        <w:bidi w:val="0"/>
        <w:spacing w:before="0" w:after="0" w:line="360" w:lineRule="auto"/>
        <w:ind w:firstLine="560" w:firstLineChars="200"/>
        <w:rPr>
          <w:rFonts w:ascii="仿宋" w:hAnsi="仿宋" w:eastAsia="仿宋" w:cs="Times New Roman"/>
          <w:kern w:val="0"/>
          <w:sz w:val="28"/>
          <w:szCs w:val="22"/>
          <w:lang w:eastAsia="en-US"/>
        </w:rPr>
      </w:pPr>
      <w:r>
        <w:rPr>
          <w:rFonts w:hint="eastAsia" w:ascii="仿宋" w:hAnsi="仿宋" w:eastAsia="仿宋" w:cs="Times New Roman"/>
          <w:kern w:val="0"/>
          <w:sz w:val="28"/>
          <w:szCs w:val="22"/>
          <w:lang w:eastAsia="zh-CN"/>
        </w:rPr>
        <w:t>（</w:t>
      </w:r>
      <w:r>
        <w:rPr>
          <w:rFonts w:hint="eastAsia" w:ascii="仿宋" w:hAnsi="仿宋" w:eastAsia="仿宋" w:cs="Times New Roman"/>
          <w:kern w:val="0"/>
          <w:sz w:val="28"/>
          <w:szCs w:val="22"/>
          <w:lang w:val="en-US" w:eastAsia="zh-CN"/>
        </w:rPr>
        <w:t>11</w:t>
      </w:r>
      <w:r>
        <w:rPr>
          <w:rFonts w:hint="eastAsia" w:ascii="仿宋" w:hAnsi="仿宋" w:eastAsia="仿宋" w:cs="Times New Roman"/>
          <w:kern w:val="0"/>
          <w:sz w:val="28"/>
          <w:szCs w:val="22"/>
          <w:lang w:eastAsia="zh-CN"/>
        </w:rPr>
        <w:t>）</w:t>
      </w:r>
      <w:r>
        <w:rPr>
          <w:rFonts w:ascii="仿宋" w:hAnsi="仿宋" w:eastAsia="仿宋" w:cs="Times New Roman"/>
          <w:kern w:val="0"/>
          <w:sz w:val="28"/>
          <w:szCs w:val="22"/>
          <w:lang w:eastAsia="en-US"/>
        </w:rPr>
        <w:t>国家、交通运输部、陕西省现行其他相关规范、规程、标准。</w:t>
      </w:r>
    </w:p>
    <w:p w14:paraId="5DEC1C1B">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五、技术成果要求</w:t>
      </w:r>
    </w:p>
    <w:p w14:paraId="106217F9">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1.提交文件包括枣林洛河大桥及南曲洛河大桥质量检测报告（含外观检查及实体检测、钢结构检测、内业资料审查</w:t>
      </w:r>
      <w:r>
        <w:rPr>
          <w:rFonts w:hint="eastAsia" w:ascii="仿宋" w:hAnsi="仿宋" w:eastAsia="仿宋" w:cs="Times New Roman"/>
          <w:kern w:val="0"/>
          <w:sz w:val="28"/>
          <w:szCs w:val="22"/>
          <w:lang w:eastAsia="zh-CN"/>
        </w:rPr>
        <w:t>、</w:t>
      </w:r>
      <w:r>
        <w:rPr>
          <w:rFonts w:ascii="仿宋" w:hAnsi="仿宋" w:eastAsia="仿宋" w:cs="Times New Roman"/>
          <w:kern w:val="0"/>
          <w:sz w:val="28"/>
          <w:szCs w:val="22"/>
          <w:lang w:eastAsia="en-US"/>
        </w:rPr>
        <w:t>荷载试验），检测报告应数据完整、结论明确，并按照项目审批程序，满足验收要求。</w:t>
      </w:r>
    </w:p>
    <w:p w14:paraId="1C4482DC">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2.技术成果应符合国家和行业现行法规、政策及技术标准。</w:t>
      </w:r>
    </w:p>
    <w:p w14:paraId="455635FF">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3.技术成果应明确检测范围、检测方法、检测数据及评定结论。</w:t>
      </w:r>
    </w:p>
    <w:p w14:paraId="5FD4A8BD">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六、成果交付要求</w:t>
      </w:r>
    </w:p>
    <w:p w14:paraId="0CC62570">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1.交付内容：正式检测报告纸质版6套，电子版1份（U盘存储，包含全部报告、原始检测记录表、病害影像照片、荷载试验原始数据、内业审查资料）。</w:t>
      </w:r>
    </w:p>
    <w:p w14:paraId="47FC6AB3">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2.所有成果必须可直接用于项目交工验收、竣工验收、归档备案。</w:t>
      </w:r>
    </w:p>
    <w:p w14:paraId="712033C4">
      <w:pPr>
        <w:widowControl/>
        <w:bidi w:val="0"/>
        <w:spacing w:before="0" w:after="0" w:line="360" w:lineRule="auto"/>
        <w:ind w:firstLine="560" w:firstLineChars="200"/>
        <w:rPr>
          <w:rFonts w:ascii="仿宋" w:hAnsi="仿宋" w:eastAsia="仿宋" w:cs="Times New Roman"/>
          <w:kern w:val="0"/>
          <w:sz w:val="28"/>
          <w:szCs w:val="22"/>
          <w:lang w:eastAsia="en-US"/>
        </w:rPr>
      </w:pPr>
      <w:r>
        <w:rPr>
          <w:rFonts w:hint="eastAsia" w:ascii="仿宋" w:hAnsi="仿宋" w:eastAsia="仿宋" w:cs="Times New Roman"/>
          <w:kern w:val="0"/>
          <w:sz w:val="28"/>
          <w:szCs w:val="22"/>
          <w:lang w:val="en-US" w:eastAsia="zh-CN"/>
        </w:rPr>
        <w:t>3.后续服务：供应商须配合采购人、行业主管部门、竣工验收专家组开展报告答疑，根据评审意见在规定时限内完成报告修改完善。</w:t>
      </w:r>
    </w:p>
    <w:p w14:paraId="5B22FBBB">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hint="eastAsia" w:ascii="Times New Roman" w:hAnsi="Times New Roman" w:eastAsia="宋体" w:cs="Times New Roman"/>
          <w:b/>
          <w:bCs/>
          <w:color w:val="000000"/>
          <w:spacing w:val="6"/>
          <w:kern w:val="28"/>
          <w:sz w:val="28"/>
          <w:szCs w:val="28"/>
          <w:lang w:val="en-US" w:eastAsia="zh-CN" w:bidi="ar-SA"/>
        </w:rPr>
      </w:pPr>
      <w:r>
        <w:rPr>
          <w:rFonts w:ascii="Times New Roman" w:hAnsi="Times New Roman" w:eastAsia="宋体" w:cs="Times New Roman"/>
          <w:b/>
          <w:bCs/>
          <w:color w:val="000000"/>
          <w:spacing w:val="6"/>
          <w:kern w:val="28"/>
          <w:sz w:val="28"/>
          <w:szCs w:val="28"/>
          <w:lang w:val="en-US" w:eastAsia="en-US" w:bidi="ar-SA"/>
        </w:rPr>
        <w:t>七、</w:t>
      </w:r>
      <w:r>
        <w:rPr>
          <w:rFonts w:hint="eastAsia" w:cs="Times New Roman"/>
          <w:b/>
          <w:bCs/>
          <w:color w:val="000000"/>
          <w:spacing w:val="6"/>
          <w:kern w:val="28"/>
          <w:sz w:val="28"/>
          <w:szCs w:val="28"/>
          <w:lang w:val="en-US" w:eastAsia="zh-CN" w:bidi="ar-SA"/>
        </w:rPr>
        <w:t>提交日期</w:t>
      </w:r>
    </w:p>
    <w:p w14:paraId="2D7F0DE6">
      <w:pPr>
        <w:keepNext/>
        <w:keepLines/>
        <w:pBdr>
          <w:top w:val="none" w:color="auto" w:sz="0" w:space="1"/>
          <w:left w:val="none" w:color="auto" w:sz="0" w:space="4"/>
          <w:bottom w:val="none" w:color="4F81BD" w:sz="0" w:space="1"/>
          <w:right w:val="none" w:color="auto" w:sz="0" w:space="4"/>
        </w:pBdr>
        <w:bidi w:val="0"/>
        <w:spacing w:before="0" w:after="0" w:line="360" w:lineRule="auto"/>
        <w:ind w:firstLine="560" w:firstLineChars="200"/>
        <w:contextualSpacing/>
        <w:jc w:val="both"/>
        <w:outlineLvl w:val="0"/>
        <w:rPr>
          <w:rFonts w:hint="eastAsia" w:ascii="仿宋" w:hAnsi="仿宋" w:eastAsia="仿宋" w:cs="Times New Roman"/>
          <w:kern w:val="0"/>
          <w:sz w:val="28"/>
          <w:szCs w:val="22"/>
          <w:lang w:eastAsia="en-US"/>
        </w:rPr>
      </w:pPr>
      <w:r>
        <w:rPr>
          <w:rFonts w:hint="eastAsia" w:ascii="仿宋" w:hAnsi="仿宋" w:eastAsia="仿宋" w:cs="Times New Roman"/>
          <w:kern w:val="0"/>
          <w:sz w:val="28"/>
          <w:szCs w:val="22"/>
          <w:lang w:eastAsia="en-US"/>
        </w:rPr>
        <w:t>自签订合同之日起</w:t>
      </w:r>
      <w:r>
        <w:rPr>
          <w:rFonts w:hint="eastAsia" w:ascii="仿宋" w:hAnsi="仿宋" w:eastAsia="仿宋" w:cs="Times New Roman"/>
          <w:kern w:val="0"/>
          <w:sz w:val="28"/>
          <w:szCs w:val="22"/>
          <w:lang w:val="en-US" w:eastAsia="en-US"/>
        </w:rPr>
        <w:t>40日历天</w:t>
      </w:r>
      <w:r>
        <w:rPr>
          <w:rFonts w:hint="eastAsia" w:ascii="仿宋" w:hAnsi="仿宋" w:eastAsia="仿宋" w:cs="Times New Roman"/>
          <w:kern w:val="0"/>
          <w:sz w:val="28"/>
          <w:szCs w:val="22"/>
          <w:lang w:val="en-US" w:eastAsia="zh-CN"/>
        </w:rPr>
        <w:t>内完成</w:t>
      </w:r>
      <w:r>
        <w:rPr>
          <w:rFonts w:hint="eastAsia" w:ascii="仿宋" w:hAnsi="仿宋" w:eastAsia="仿宋" w:cs="Times New Roman"/>
          <w:kern w:val="0"/>
          <w:sz w:val="28"/>
          <w:szCs w:val="22"/>
          <w:lang w:eastAsia="en-US"/>
        </w:rPr>
        <w:t xml:space="preserve">。现场检测任务须在合同签订后 </w:t>
      </w:r>
      <w:r>
        <w:rPr>
          <w:rFonts w:hint="eastAsia" w:ascii="仿宋" w:hAnsi="仿宋" w:eastAsia="仿宋" w:cs="Times New Roman"/>
          <w:kern w:val="0"/>
          <w:sz w:val="28"/>
          <w:szCs w:val="22"/>
          <w:lang w:val="en-US" w:eastAsia="en-US"/>
        </w:rPr>
        <w:t>3</w:t>
      </w:r>
      <w:r>
        <w:rPr>
          <w:rFonts w:hint="eastAsia" w:ascii="仿宋" w:hAnsi="仿宋" w:eastAsia="仿宋" w:cs="Times New Roman"/>
          <w:kern w:val="0"/>
          <w:sz w:val="28"/>
          <w:szCs w:val="22"/>
          <w:lang w:eastAsia="en-US"/>
        </w:rPr>
        <w:t>0 日历天内全部完成，完成现场检测后10个日历天内提交完整检测成果报告，后续持续配合直至项目竣工验收工作结束。</w:t>
      </w:r>
    </w:p>
    <w:p w14:paraId="533FC681">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八、付款方式</w:t>
      </w:r>
    </w:p>
    <w:p w14:paraId="545F3E9C">
      <w:pPr>
        <w:widowControl/>
        <w:bidi w:val="0"/>
        <w:spacing w:before="0" w:after="0" w:line="360" w:lineRule="auto"/>
        <w:ind w:firstLine="560" w:firstLineChars="200"/>
        <w:rPr>
          <w:rFonts w:ascii="仿宋" w:hAnsi="仿宋" w:eastAsia="仿宋" w:cs="Times New Roman"/>
          <w:color w:val="auto"/>
          <w:kern w:val="0"/>
          <w:sz w:val="28"/>
          <w:szCs w:val="22"/>
          <w:lang w:eastAsia="en-US"/>
        </w:rPr>
      </w:pPr>
      <w:r>
        <w:rPr>
          <w:rFonts w:ascii="仿宋" w:hAnsi="仿宋" w:eastAsia="仿宋" w:cs="Times New Roman"/>
          <w:kern w:val="0"/>
          <w:sz w:val="28"/>
          <w:szCs w:val="22"/>
          <w:lang w:eastAsia="en-US"/>
        </w:rPr>
        <w:t>1.合同签订后，支付</w:t>
      </w:r>
      <w:r>
        <w:rPr>
          <w:rFonts w:ascii="仿宋" w:hAnsi="仿宋" w:eastAsia="仿宋" w:cs="Times New Roman"/>
          <w:color w:val="auto"/>
          <w:kern w:val="0"/>
          <w:sz w:val="28"/>
          <w:szCs w:val="22"/>
          <w:lang w:eastAsia="en-US"/>
        </w:rPr>
        <w:t>合同总价的</w:t>
      </w:r>
      <w:r>
        <w:rPr>
          <w:rFonts w:hint="eastAsia" w:ascii="仿宋" w:hAnsi="仿宋" w:eastAsia="仿宋" w:cs="Times New Roman"/>
          <w:color w:val="auto"/>
          <w:kern w:val="0"/>
          <w:sz w:val="28"/>
          <w:szCs w:val="22"/>
          <w:lang w:val="en-US" w:eastAsia="zh-CN"/>
        </w:rPr>
        <w:t>4</w:t>
      </w:r>
      <w:r>
        <w:rPr>
          <w:rFonts w:ascii="仿宋" w:hAnsi="仿宋" w:eastAsia="仿宋" w:cs="Times New Roman"/>
          <w:color w:val="auto"/>
          <w:kern w:val="0"/>
          <w:sz w:val="28"/>
          <w:szCs w:val="22"/>
          <w:lang w:eastAsia="en-US"/>
        </w:rPr>
        <w:t>0%作为预付款；</w:t>
      </w:r>
    </w:p>
    <w:p w14:paraId="0FCD2F89">
      <w:pPr>
        <w:widowControl/>
        <w:bidi w:val="0"/>
        <w:spacing w:before="0" w:after="0" w:line="360" w:lineRule="auto"/>
        <w:ind w:firstLine="560" w:firstLineChars="200"/>
        <w:rPr>
          <w:rFonts w:ascii="仿宋" w:hAnsi="仿宋" w:eastAsia="仿宋" w:cs="Times New Roman"/>
          <w:color w:val="auto"/>
          <w:kern w:val="0"/>
          <w:sz w:val="28"/>
          <w:szCs w:val="22"/>
          <w:lang w:eastAsia="en-US"/>
        </w:rPr>
      </w:pPr>
      <w:r>
        <w:rPr>
          <w:rFonts w:ascii="仿宋" w:hAnsi="仿宋" w:eastAsia="仿宋" w:cs="Times New Roman"/>
          <w:color w:val="auto"/>
          <w:kern w:val="0"/>
          <w:sz w:val="28"/>
          <w:szCs w:val="22"/>
          <w:lang w:eastAsia="en-US"/>
        </w:rPr>
        <w:t>2.现场检测工作全部完成，提交全部检测成果报告并经采购人初审合格后，支付合同总价的</w:t>
      </w:r>
      <w:r>
        <w:rPr>
          <w:rFonts w:hint="eastAsia" w:ascii="仿宋" w:hAnsi="仿宋" w:eastAsia="仿宋" w:cs="Times New Roman"/>
          <w:color w:val="auto"/>
          <w:kern w:val="0"/>
          <w:sz w:val="28"/>
          <w:szCs w:val="22"/>
          <w:lang w:val="en-US" w:eastAsia="zh-CN"/>
        </w:rPr>
        <w:t>40</w:t>
      </w:r>
      <w:r>
        <w:rPr>
          <w:rFonts w:ascii="仿宋" w:hAnsi="仿宋" w:eastAsia="仿宋" w:cs="Times New Roman"/>
          <w:color w:val="auto"/>
          <w:kern w:val="0"/>
          <w:sz w:val="28"/>
          <w:szCs w:val="22"/>
          <w:lang w:eastAsia="en-US"/>
        </w:rPr>
        <w:t>%；</w:t>
      </w:r>
    </w:p>
    <w:p w14:paraId="64714A96">
      <w:pPr>
        <w:widowControl/>
        <w:bidi w:val="0"/>
        <w:spacing w:before="0" w:after="0" w:line="360" w:lineRule="auto"/>
        <w:ind w:firstLine="560" w:firstLineChars="200"/>
        <w:rPr>
          <w:rFonts w:ascii="仿宋" w:hAnsi="仿宋" w:eastAsia="仿宋" w:cs="Times New Roman"/>
          <w:color w:val="auto"/>
          <w:kern w:val="0"/>
          <w:sz w:val="28"/>
          <w:szCs w:val="22"/>
          <w:lang w:eastAsia="en-US"/>
        </w:rPr>
      </w:pPr>
      <w:r>
        <w:rPr>
          <w:rFonts w:ascii="仿宋" w:hAnsi="仿宋" w:eastAsia="仿宋" w:cs="Times New Roman"/>
          <w:color w:val="auto"/>
          <w:kern w:val="0"/>
          <w:sz w:val="28"/>
          <w:szCs w:val="22"/>
          <w:lang w:eastAsia="en-US"/>
        </w:rPr>
        <w:t>3.项目竣工验收合格，且所有资料移交完毕后，支付</w:t>
      </w:r>
      <w:r>
        <w:rPr>
          <w:rFonts w:hint="eastAsia" w:ascii="仿宋" w:hAnsi="仿宋" w:eastAsia="仿宋" w:cs="Times New Roman"/>
          <w:color w:val="auto"/>
          <w:kern w:val="0"/>
          <w:sz w:val="28"/>
          <w:szCs w:val="22"/>
          <w:lang w:val="en-US" w:eastAsia="zh-CN"/>
        </w:rPr>
        <w:t>合同总价20</w:t>
      </w:r>
      <w:r>
        <w:rPr>
          <w:rFonts w:ascii="仿宋" w:hAnsi="仿宋" w:eastAsia="仿宋" w:cs="Times New Roman"/>
          <w:color w:val="auto"/>
          <w:kern w:val="0"/>
          <w:sz w:val="28"/>
          <w:szCs w:val="22"/>
          <w:lang w:eastAsia="en-US"/>
        </w:rPr>
        <w:t>%。</w:t>
      </w:r>
    </w:p>
    <w:p w14:paraId="6ABC7AAE">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九、履约验收</w:t>
      </w:r>
    </w:p>
    <w:p w14:paraId="12B2CDD8">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1.验收方式</w:t>
      </w:r>
    </w:p>
    <w:p w14:paraId="79F3300E">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供应商完成合同约定的全部内容后，向采购人提交书面的服务成果报告及验收申请。同时向采购人提交项目实施过程中的所有资料，以便采购人日后管理和维护该项目。</w:t>
      </w:r>
    </w:p>
    <w:p w14:paraId="32D75C55">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2.验收依据</w:t>
      </w:r>
    </w:p>
    <w:p w14:paraId="258D4589">
      <w:pPr>
        <w:widowControl/>
        <w:bidi w:val="0"/>
        <w:spacing w:before="0" w:after="0" w:line="360" w:lineRule="auto"/>
        <w:ind w:firstLine="560" w:firstLineChars="200"/>
        <w:rPr>
          <w:rFonts w:ascii="仿宋" w:hAnsi="仿宋" w:eastAsia="仿宋" w:cs="Times New Roman"/>
          <w:kern w:val="0"/>
          <w:sz w:val="28"/>
          <w:szCs w:val="22"/>
          <w:lang w:eastAsia="en-US"/>
        </w:rPr>
      </w:pPr>
      <w:r>
        <w:rPr>
          <w:rFonts w:hint="eastAsia" w:ascii="仿宋" w:hAnsi="仿宋" w:eastAsia="仿宋" w:cs="Times New Roman"/>
          <w:kern w:val="0"/>
          <w:sz w:val="28"/>
          <w:szCs w:val="22"/>
          <w:lang w:val="en-US" w:eastAsia="zh-CN"/>
        </w:rPr>
        <w:t>符合</w:t>
      </w:r>
      <w:r>
        <w:rPr>
          <w:rFonts w:ascii="仿宋" w:hAnsi="仿宋" w:eastAsia="仿宋" w:cs="Times New Roman"/>
          <w:kern w:val="0"/>
          <w:sz w:val="28"/>
          <w:szCs w:val="22"/>
          <w:lang w:eastAsia="en-US"/>
        </w:rPr>
        <w:t>现行公路桥梁检测相关国家及行业规范标准、陕西省公路工程</w:t>
      </w:r>
      <w:r>
        <w:rPr>
          <w:rFonts w:hint="eastAsia" w:ascii="仿宋" w:hAnsi="仿宋" w:eastAsia="仿宋" w:cs="Times New Roman"/>
          <w:kern w:val="0"/>
          <w:sz w:val="28"/>
          <w:szCs w:val="22"/>
          <w:lang w:val="en-US" w:eastAsia="zh-CN"/>
        </w:rPr>
        <w:t>交</w:t>
      </w:r>
      <w:r>
        <w:rPr>
          <w:rFonts w:ascii="仿宋" w:hAnsi="仿宋" w:eastAsia="仿宋" w:cs="Times New Roman"/>
          <w:kern w:val="0"/>
          <w:sz w:val="28"/>
          <w:szCs w:val="22"/>
          <w:lang w:eastAsia="en-US"/>
        </w:rPr>
        <w:t>竣工验收相关管理规定。</w:t>
      </w:r>
    </w:p>
    <w:p w14:paraId="1E0602F3">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十、服务承诺及履约要求</w:t>
      </w:r>
    </w:p>
    <w:p w14:paraId="1C0CEDCD">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1.中标单位须全程专人专项负责本项目，全程对接、全程跟进，不得转包、违法分包。</w:t>
      </w:r>
    </w:p>
    <w:p w14:paraId="6DF174F9">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2.严格遵守工期节点，按时提交各阶段成果，逾期按合同约定承担违约责任。</w:t>
      </w:r>
    </w:p>
    <w:p w14:paraId="62F8BE3B">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3.所有修改、答疑、现场服务、报审配合均包含在合同价内，无任何隐形增项费用。</w:t>
      </w:r>
    </w:p>
    <w:p w14:paraId="606BBB7B">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4.检测成果须满足公路工程交工验收、竣</w:t>
      </w:r>
      <w:r>
        <w:rPr>
          <w:rFonts w:ascii="仿宋" w:hAnsi="仿宋" w:eastAsia="仿宋" w:cs="Times New Roman"/>
          <w:color w:val="auto"/>
          <w:kern w:val="0"/>
          <w:sz w:val="28"/>
          <w:szCs w:val="22"/>
          <w:lang w:eastAsia="en-US"/>
        </w:rPr>
        <w:t>工验收、</w:t>
      </w:r>
      <w:r>
        <w:rPr>
          <w:rFonts w:hint="eastAsia" w:ascii="仿宋" w:hAnsi="仿宋" w:eastAsia="仿宋" w:cs="Times New Roman"/>
          <w:color w:val="auto"/>
          <w:kern w:val="0"/>
          <w:sz w:val="28"/>
          <w:szCs w:val="22"/>
          <w:lang w:eastAsia="zh-CN"/>
        </w:rPr>
        <w:t>项目审计</w:t>
      </w:r>
      <w:r>
        <w:rPr>
          <w:rFonts w:ascii="仿宋" w:hAnsi="仿宋" w:eastAsia="仿宋" w:cs="Times New Roman"/>
          <w:color w:val="auto"/>
          <w:kern w:val="0"/>
          <w:sz w:val="28"/>
          <w:szCs w:val="22"/>
          <w:lang w:eastAsia="en-US"/>
        </w:rPr>
        <w:t>、</w:t>
      </w:r>
      <w:r>
        <w:rPr>
          <w:rFonts w:ascii="仿宋" w:hAnsi="仿宋" w:eastAsia="仿宋" w:cs="Times New Roman"/>
          <w:kern w:val="0"/>
          <w:sz w:val="28"/>
          <w:szCs w:val="22"/>
          <w:lang w:eastAsia="en-US"/>
        </w:rPr>
        <w:t>工程归档全部要求。</w:t>
      </w:r>
    </w:p>
    <w:p w14:paraId="1C0DFB83">
      <w:pPr>
        <w:keepNext/>
        <w:keepLines/>
        <w:pBdr>
          <w:top w:val="none" w:color="auto" w:sz="0" w:space="1"/>
          <w:left w:val="none" w:color="auto" w:sz="0" w:space="4"/>
          <w:bottom w:val="none" w:color="4F81BD" w:sz="0" w:space="1"/>
          <w:right w:val="none" w:color="auto" w:sz="0" w:space="4"/>
        </w:pBdr>
        <w:bidi w:val="0"/>
        <w:spacing w:before="0" w:after="0" w:line="360" w:lineRule="auto"/>
        <w:ind w:firstLine="586" w:firstLineChars="200"/>
        <w:contextualSpacing/>
        <w:jc w:val="both"/>
        <w:outlineLvl w:val="0"/>
        <w:rPr>
          <w:rFonts w:ascii="Times New Roman" w:hAnsi="Times New Roman" w:eastAsia="宋体" w:cs="Times New Roman"/>
          <w:b/>
          <w:bCs/>
          <w:color w:val="000000"/>
          <w:spacing w:val="6"/>
          <w:kern w:val="28"/>
          <w:sz w:val="28"/>
          <w:szCs w:val="28"/>
          <w:lang w:val="en-US" w:eastAsia="en-US" w:bidi="ar-SA"/>
        </w:rPr>
      </w:pPr>
      <w:r>
        <w:rPr>
          <w:rFonts w:ascii="Times New Roman" w:hAnsi="Times New Roman" w:eastAsia="宋体" w:cs="Times New Roman"/>
          <w:b/>
          <w:bCs/>
          <w:color w:val="000000"/>
          <w:spacing w:val="6"/>
          <w:kern w:val="28"/>
          <w:sz w:val="28"/>
          <w:szCs w:val="28"/>
          <w:lang w:val="en-US" w:eastAsia="en-US" w:bidi="ar-SA"/>
        </w:rPr>
        <w:t>十一、质量保证及售后服务</w:t>
      </w:r>
    </w:p>
    <w:p w14:paraId="01418CA5">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1.检测质量终身负责，因检测漏项、错项、数据不实导致的工程质量问题，由中标单位全权负责。</w:t>
      </w:r>
    </w:p>
    <w:p w14:paraId="5F672B4F">
      <w:pPr>
        <w:widowControl/>
        <w:bidi w:val="0"/>
        <w:spacing w:before="0" w:after="0" w:line="360" w:lineRule="auto"/>
        <w:ind w:firstLine="560" w:firstLineChars="200"/>
        <w:rPr>
          <w:rFonts w:ascii="仿宋" w:hAnsi="仿宋" w:eastAsia="仿宋" w:cs="Times New Roman"/>
          <w:kern w:val="0"/>
          <w:sz w:val="28"/>
          <w:szCs w:val="22"/>
          <w:lang w:eastAsia="en-US"/>
        </w:rPr>
      </w:pPr>
      <w:r>
        <w:rPr>
          <w:rFonts w:ascii="仿宋" w:hAnsi="仿宋" w:eastAsia="仿宋" w:cs="Times New Roman"/>
          <w:kern w:val="0"/>
          <w:sz w:val="28"/>
          <w:szCs w:val="22"/>
          <w:lang w:eastAsia="en-US"/>
        </w:rPr>
        <w:t>2.项目建设期内，提供技术咨询、现场服务、检测数据答疑等后续技术支持。</w:t>
      </w:r>
    </w:p>
    <w:p w14:paraId="43D77BE5">
      <w:pPr>
        <w:pStyle w:val="29"/>
        <w:keepNext w:val="0"/>
        <w:keepLines w:val="0"/>
        <w:pageBreakBefore w:val="0"/>
        <w:numPr>
          <w:ilvl w:val="0"/>
          <w:numId w:val="0"/>
        </w:numPr>
        <w:kinsoku/>
        <w:wordWrap/>
        <w:overflowPunct/>
        <w:topLinePunct w:val="0"/>
        <w:autoSpaceDE/>
        <w:autoSpaceDN/>
        <w:bidi w:val="0"/>
        <w:adjustRightInd/>
        <w:spacing w:line="360" w:lineRule="auto"/>
        <w:ind w:firstLine="560" w:firstLineChars="200"/>
        <w:jc w:val="left"/>
        <w:textAlignment w:val="auto"/>
        <w:rPr>
          <w:rFonts w:hint="eastAsia" w:ascii="宋体" w:hAnsi="宋体" w:eastAsia="宋体" w:cs="宋体"/>
          <w:b/>
          <w:bCs/>
          <w:color w:val="auto"/>
          <w:sz w:val="21"/>
          <w:szCs w:val="21"/>
          <w:highlight w:val="none"/>
          <w:lang w:val="en-US" w:eastAsia="zh-CN"/>
        </w:rPr>
      </w:pPr>
      <w:r>
        <w:rPr>
          <w:rFonts w:ascii="仿宋" w:hAnsi="仿宋" w:eastAsia="仿宋" w:cs="Times New Roman"/>
          <w:kern w:val="0"/>
          <w:sz w:val="28"/>
          <w:szCs w:val="22"/>
          <w:lang w:eastAsia="en-US"/>
        </w:rPr>
        <w:t>3.积极配合建设单位完成项目审计、验收、归档等相关工作。</w:t>
      </w:r>
    </w:p>
    <w:p w14:paraId="3852C8E7">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22B6A82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325BD54">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4702346B">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spacing w:line="400" w:lineRule="exact"/>
        <w:ind w:firstLine="422" w:firstLineChars="200"/>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1.采购内容由采购人提供，如有疑问，请与采购单位联系。</w:t>
      </w:r>
    </w:p>
    <w:p w14:paraId="51EB77D2">
      <w:pPr>
        <w:jc w:val="center"/>
        <w:rPr>
          <w:rFonts w:hint="eastAsia" w:ascii="仿宋" w:hAnsi="仿宋" w:eastAsia="仿宋" w:cs="仿宋"/>
          <w:b/>
          <w:bCs/>
          <w:sz w:val="30"/>
          <w:szCs w:val="30"/>
        </w:rPr>
      </w:pPr>
    </w:p>
    <w:p w14:paraId="650BBB02">
      <w:pPr>
        <w:jc w:val="center"/>
        <w:rPr>
          <w:rFonts w:hint="eastAsia" w:ascii="仿宋" w:hAnsi="仿宋" w:eastAsia="仿宋" w:cs="仿宋"/>
          <w:b/>
          <w:bCs/>
          <w:sz w:val="30"/>
          <w:szCs w:val="30"/>
        </w:rPr>
      </w:pPr>
    </w:p>
    <w:p w14:paraId="722DBF0D">
      <w:pPr>
        <w:jc w:val="center"/>
        <w:rPr>
          <w:rFonts w:hint="eastAsia" w:ascii="仿宋" w:hAnsi="仿宋" w:eastAsia="仿宋" w:cs="仿宋"/>
          <w:b/>
          <w:bCs/>
          <w:sz w:val="30"/>
          <w:szCs w:val="30"/>
        </w:rPr>
      </w:pPr>
    </w:p>
    <w:p w14:paraId="1B476228">
      <w:pPr>
        <w:jc w:val="center"/>
        <w:rPr>
          <w:rFonts w:hint="eastAsia" w:ascii="仿宋" w:hAnsi="仿宋" w:eastAsia="仿宋" w:cs="仿宋"/>
          <w:b/>
          <w:bCs/>
          <w:sz w:val="30"/>
          <w:szCs w:val="30"/>
        </w:rPr>
      </w:pPr>
    </w:p>
    <w:p w14:paraId="461FB7DE">
      <w:pPr>
        <w:jc w:val="center"/>
        <w:rPr>
          <w:rFonts w:hint="eastAsia" w:ascii="仿宋" w:hAnsi="仿宋" w:eastAsia="仿宋" w:cs="仿宋"/>
          <w:b/>
          <w:bCs/>
          <w:sz w:val="30"/>
          <w:szCs w:val="30"/>
        </w:rPr>
      </w:pPr>
    </w:p>
    <w:p w14:paraId="631BBAAD">
      <w:pPr>
        <w:jc w:val="center"/>
        <w:rPr>
          <w:rFonts w:hint="eastAsia" w:ascii="仿宋" w:hAnsi="仿宋" w:eastAsia="仿宋" w:cs="仿宋"/>
          <w:b/>
          <w:bCs/>
          <w:sz w:val="30"/>
          <w:szCs w:val="30"/>
        </w:rPr>
      </w:pPr>
    </w:p>
    <w:p w14:paraId="2BC91532">
      <w:pPr>
        <w:jc w:val="center"/>
        <w:rPr>
          <w:rFonts w:hint="eastAsia" w:ascii="仿宋" w:hAnsi="仿宋" w:eastAsia="仿宋" w:cs="仿宋"/>
          <w:b/>
          <w:bCs/>
          <w:sz w:val="30"/>
          <w:szCs w:val="30"/>
        </w:rPr>
      </w:pPr>
    </w:p>
    <w:p w14:paraId="20B37F04">
      <w:pPr>
        <w:jc w:val="center"/>
        <w:rPr>
          <w:rFonts w:hint="eastAsia" w:ascii="仿宋" w:hAnsi="仿宋" w:eastAsia="仿宋" w:cs="仿宋"/>
          <w:b/>
          <w:bCs/>
          <w:sz w:val="30"/>
          <w:szCs w:val="30"/>
        </w:rPr>
      </w:pPr>
    </w:p>
    <w:p w14:paraId="200DFEF2">
      <w:pPr>
        <w:jc w:val="center"/>
        <w:rPr>
          <w:rFonts w:hint="eastAsia" w:ascii="仿宋" w:hAnsi="仿宋" w:eastAsia="仿宋" w:cs="仿宋"/>
          <w:b/>
          <w:bCs/>
          <w:sz w:val="30"/>
          <w:szCs w:val="30"/>
        </w:rPr>
      </w:pPr>
    </w:p>
    <w:p w14:paraId="565D1647">
      <w:pPr>
        <w:jc w:val="center"/>
        <w:rPr>
          <w:rFonts w:hint="eastAsia" w:ascii="仿宋" w:hAnsi="仿宋" w:eastAsia="仿宋" w:cs="仿宋"/>
          <w:b/>
          <w:bCs/>
          <w:sz w:val="30"/>
          <w:szCs w:val="30"/>
        </w:rPr>
      </w:pPr>
    </w:p>
    <w:p w14:paraId="56749044">
      <w:pPr>
        <w:jc w:val="center"/>
        <w:rPr>
          <w:rFonts w:hint="eastAsia" w:ascii="仿宋" w:hAnsi="仿宋" w:eastAsia="仿宋" w:cs="仿宋"/>
          <w:b/>
          <w:bCs/>
          <w:sz w:val="30"/>
          <w:szCs w:val="30"/>
        </w:rPr>
      </w:pPr>
    </w:p>
    <w:p w14:paraId="326DD7C7">
      <w:pPr>
        <w:jc w:val="center"/>
        <w:rPr>
          <w:rFonts w:hint="eastAsia" w:ascii="仿宋" w:hAnsi="仿宋" w:eastAsia="仿宋" w:cs="仿宋"/>
          <w:b/>
          <w:bCs/>
          <w:sz w:val="30"/>
          <w:szCs w:val="30"/>
        </w:rPr>
      </w:pPr>
    </w:p>
    <w:p w14:paraId="6A0C7788">
      <w:pPr>
        <w:jc w:val="center"/>
        <w:rPr>
          <w:rFonts w:hint="eastAsia" w:ascii="仿宋" w:hAnsi="仿宋" w:eastAsia="仿宋" w:cs="仿宋"/>
          <w:b/>
          <w:bCs/>
          <w:sz w:val="30"/>
          <w:szCs w:val="30"/>
        </w:rPr>
      </w:pPr>
    </w:p>
    <w:p w14:paraId="35441248">
      <w:pPr>
        <w:jc w:val="center"/>
        <w:rPr>
          <w:rFonts w:hint="eastAsia" w:ascii="仿宋" w:hAnsi="仿宋" w:eastAsia="仿宋" w:cs="仿宋"/>
          <w:b/>
          <w:bCs/>
          <w:sz w:val="30"/>
          <w:szCs w:val="30"/>
        </w:rPr>
      </w:pPr>
    </w:p>
    <w:p w14:paraId="04037937">
      <w:pPr>
        <w:jc w:val="center"/>
        <w:rPr>
          <w:rFonts w:hint="eastAsia" w:ascii="仿宋" w:hAnsi="仿宋" w:eastAsia="仿宋" w:cs="仿宋"/>
          <w:b/>
          <w:bCs/>
          <w:sz w:val="30"/>
          <w:szCs w:val="30"/>
        </w:r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64A82BF2">
      <w:pPr>
        <w:snapToGrid w:val="0"/>
        <w:spacing w:line="360" w:lineRule="auto"/>
        <w:ind w:firstLine="482" w:firstLineChars="200"/>
        <w:rPr>
          <w:rFonts w:hint="eastAsia" w:ascii="宋体" w:hAnsi="宋体" w:eastAsia="宋体" w:cs="宋体"/>
          <w:b/>
          <w:bCs/>
          <w:sz w:val="24"/>
        </w:rPr>
      </w:pPr>
      <w:bookmarkStart w:id="10" w:name="_Toc445407254"/>
      <w:bookmarkStart w:id="11" w:name="_Toc502742969"/>
      <w:r>
        <w:rPr>
          <w:rFonts w:hint="eastAsia" w:ascii="宋体" w:hAnsi="宋体" w:eastAsia="宋体" w:cs="宋体"/>
          <w:b/>
          <w:bCs/>
          <w:sz w:val="24"/>
        </w:rPr>
        <w:t>一、合同标的</w:t>
      </w:r>
    </w:p>
    <w:p w14:paraId="22AAC35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eastAsia="zh-CN"/>
        </w:rPr>
        <w:t>甘泉立交至桥镇红色旅游公路工程枣林洛河大桥及南曲洛河大桥质量检测服务</w:t>
      </w:r>
    </w:p>
    <w:p w14:paraId="1E287001">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二、合同总价</w:t>
      </w:r>
    </w:p>
    <w:p w14:paraId="105D8E7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合同总价：人民币（大写）：</w:t>
      </w:r>
    </w:p>
    <w:p w14:paraId="703006C2">
      <w:pPr>
        <w:snapToGrid w:val="0"/>
        <w:spacing w:line="360" w:lineRule="auto"/>
        <w:ind w:firstLine="1680" w:firstLineChars="700"/>
        <w:rPr>
          <w:rFonts w:hint="eastAsia" w:ascii="宋体" w:hAnsi="宋体" w:eastAsia="宋体" w:cs="宋体"/>
          <w:sz w:val="24"/>
        </w:rPr>
      </w:pPr>
      <w:r>
        <w:rPr>
          <w:rFonts w:hint="eastAsia" w:ascii="宋体" w:hAnsi="宋体" w:eastAsia="宋体" w:cs="宋体"/>
          <w:sz w:val="24"/>
        </w:rPr>
        <w:t>人民币（小写）：</w:t>
      </w:r>
    </w:p>
    <w:p w14:paraId="7D8026E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1、合同总价包括：《</w:t>
      </w:r>
      <w:r>
        <w:rPr>
          <w:rFonts w:hint="eastAsia" w:ascii="宋体" w:hAnsi="宋体" w:cs="宋体"/>
          <w:sz w:val="24"/>
          <w:lang w:eastAsia="zh-CN"/>
        </w:rPr>
        <w:t>甘泉立交至桥镇红色旅游公路工程枣林洛河大桥及南曲洛河大桥质量检测服务</w:t>
      </w:r>
      <w:r>
        <w:rPr>
          <w:rFonts w:hint="eastAsia" w:ascii="宋体" w:hAnsi="宋体" w:eastAsia="宋体" w:cs="宋体"/>
          <w:sz w:val="24"/>
        </w:rPr>
        <w:t>》的全部费用。</w:t>
      </w:r>
    </w:p>
    <w:p w14:paraId="3861517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三、结算方式及付款方式</w:t>
      </w:r>
    </w:p>
    <w:p w14:paraId="735DF30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1、结算方式：按年实际服务进度结算，不因市场及国家法规政策变化而变化。</w:t>
      </w:r>
    </w:p>
    <w:p w14:paraId="4AA57A86">
      <w:pPr>
        <w:wordWrap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2、付款方式：</w:t>
      </w:r>
    </w:p>
    <w:p w14:paraId="5483C85E">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1.合同签订后，支付合同总价的40%作为预付款；</w:t>
      </w:r>
    </w:p>
    <w:p w14:paraId="32510997">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2.现场检测工作全部完成，提交全部检测成果报告并经采购人初审合格后，支付合同总价的40%；</w:t>
      </w:r>
    </w:p>
    <w:p w14:paraId="70C9205B">
      <w:pPr>
        <w:wordWrap w:val="0"/>
        <w:spacing w:line="360" w:lineRule="auto"/>
        <w:ind w:firstLine="720" w:firstLineChars="300"/>
        <w:rPr>
          <w:rFonts w:hint="eastAsia" w:ascii="宋体" w:hAnsi="宋体" w:eastAsia="宋体" w:cs="宋体"/>
          <w:sz w:val="24"/>
          <w:lang w:eastAsia="zh-CN"/>
        </w:rPr>
      </w:pPr>
      <w:r>
        <w:rPr>
          <w:rFonts w:hint="eastAsia" w:ascii="宋体" w:hAnsi="宋体" w:cs="宋体"/>
          <w:sz w:val="24"/>
          <w:highlight w:val="none"/>
          <w:lang w:val="en-US" w:eastAsia="zh-CN"/>
        </w:rPr>
        <w:t>3.项目竣工验收合格，且所有资料移交完毕后，支付合同总价20%。</w:t>
      </w:r>
    </w:p>
    <w:bookmarkEnd w:id="10"/>
    <w:bookmarkEnd w:id="11"/>
    <w:p w14:paraId="233FB1DC">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四、</w:t>
      </w:r>
      <w:r>
        <w:rPr>
          <w:rFonts w:hint="eastAsia" w:ascii="宋体" w:hAnsi="宋体" w:cs="宋体"/>
          <w:b/>
          <w:bCs/>
          <w:sz w:val="24"/>
          <w:lang w:val="en-US" w:eastAsia="zh-CN"/>
        </w:rPr>
        <w:t>提交日期</w:t>
      </w:r>
    </w:p>
    <w:p w14:paraId="62DF0B74">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1.自签订合同之日起40日历天内完成。现场检测任务须在合同签订后30日历天内全部完成。</w:t>
      </w:r>
    </w:p>
    <w:p w14:paraId="54E21E08">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2.完成现场检测后10个日历天内提交完整检测成果报告。</w:t>
      </w:r>
    </w:p>
    <w:p w14:paraId="2187DA7A">
      <w:pPr>
        <w:wordWrap w:val="0"/>
        <w:spacing w:line="360" w:lineRule="auto"/>
        <w:ind w:firstLine="720" w:firstLineChars="300"/>
        <w:rPr>
          <w:rFonts w:hint="eastAsia" w:ascii="宋体" w:hAnsi="宋体" w:cs="宋体"/>
          <w:sz w:val="24"/>
          <w:highlight w:val="none"/>
          <w:lang w:val="en-US" w:eastAsia="zh-CN"/>
        </w:rPr>
      </w:pPr>
      <w:r>
        <w:rPr>
          <w:rFonts w:hint="eastAsia" w:ascii="宋体" w:hAnsi="宋体" w:cs="宋体"/>
          <w:sz w:val="24"/>
          <w:highlight w:val="none"/>
          <w:lang w:val="en-US" w:eastAsia="zh-CN"/>
        </w:rPr>
        <w:t>3.后续持续配合直至项目竣工验收工作结束。</w:t>
      </w:r>
    </w:p>
    <w:p w14:paraId="1A7B1D72">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五、技术成果要求</w:t>
      </w:r>
    </w:p>
    <w:p w14:paraId="1057A84D">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1.提交文件包括枣林洛河大桥及南曲洛河大桥质量检测报告（含外观检查及实体检测、钢结构检测、内业资料审查、荷载试验），检测报告应数据完整、结论明确，并按照项目审批程序，满足验收要求。</w:t>
      </w:r>
    </w:p>
    <w:p w14:paraId="3A52A85E">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2.技术成果应符合国家和行业现行法规、政策及技术标准。</w:t>
      </w:r>
    </w:p>
    <w:p w14:paraId="6E12327F">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3.技术成果应明确检测范围、检测方法、检测数据及评定结论。</w:t>
      </w:r>
    </w:p>
    <w:p w14:paraId="748CDABD">
      <w:pPr>
        <w:snapToGrid w:val="0"/>
        <w:spacing w:line="360" w:lineRule="auto"/>
        <w:ind w:firstLine="482" w:firstLineChars="200"/>
        <w:rPr>
          <w:rFonts w:hint="eastAsia" w:ascii="宋体" w:hAnsi="宋体" w:eastAsia="宋体" w:cs="宋体"/>
          <w:b/>
          <w:bCs/>
          <w:sz w:val="24"/>
          <w:lang w:val="en-US" w:eastAsia="zh-CN"/>
        </w:rPr>
      </w:pPr>
      <w:r>
        <w:rPr>
          <w:rFonts w:hint="eastAsia" w:ascii="宋体" w:hAnsi="宋体" w:eastAsia="宋体" w:cs="宋体"/>
          <w:b/>
          <w:bCs/>
          <w:sz w:val="24"/>
          <w:lang w:val="en-US" w:eastAsia="zh-CN"/>
        </w:rPr>
        <w:t>六</w:t>
      </w:r>
      <w:r>
        <w:rPr>
          <w:rFonts w:hint="eastAsia" w:ascii="宋体" w:hAnsi="宋体" w:cs="宋体"/>
          <w:b/>
          <w:bCs/>
          <w:sz w:val="24"/>
          <w:lang w:val="en-US" w:eastAsia="zh-CN"/>
        </w:rPr>
        <w:t>、</w:t>
      </w:r>
      <w:r>
        <w:rPr>
          <w:rFonts w:hint="eastAsia" w:ascii="宋体" w:hAnsi="宋体" w:eastAsia="宋体" w:cs="宋体"/>
          <w:b/>
          <w:bCs/>
          <w:sz w:val="24"/>
          <w:lang w:val="en-US" w:eastAsia="zh-CN"/>
        </w:rPr>
        <w:t>成果交付要求</w:t>
      </w:r>
    </w:p>
    <w:p w14:paraId="6285C4ED">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1.交付内容：正式检测报告纸质版6套，电子版1份（U盘存储，包含全部报告、原始检测记录表、病害影像照片、荷载试验原始数据、内业审查资料）。</w:t>
      </w:r>
    </w:p>
    <w:p w14:paraId="4E2DE380">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2.所有成果必须可直接用于项目交工验收、竣工验收、归档备案。</w:t>
      </w:r>
    </w:p>
    <w:p w14:paraId="3F1F8CD0">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3.后续服务：供应商须配合采购人、行业主管部门、竣工验收</w:t>
      </w:r>
    </w:p>
    <w:p w14:paraId="69AE0347">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七、</w:t>
      </w:r>
      <w:r>
        <w:rPr>
          <w:rFonts w:hint="eastAsia" w:ascii="宋体" w:hAnsi="宋体" w:eastAsia="宋体" w:cs="宋体"/>
          <w:b/>
          <w:bCs/>
          <w:sz w:val="24"/>
          <w:lang w:val="en-US" w:eastAsia="zh-CN"/>
        </w:rPr>
        <w:t>服务承诺及履约要求</w:t>
      </w:r>
      <w:r>
        <w:rPr>
          <w:rFonts w:hint="eastAsia" w:ascii="宋体" w:hAnsi="宋体" w:eastAsia="宋体" w:cs="宋体"/>
          <w:sz w:val="24"/>
          <w:lang w:val="en-US" w:eastAsia="zh-CN"/>
        </w:rPr>
        <w:t xml:space="preserve"> </w:t>
      </w:r>
    </w:p>
    <w:p w14:paraId="2460D164">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1.中标单位须全程专人专项负责本项目，全程对接、全程跟进，不得转包、违法分包。</w:t>
      </w:r>
    </w:p>
    <w:p w14:paraId="7A764BAE">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2.严格遵守工期节点，按时提交各阶段成果，逾期按合同约定承担违约责任。</w:t>
      </w:r>
    </w:p>
    <w:p w14:paraId="36E8C8EB">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3.所有修改、答疑、现场服务、报审配合均包含在合同价内，无任何隐形增项费用。</w:t>
      </w:r>
    </w:p>
    <w:p w14:paraId="67EA84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4.检测成果须满足公路工程交工验收、竣工验收、项目审计、工程归档全部要求。</w:t>
      </w:r>
    </w:p>
    <w:p w14:paraId="139AF4B9">
      <w:pPr>
        <w:snapToGrid w:val="0"/>
        <w:spacing w:line="360" w:lineRule="auto"/>
        <w:ind w:firstLine="482" w:firstLineChars="200"/>
        <w:rPr>
          <w:rFonts w:hint="eastAsia" w:ascii="宋体" w:hAnsi="宋体" w:eastAsia="宋体" w:cs="宋体"/>
          <w:sz w:val="24"/>
          <w:lang w:val="en-US" w:eastAsia="zh-CN"/>
        </w:rPr>
      </w:pPr>
      <w:r>
        <w:rPr>
          <w:rFonts w:hint="eastAsia" w:ascii="宋体" w:hAnsi="宋体" w:cs="宋体"/>
          <w:b/>
          <w:bCs/>
          <w:sz w:val="24"/>
          <w:lang w:val="en-US" w:eastAsia="zh-CN"/>
        </w:rPr>
        <w:t>八、质量保证及售后技术服务</w:t>
      </w:r>
    </w:p>
    <w:p w14:paraId="79536EBD">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1.检测质量终身负责，因检测漏项、错项、数据不实导致的工程质量问题，由中标单位全权负责。</w:t>
      </w:r>
    </w:p>
    <w:p w14:paraId="762F6862">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2.项目建设期内，提供技术咨询、现场服务、检测数据答疑等后续技术支持。</w:t>
      </w:r>
    </w:p>
    <w:p w14:paraId="0188E4F6">
      <w:pPr>
        <w:wordWrap w:val="0"/>
        <w:spacing w:line="360" w:lineRule="auto"/>
        <w:ind w:firstLine="720" w:firstLineChars="300"/>
        <w:rPr>
          <w:rFonts w:hint="eastAsia" w:ascii="宋体" w:hAnsi="宋体" w:eastAsia="宋体" w:cs="宋体"/>
          <w:sz w:val="24"/>
          <w:lang w:val="en-US" w:eastAsia="zh-CN"/>
        </w:rPr>
      </w:pPr>
      <w:r>
        <w:rPr>
          <w:rFonts w:hint="eastAsia" w:ascii="宋体" w:hAnsi="宋体" w:eastAsia="宋体" w:cs="宋体"/>
          <w:sz w:val="24"/>
          <w:lang w:val="en-US" w:eastAsia="zh-CN"/>
        </w:rPr>
        <w:t>3.积极配合建设单位完成项目审计、验收、归档等相关工作。</w:t>
      </w:r>
    </w:p>
    <w:p w14:paraId="4E03AC98">
      <w:pPr>
        <w:snapToGrid w:val="0"/>
        <w:spacing w:line="360" w:lineRule="auto"/>
        <w:ind w:firstLine="482" w:firstLineChars="200"/>
        <w:rPr>
          <w:rFonts w:hint="eastAsia" w:ascii="宋体" w:hAnsi="宋体" w:cs="宋体"/>
          <w:b/>
          <w:bCs/>
          <w:sz w:val="24"/>
          <w:lang w:val="en-US" w:eastAsia="zh-CN"/>
        </w:rPr>
      </w:pPr>
      <w:r>
        <w:rPr>
          <w:rFonts w:hint="eastAsia" w:ascii="宋体" w:hAnsi="宋体" w:cs="宋体"/>
          <w:b/>
          <w:bCs/>
          <w:sz w:val="24"/>
          <w:lang w:val="en-US" w:eastAsia="zh-CN"/>
        </w:rPr>
        <w:t>九、甲乙双方责任</w:t>
      </w:r>
    </w:p>
    <w:p w14:paraId="2ED58C93">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合同一经签订，甲乙双方不得擅自变更或终止合同。甲乙双方必须遵守并执行合同中的各项规定，保证合同的正常履行。任何一方未履行本协议项下的义务均被视为违约。除因不可抗力因素造成协议无法履行外，任何一方违反违约应当向守约方支付因争议、索赔、诉讼而遭受的全部损失及相关费用，该费用包括但不限于诉讼费、公证费、鉴定费、保全费、律师费、差旅费等。</w:t>
      </w:r>
    </w:p>
    <w:p w14:paraId="73D4569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应当在规定的时间内保质保量完成工作任务，如因乙方工作人员在履行职务过程中的疏忽、失职、过错等故意或者过失原因造成甲方工作计划延误，乙方应承担合同总价款5%作为违约金或者赔偿责任或采取补救措施，甲方有权解除合同。</w:t>
      </w:r>
    </w:p>
    <w:p w14:paraId="31783386">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若因乙方原因造成工作不能顺利完成，乙方无条件增加人员完成。若本合同约定的期限内最终未能完成，乙方应退还甲方支付的所有费用，并承担合同总价款5%作为违约金或者赔偿由此给甲方造成的一切损失，甲方有权解除合同。</w:t>
      </w:r>
    </w:p>
    <w:p w14:paraId="2D8B952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4、甲方应积极配合乙方的工作，保证提供的资料真实可靠，为乙方的工作提供便利条件。</w:t>
      </w:r>
    </w:p>
    <w:p w14:paraId="7116E7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5、甲方按照约定按时给乙方支付服务费用，逾期不付款的，应当向乙方支付逾期付款额度的5%作为违约金或赔偿给乙方造成的损失。</w:t>
      </w:r>
    </w:p>
    <w:p w14:paraId="18CFC1AC">
      <w:pPr>
        <w:numPr>
          <w:ilvl w:val="0"/>
          <w:numId w:val="0"/>
        </w:numPr>
        <w:snapToGrid w:val="0"/>
        <w:spacing w:line="360" w:lineRule="auto"/>
        <w:ind w:firstLine="480" w:firstLineChars="200"/>
        <w:rPr>
          <w:rFonts w:hint="eastAsia" w:ascii="宋体" w:hAnsi="宋体" w:eastAsia="宋体" w:cs="宋体"/>
          <w:b/>
          <w:sz w:val="24"/>
          <w:szCs w:val="24"/>
          <w:lang w:val="en-US" w:eastAsia="zh-CN"/>
        </w:rPr>
      </w:pPr>
      <w:r>
        <w:rPr>
          <w:rFonts w:hint="eastAsia" w:ascii="宋体" w:hAnsi="宋体" w:eastAsia="宋体" w:cs="宋体"/>
          <w:bCs/>
          <w:sz w:val="24"/>
          <w:szCs w:val="24"/>
          <w:lang w:val="en-US" w:eastAsia="zh-CN"/>
        </w:rPr>
        <w:t>6.乙方负责</w:t>
      </w:r>
      <w:r>
        <w:rPr>
          <w:rFonts w:hint="eastAsia" w:ascii="宋体" w:hAnsi="宋体" w:cs="宋体"/>
          <w:bCs/>
          <w:sz w:val="24"/>
          <w:szCs w:val="24"/>
          <w:lang w:val="en-US" w:eastAsia="zh-CN"/>
        </w:rPr>
        <w:t>甘泉立交至桥镇红色旅游公路工程枣林洛河大桥及南曲洛河大桥质量检测服务</w:t>
      </w:r>
      <w:r>
        <w:rPr>
          <w:rFonts w:hint="eastAsia" w:ascii="宋体" w:hAnsi="宋体" w:eastAsia="宋体" w:cs="宋体"/>
          <w:bCs/>
          <w:sz w:val="24"/>
          <w:szCs w:val="24"/>
          <w:lang w:val="en-US" w:eastAsia="zh-CN"/>
        </w:rPr>
        <w:t>。乙方要增强安全意识，加强对员工（含雇用人员）的安全管理，上述诸环节发生的安全事故和人员伤亡事件，均由乙方负责，甲方不承担任何</w:t>
      </w:r>
      <w:r>
        <w:rPr>
          <w:rFonts w:hint="eastAsia" w:ascii="宋体" w:hAnsi="宋体" w:cs="宋体"/>
          <w:bCs/>
          <w:sz w:val="24"/>
          <w:szCs w:val="24"/>
          <w:lang w:val="en-US" w:eastAsia="zh-CN"/>
        </w:rPr>
        <w:t>责任</w:t>
      </w:r>
      <w:r>
        <w:rPr>
          <w:rFonts w:hint="eastAsia" w:ascii="宋体" w:hAnsi="宋体" w:eastAsia="宋体" w:cs="宋体"/>
          <w:bCs/>
          <w:sz w:val="24"/>
          <w:szCs w:val="24"/>
          <w:lang w:val="en-US" w:eastAsia="zh-CN"/>
        </w:rPr>
        <w:t>。</w:t>
      </w:r>
    </w:p>
    <w:p w14:paraId="1B9FA152">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cs="宋体"/>
          <w:b/>
          <w:color w:val="auto"/>
          <w:sz w:val="24"/>
          <w:szCs w:val="24"/>
          <w:highlight w:val="none"/>
          <w:lang w:val="en-US" w:eastAsia="zh-CN"/>
        </w:rPr>
        <w:t>十</w:t>
      </w:r>
      <w:r>
        <w:rPr>
          <w:rFonts w:hint="eastAsia" w:ascii="宋体" w:hAnsi="宋体" w:eastAsia="宋体" w:cs="宋体"/>
          <w:b/>
          <w:color w:val="auto"/>
          <w:sz w:val="24"/>
          <w:szCs w:val="24"/>
          <w:highlight w:val="none"/>
        </w:rPr>
        <w:t>、验收</w:t>
      </w:r>
    </w:p>
    <w:p w14:paraId="47466943">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1、验收依据</w:t>
      </w:r>
    </w:p>
    <w:p w14:paraId="52D25181">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政府采购相关法律法规、采购文件、响应文件、服务合同、现行公路桥梁检测相关国家及行业规范标准、陕西省公路工程竣交工验收相关管理规定。</w:t>
      </w:r>
    </w:p>
    <w:p w14:paraId="3958DB1C">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2、验收程序</w:t>
      </w:r>
    </w:p>
    <w:p w14:paraId="3AFA469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（1）供应商完成全部合同约定检测工作，向采购人提交书面验收申请、全套检测成果资料。</w:t>
      </w:r>
    </w:p>
    <w:p w14:paraId="026C67F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（2）采购人收到申请后，组织相关技术人员（必要时邀请行业专家）开展履约验收，核查检测工作完整性、原始记录、试验数据、检测报告、影像资料、内业审查资料。</w:t>
      </w:r>
    </w:p>
    <w:p w14:paraId="1546F1E3">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（3）验收合格的，签署履约验收意见书；验收不合格，向供应商出具书面整改意见，供应商限期完成整改并重新报送成果，直至验收合格。</w:t>
      </w:r>
    </w:p>
    <w:p w14:paraId="18C18C0A">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（4）全部验收资料由采购人归档保存，作为项目竣交工验收档案组成部分。</w:t>
      </w:r>
    </w:p>
    <w:p w14:paraId="58B1162F">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cs="宋体"/>
          <w:b/>
          <w:sz w:val="24"/>
          <w:szCs w:val="24"/>
          <w:lang w:val="en-US" w:eastAsia="zh-CN"/>
        </w:rPr>
        <w:t>十一</w:t>
      </w:r>
      <w:r>
        <w:rPr>
          <w:rFonts w:hint="eastAsia" w:ascii="宋体" w:hAnsi="宋体" w:eastAsia="宋体" w:cs="宋体"/>
          <w:b/>
          <w:sz w:val="24"/>
          <w:szCs w:val="24"/>
        </w:rPr>
        <w:t>、违约责任</w:t>
      </w:r>
    </w:p>
    <w:p w14:paraId="63347ED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3982C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256DBB6F">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3、因履行本合同引起的或者与本合同有关的争议，甲乙双方应当通过友好协商方式解决；如协商不能解决争议的，任何一方可以向甲方所</w:t>
      </w:r>
      <w:r>
        <w:rPr>
          <w:rFonts w:hint="eastAsia" w:ascii="宋体" w:hAnsi="宋体" w:cs="宋体"/>
          <w:bCs/>
          <w:kern w:val="2"/>
          <w:sz w:val="24"/>
          <w:szCs w:val="24"/>
          <w:lang w:val="en-US" w:eastAsia="zh-CN" w:bidi="ar-SA"/>
        </w:rPr>
        <w:t>在</w:t>
      </w:r>
      <w:r>
        <w:rPr>
          <w:rFonts w:hint="eastAsia" w:ascii="宋体" w:hAnsi="宋体" w:eastAsia="宋体" w:cs="宋体"/>
          <w:bCs/>
          <w:kern w:val="2"/>
          <w:sz w:val="24"/>
          <w:szCs w:val="24"/>
          <w:lang w:val="en-US" w:eastAsia="zh-CN" w:bidi="ar-SA"/>
        </w:rPr>
        <w:t>地的甘泉县人民法院提起诉讼。</w:t>
      </w:r>
    </w:p>
    <w:p w14:paraId="3180B3C7">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cs="宋体"/>
          <w:b/>
          <w:sz w:val="24"/>
          <w:szCs w:val="24"/>
          <w:lang w:val="en-US" w:eastAsia="zh-CN"/>
        </w:rPr>
        <w:t>十二</w:t>
      </w:r>
      <w:r>
        <w:rPr>
          <w:rFonts w:hint="eastAsia" w:ascii="宋体" w:hAnsi="宋体" w:eastAsia="宋体" w:cs="宋体"/>
          <w:b/>
          <w:sz w:val="24"/>
          <w:szCs w:val="24"/>
          <w:lang w:val="en-US" w:eastAsia="zh-CN"/>
        </w:rPr>
        <w:t>、保密条款</w:t>
      </w:r>
    </w:p>
    <w:p w14:paraId="3431FC7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1、甲乙双方参与本合同及本合同下</w:t>
      </w:r>
      <w:r>
        <w:rPr>
          <w:rFonts w:hint="eastAsia" w:ascii="宋体" w:hAnsi="宋体" w:cs="宋体"/>
          <w:bCs/>
          <w:kern w:val="2"/>
          <w:sz w:val="24"/>
          <w:szCs w:val="24"/>
          <w:lang w:val="en-US" w:eastAsia="zh-CN" w:bidi="ar-SA"/>
        </w:rPr>
        <w:t>参与</w:t>
      </w:r>
      <w:r>
        <w:rPr>
          <w:rFonts w:hint="default" w:ascii="宋体" w:hAnsi="宋体" w:eastAsia="宋体" w:cs="宋体"/>
          <w:bCs/>
          <w:kern w:val="2"/>
          <w:sz w:val="24"/>
          <w:szCs w:val="24"/>
          <w:lang w:val="en-US" w:eastAsia="zh-CN" w:bidi="ar-SA"/>
        </w:rPr>
        <w:t>所有人员，对本合同、本合同下的项目信息均负有保密义务。</w:t>
      </w:r>
    </w:p>
    <w:p w14:paraId="49E8F117">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2、以下内容属于本合同约定的保密信息范围，甲乙双方应按照本合同约定予以严格保密并且不得向任何第三方透露。</w:t>
      </w:r>
    </w:p>
    <w:p w14:paraId="5CFF74FB">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（1）甲乙双方在本合同规定的合作过程中提供的全部资料及在本合同履行过程中接触和了解到的对方的全部情况和资料。包括但不限于：合同双方成员信息、债权债务信息、经营信息、资信信息、财务信息等。</w:t>
      </w:r>
    </w:p>
    <w:p w14:paraId="515EA40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（2）甲乙双方为履行合同，合作过程中各方往来函件、会议记录、</w:t>
      </w:r>
      <w:r>
        <w:rPr>
          <w:rFonts w:hint="eastAsia" w:ascii="宋体" w:hAnsi="宋体" w:cs="宋体"/>
          <w:bCs/>
          <w:kern w:val="2"/>
          <w:sz w:val="24"/>
          <w:szCs w:val="24"/>
          <w:lang w:val="en-US" w:eastAsia="zh-CN" w:bidi="ar-SA"/>
        </w:rPr>
        <w:t>磋商</w:t>
      </w:r>
      <w:r>
        <w:rPr>
          <w:rFonts w:hint="default" w:ascii="宋体" w:hAnsi="宋体" w:eastAsia="宋体" w:cs="宋体"/>
          <w:bCs/>
          <w:kern w:val="2"/>
          <w:sz w:val="24"/>
          <w:szCs w:val="24"/>
          <w:lang w:val="en-US" w:eastAsia="zh-CN" w:bidi="ar-SA"/>
        </w:rPr>
        <w:t>内容等。</w:t>
      </w:r>
    </w:p>
    <w:p w14:paraId="1365B1B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（3）甲乙双方合作过程中获取的相关企业信息、管理人履职信息、与有关机构部门沟通信息、全部资料等。</w:t>
      </w:r>
    </w:p>
    <w:p w14:paraId="75A2AD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3、甲乙双方应采取一切合理措施对应突发事件予以保密，避免突发事件被不当披露或使用。任何一方若发现对方有滥用或者误用应保密信息的情况，应及时将该情形书面通知对方。</w:t>
      </w:r>
    </w:p>
    <w:p w14:paraId="1B22981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4、甲乙双方的保密义务不因任何原因而免除，即无论本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因何种原因被解除、终止、履行完毕、部分条款归于无效等，甲乙双方均应当严格履行保密义务，否则应承担相应的法律责任及赔偿责任。</w:t>
      </w:r>
    </w:p>
    <w:p w14:paraId="5AC73FFA">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cs="宋体"/>
          <w:b/>
          <w:sz w:val="24"/>
          <w:szCs w:val="24"/>
          <w:lang w:val="en-US" w:eastAsia="zh-CN"/>
        </w:rPr>
        <w:t>十三</w:t>
      </w:r>
      <w:r>
        <w:rPr>
          <w:rFonts w:hint="eastAsia" w:ascii="宋体" w:hAnsi="宋体" w:eastAsia="宋体" w:cs="宋体"/>
          <w:b/>
          <w:sz w:val="24"/>
          <w:szCs w:val="24"/>
          <w:lang w:val="en-US" w:eastAsia="zh-CN"/>
        </w:rPr>
        <w:t>、合同组成部分</w:t>
      </w:r>
    </w:p>
    <w:p w14:paraId="13E39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51CC05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w:t>
      </w:r>
      <w:r>
        <w:rPr>
          <w:rFonts w:hint="eastAsia" w:ascii="宋体" w:hAnsi="宋体" w:cs="宋体"/>
          <w:b/>
          <w:sz w:val="24"/>
          <w:szCs w:val="24"/>
          <w:lang w:val="en-US" w:eastAsia="zh-CN"/>
        </w:rPr>
        <w:t>四</w:t>
      </w:r>
      <w:r>
        <w:rPr>
          <w:rFonts w:hint="eastAsia" w:ascii="宋体" w:hAnsi="宋体" w:eastAsia="宋体" w:cs="宋体"/>
          <w:b/>
          <w:sz w:val="24"/>
          <w:szCs w:val="24"/>
          <w:lang w:val="en-US" w:eastAsia="zh-CN"/>
        </w:rPr>
        <w:t>、合同生效及其他</w:t>
      </w:r>
    </w:p>
    <w:p w14:paraId="2B00A3D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6C937A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1D8E867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3BC1D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1B3405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22798F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29FE61A0">
      <w:pPr>
        <w:snapToGrid w:val="0"/>
        <w:spacing w:line="360" w:lineRule="auto"/>
        <w:ind w:firstLine="480" w:firstLineChars="200"/>
        <w:rPr>
          <w:rFonts w:hint="eastAsia" w:ascii="宋体" w:hAnsi="宋体" w:eastAsia="宋体" w:cs="宋体"/>
          <w:sz w:val="24"/>
        </w:rPr>
      </w:pPr>
    </w:p>
    <w:p w14:paraId="146C4681">
      <w:pPr>
        <w:rPr>
          <w:rFonts w:hint="eastAsia" w:ascii="仿宋" w:hAnsi="仿宋" w:eastAsia="仿宋" w:cs="仿宋"/>
        </w:rPr>
      </w:pPr>
    </w:p>
    <w:p w14:paraId="69A511DF">
      <w:pPr>
        <w:rPr>
          <w:rFonts w:hint="eastAsia" w:ascii="仿宋" w:hAnsi="仿宋" w:eastAsia="仿宋" w:cs="仿宋"/>
        </w:rPr>
      </w:pPr>
    </w:p>
    <w:p w14:paraId="038A6C80">
      <w:pPr>
        <w:rPr>
          <w:rFonts w:hint="eastAsia" w:ascii="仿宋" w:hAnsi="仿宋" w:eastAsia="仿宋" w:cs="仿宋"/>
        </w:rPr>
      </w:pPr>
    </w:p>
    <w:p w14:paraId="67F35681">
      <w:pPr>
        <w:rPr>
          <w:rFonts w:hint="eastAsia" w:ascii="仿宋" w:hAnsi="仿宋" w:eastAsia="仿宋" w:cs="仿宋"/>
        </w:rPr>
      </w:pPr>
    </w:p>
    <w:p w14:paraId="5E89637D">
      <w:pPr>
        <w:rPr>
          <w:rFonts w:hint="eastAsia" w:ascii="仿宋" w:hAnsi="仿宋" w:eastAsia="仿宋" w:cs="仿宋"/>
        </w:rPr>
      </w:pPr>
    </w:p>
    <w:p w14:paraId="4317A377">
      <w:pPr>
        <w:rPr>
          <w:rFonts w:hint="eastAsia" w:ascii="仿宋" w:hAnsi="仿宋" w:eastAsia="仿宋" w:cs="仿宋"/>
        </w:rPr>
      </w:pPr>
    </w:p>
    <w:p w14:paraId="38BD10B0">
      <w:pPr>
        <w:rPr>
          <w:rFonts w:hint="eastAsia" w:ascii="仿宋" w:hAnsi="仿宋" w:eastAsia="仿宋" w:cs="仿宋"/>
        </w:rPr>
      </w:pPr>
    </w:p>
    <w:p w14:paraId="790D7069">
      <w:pPr>
        <w:rPr>
          <w:rFonts w:hint="eastAsia" w:ascii="仿宋" w:hAnsi="仿宋" w:eastAsia="仿宋" w:cs="仿宋"/>
        </w:rPr>
      </w:pPr>
    </w:p>
    <w:p w14:paraId="5E1F7C11">
      <w:pPr>
        <w:rPr>
          <w:rFonts w:hint="eastAsia" w:ascii="仿宋" w:hAnsi="仿宋" w:eastAsia="仿宋" w:cs="仿宋"/>
        </w:rPr>
      </w:pPr>
    </w:p>
    <w:p w14:paraId="3027D5CA">
      <w:pPr>
        <w:rPr>
          <w:rFonts w:hint="eastAsia" w:ascii="仿宋" w:hAnsi="仿宋" w:eastAsia="仿宋" w:cs="仿宋"/>
        </w:rPr>
      </w:pPr>
    </w:p>
    <w:p w14:paraId="265C4E8C">
      <w:pPr>
        <w:rPr>
          <w:rFonts w:hint="eastAsia" w:ascii="仿宋" w:hAnsi="仿宋" w:eastAsia="仿宋" w:cs="仿宋"/>
        </w:rPr>
      </w:pPr>
    </w:p>
    <w:p w14:paraId="04279F2B">
      <w:pPr>
        <w:rPr>
          <w:rFonts w:hint="eastAsia" w:ascii="仿宋" w:hAnsi="仿宋" w:eastAsia="仿宋" w:cs="仿宋"/>
        </w:rPr>
      </w:pPr>
    </w:p>
    <w:p w14:paraId="6DA957D1">
      <w:pPr>
        <w:rPr>
          <w:rFonts w:hint="eastAsia" w:ascii="仿宋" w:hAnsi="仿宋" w:eastAsia="仿宋" w:cs="仿宋"/>
        </w:rPr>
      </w:pPr>
    </w:p>
    <w:p w14:paraId="232F0A2D">
      <w:pPr>
        <w:rPr>
          <w:rFonts w:hint="eastAsia" w:ascii="仿宋" w:hAnsi="仿宋" w:eastAsia="仿宋" w:cs="仿宋"/>
        </w:rPr>
      </w:pPr>
    </w:p>
    <w:p w14:paraId="2805A374">
      <w:pPr>
        <w:rPr>
          <w:rFonts w:hint="eastAsia" w:ascii="仿宋" w:hAnsi="仿宋" w:eastAsia="仿宋" w:cs="仿宋"/>
        </w:rPr>
      </w:pPr>
    </w:p>
    <w:p w14:paraId="5B87529D">
      <w:pPr>
        <w:rPr>
          <w:rFonts w:hint="eastAsia" w:ascii="仿宋" w:hAnsi="仿宋" w:eastAsia="仿宋" w:cs="仿宋"/>
        </w:rPr>
      </w:pPr>
    </w:p>
    <w:p w14:paraId="7CE7D7F9">
      <w:pPr>
        <w:rPr>
          <w:rFonts w:hint="eastAsia" w:ascii="仿宋" w:hAnsi="仿宋" w:eastAsia="仿宋" w:cs="仿宋"/>
        </w:rPr>
      </w:pPr>
    </w:p>
    <w:p w14:paraId="0B3C0AF5">
      <w:pPr>
        <w:rPr>
          <w:rFonts w:hint="eastAsia" w:ascii="仿宋" w:hAnsi="仿宋" w:eastAsia="仿宋" w:cs="仿宋"/>
        </w:rPr>
      </w:pPr>
    </w:p>
    <w:p w14:paraId="2B7C81BF">
      <w:pPr>
        <w:rPr>
          <w:rFonts w:hint="eastAsia" w:ascii="仿宋" w:hAnsi="仿宋" w:eastAsia="仿宋" w:cs="仿宋"/>
        </w:rPr>
      </w:pPr>
    </w:p>
    <w:p w14:paraId="5DE5EFC1">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甘泉立交至桥镇红色旅游公路工程枣林洛河大桥及南曲洛河大桥质量检测服务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GZC2026-CS-064</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甘泉立交至桥镇红色旅游公路工程枣林洛河大桥及南曲洛河大桥质量检测服务</w:t>
      </w:r>
      <w:r>
        <w:rPr>
          <w:rFonts w:hint="eastAsia" w:ascii="宋体" w:hAnsi="宋体" w:eastAsia="宋体" w:cs="宋体"/>
          <w:sz w:val="24"/>
          <w:szCs w:val="24"/>
        </w:rPr>
        <w:t>》（项目编号：</w:t>
      </w:r>
      <w:r>
        <w:rPr>
          <w:rFonts w:hint="eastAsia" w:ascii="宋体" w:hAnsi="宋体" w:cs="宋体"/>
          <w:sz w:val="24"/>
          <w:szCs w:val="24"/>
          <w:lang w:eastAsia="zh-CN"/>
        </w:rPr>
        <w:t>GZC2026-CS-064</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90日历日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4"/>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5"/>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甘泉县交通运输局</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582,362.00元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lang w:eastAsia="zh-CN"/>
              </w:rPr>
              <w:t>提交日期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日历天</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甘泉立交至桥镇红色旅游公路工程枣林洛河大桥及南曲洛河大桥质量检测服务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6"/>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6"/>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134"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甘泉立交至桥镇红色旅游公路工程枣林洛河大桥及南曲洛河大桥质量检测服务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GZC2026-CS-064</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甘泉立交至桥镇红色旅游公路工程枣林洛河大桥及南曲洛河大桥质量检测服务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GZC2026-CS-064</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甘泉立交至桥镇红色旅游公路工程枣林洛河大桥及南曲洛河大桥质量检测服务</w:t>
      </w:r>
      <w:r>
        <w:rPr>
          <w:rFonts w:hint="eastAsia" w:ascii="宋体" w:hAnsi="宋体" w:eastAsia="宋体" w:cs="宋体"/>
          <w:sz w:val="24"/>
        </w:rPr>
        <w:t>（项目编号：</w:t>
      </w:r>
      <w:r>
        <w:rPr>
          <w:rFonts w:hint="eastAsia" w:ascii="宋体" w:hAnsi="宋体" w:cs="宋体"/>
          <w:b/>
          <w:bCs/>
          <w:sz w:val="24"/>
          <w:lang w:eastAsia="zh-CN"/>
        </w:rPr>
        <w:t>GZC2026-CS-064</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val="en-US" w:eastAsia="zh-CN"/>
        </w:rPr>
        <w:t>或盖章</w:t>
      </w:r>
      <w:r>
        <w:rPr>
          <w:rFonts w:hint="eastAsia" w:ascii="宋体" w:hAnsi="宋体" w:cs="宋体"/>
          <w:color w:val="auto"/>
          <w:sz w:val="24"/>
          <w:lang w:eastAsia="zh-CN"/>
        </w:rPr>
        <w:t>）</w:t>
      </w:r>
    </w:p>
    <w:p w14:paraId="17F2E3AF">
      <w:pPr>
        <w:tabs>
          <w:tab w:val="right" w:pos="9070"/>
        </w:tabs>
        <w:spacing w:before="156" w:beforeLines="50" w:after="156" w:afterLines="50" w:line="480" w:lineRule="auto"/>
        <w:rPr>
          <w:rFonts w:ascii="仿宋" w:hAnsi="仿宋" w:eastAsia="仿宋" w:cs="仿宋"/>
          <w:b/>
          <w:sz w:val="32"/>
          <w:szCs w:val="32"/>
        </w:rPr>
      </w:pPr>
      <w:r>
        <w:rPr>
          <w:rFonts w:hint="eastAsia" w:ascii="宋体" w:hAnsi="宋体" w:eastAsia="宋体" w:cs="宋体"/>
          <w:sz w:val="24"/>
        </w:rPr>
        <w:t>日期：____年____月____日</w:t>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both"/>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2.以合同复印件或中标通知书为准。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b w:val="0"/>
                <w:bCs w:val="0"/>
                <w:color w:val="auto"/>
                <w:sz w:val="24"/>
              </w:rPr>
              <w:t>2、</w:t>
            </w:r>
            <w:r>
              <w:rPr>
                <w:rFonts w:hint="eastAsia" w:ascii="宋体" w:hAnsi="宋体" w:eastAsia="宋体" w:cs="宋体"/>
                <w:b w:val="0"/>
                <w:bCs w:val="0"/>
                <w:color w:val="auto"/>
                <w:sz w:val="24"/>
                <w:lang w:val="en-US" w:eastAsia="zh-CN"/>
              </w:rPr>
              <w:t>以上人员需要提供身份证、社保缴纳证明、职称证书、资格证书等证明材料扫描件</w:t>
            </w:r>
            <w:r>
              <w:rPr>
                <w:rFonts w:hint="eastAsia" w:ascii="宋体" w:hAnsi="宋体" w:eastAsia="宋体" w:cs="宋体"/>
                <w:b w:val="0"/>
                <w:bCs w:val="0"/>
                <w:color w:val="auto"/>
                <w:sz w:val="24"/>
              </w:rPr>
              <w:t>。</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5.中小企业声明函(服务</w:t>
      </w:r>
      <w:r>
        <w:rPr>
          <w:rFonts w:hint="eastAsia" w:ascii="宋体" w:hAnsi="宋体" w:cs="宋体"/>
          <w:b/>
          <w:bCs/>
          <w:color w:val="auto"/>
          <w:sz w:val="28"/>
          <w:szCs w:val="28"/>
          <w:highlight w:val="none"/>
          <w:lang w:val="en-US" w:eastAsia="zh-CN"/>
        </w:rPr>
        <w:t>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7"/>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7"/>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cs="宋体"/>
          <w:b/>
          <w:sz w:val="24"/>
          <w:lang w:eastAsia="zh-CN"/>
        </w:rPr>
        <w:t>□</w:t>
      </w: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212E495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质量检测服务方案及内容</w:t>
      </w:r>
      <w:r>
        <w:rPr>
          <w:rFonts w:hint="eastAsia" w:ascii="宋体" w:hAnsi="宋体" w:eastAsia="宋体" w:cs="宋体"/>
          <w:b w:val="0"/>
          <w:bCs w:val="0"/>
          <w:color w:val="auto"/>
          <w:kern w:val="0"/>
          <w:sz w:val="24"/>
          <w:szCs w:val="24"/>
          <w:highlight w:val="none"/>
        </w:rPr>
        <w:t>；</w:t>
      </w:r>
    </w:p>
    <w:p w14:paraId="5D45EAD5">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cs="宋体"/>
          <w:b w:val="0"/>
          <w:bCs w:val="0"/>
          <w:color w:val="auto"/>
          <w:kern w:val="0"/>
          <w:sz w:val="24"/>
          <w:szCs w:val="24"/>
          <w:highlight w:val="none"/>
          <w:lang w:val="en-US" w:eastAsia="zh-CN"/>
        </w:rPr>
        <w:t>成果文件质量、安全及服务保证措施</w:t>
      </w:r>
      <w:r>
        <w:rPr>
          <w:rFonts w:hint="eastAsia" w:ascii="宋体" w:hAnsi="宋体" w:eastAsia="宋体" w:cs="宋体"/>
          <w:b w:val="0"/>
          <w:bCs w:val="0"/>
          <w:color w:val="auto"/>
          <w:kern w:val="0"/>
          <w:sz w:val="24"/>
          <w:szCs w:val="24"/>
          <w:highlight w:val="none"/>
        </w:rPr>
        <w:t>；</w:t>
      </w:r>
    </w:p>
    <w:p w14:paraId="342C950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cs="宋体"/>
          <w:b w:val="0"/>
          <w:bCs w:val="0"/>
          <w:color w:val="auto"/>
          <w:kern w:val="0"/>
          <w:sz w:val="24"/>
          <w:szCs w:val="24"/>
          <w:highlight w:val="none"/>
          <w:lang w:val="en-US" w:eastAsia="zh-CN"/>
        </w:rPr>
        <w:t>项目进度计划及保证措施</w:t>
      </w:r>
      <w:r>
        <w:rPr>
          <w:rFonts w:hint="eastAsia" w:ascii="宋体" w:hAnsi="宋体" w:eastAsia="宋体" w:cs="宋体"/>
          <w:b w:val="0"/>
          <w:bCs w:val="0"/>
          <w:color w:val="auto"/>
          <w:kern w:val="0"/>
          <w:sz w:val="24"/>
          <w:szCs w:val="24"/>
          <w:highlight w:val="none"/>
        </w:rPr>
        <w:t>；</w:t>
      </w:r>
    </w:p>
    <w:p w14:paraId="189884C2">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cs="宋体"/>
          <w:b w:val="0"/>
          <w:bCs w:val="0"/>
          <w:color w:val="auto"/>
          <w:kern w:val="0"/>
          <w:sz w:val="24"/>
          <w:szCs w:val="24"/>
          <w:highlight w:val="none"/>
          <w:lang w:val="en-US" w:eastAsia="zh-CN"/>
        </w:rPr>
        <w:t>服务承诺</w:t>
      </w:r>
      <w:r>
        <w:rPr>
          <w:rFonts w:hint="eastAsia" w:ascii="宋体" w:hAnsi="宋体" w:eastAsia="宋体" w:cs="宋体"/>
          <w:b w:val="0"/>
          <w:bCs w:val="0"/>
          <w:color w:val="auto"/>
          <w:kern w:val="0"/>
          <w:sz w:val="24"/>
          <w:szCs w:val="24"/>
          <w:highlight w:val="none"/>
        </w:rPr>
        <w:t>；</w:t>
      </w:r>
    </w:p>
    <w:p w14:paraId="6C4B194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（五）</w:t>
      </w:r>
      <w:r>
        <w:rPr>
          <w:rFonts w:hint="eastAsia" w:ascii="宋体" w:hAnsi="宋体" w:cs="宋体"/>
          <w:b w:val="0"/>
          <w:bCs w:val="0"/>
          <w:color w:val="auto"/>
          <w:kern w:val="0"/>
          <w:sz w:val="24"/>
          <w:szCs w:val="24"/>
          <w:highlight w:val="none"/>
          <w:lang w:val="en-US" w:eastAsia="zh-CN"/>
        </w:rPr>
        <w:t>拟派项目人员</w:t>
      </w:r>
      <w:r>
        <w:rPr>
          <w:rFonts w:hint="eastAsia" w:ascii="宋体" w:hAnsi="宋体" w:eastAsia="宋体" w:cs="宋体"/>
          <w:b w:val="0"/>
          <w:bCs w:val="0"/>
          <w:color w:val="auto"/>
          <w:kern w:val="0"/>
          <w:sz w:val="24"/>
          <w:szCs w:val="24"/>
          <w:highlight w:val="none"/>
        </w:rPr>
        <w:t>；</w:t>
      </w:r>
    </w:p>
    <w:p w14:paraId="3AF20A38">
      <w:pPr>
        <w:pStyle w:val="4"/>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（六）业绩；</w:t>
      </w:r>
    </w:p>
    <w:p w14:paraId="0599320F">
      <w:pPr>
        <w:pStyle w:val="4"/>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126C9B3C">
      <w:pPr>
        <w:pStyle w:val="31"/>
        <w:numPr>
          <w:ilvl w:val="0"/>
          <w:numId w:val="8"/>
        </w:numPr>
        <w:rPr>
          <w:rFonts w:hint="eastAsia" w:ascii="宋体" w:hAnsi="宋体" w:eastAsia="宋体" w:cs="宋体"/>
        </w:rPr>
      </w:pPr>
      <w:r>
        <w:rPr>
          <w:rFonts w:hint="eastAsia" w:ascii="宋体" w:hAnsi="宋体" w:eastAsia="宋体" w:cs="宋体"/>
        </w:rPr>
        <w:t xml:space="preserve"> 响应文件封袋标识式样</w:t>
      </w:r>
    </w:p>
    <w:p w14:paraId="3653C40A">
      <w:pPr>
        <w:bidi w:val="0"/>
        <w:rPr>
          <w:rFonts w:hint="eastAsia" w:ascii="Times New Roman" w:hAnsi="Times New Roman" w:eastAsia="宋体" w:cs="Times New Roman"/>
          <w:kern w:val="2"/>
          <w:sz w:val="21"/>
          <w:szCs w:val="24"/>
          <w:lang w:val="en-US" w:eastAsia="zh-CN" w:bidi="ar-SA"/>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GZC2026-CS-064</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 xml:space="preserve">甘泉立交至桥镇红色旅游公路工程枣林洛河大桥及南曲洛河大桥质量检测服务 </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GZC2026-CS-064</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 xml:space="preserve">甘泉立交至桥镇红色旅游公路工程枣林洛河大桥及南曲洛河大桥质量检测服务 </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val="en-US"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r>
        <w:rPr>
          <w:rFonts w:hint="eastAsia" w:ascii="Times New Roman" w:hAnsi="Times New Roman" w:cs="Times New Roman"/>
          <w:color w:val="000000"/>
          <w:lang w:val="en-US" w:eastAsia="zh-CN"/>
        </w:rPr>
        <w:t>:</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04D2DC7-5583-48A8-9AEE-0365D3A5C3C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189B6EA7-0B41-4C87-A4B4-52D8CDCCF017}"/>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embedRegular r:id="rId3" w:fontKey="{163EA4E1-095B-421E-8BA9-088F914EEEF0}"/>
  </w:font>
  <w:font w:name="仿宋">
    <w:panose1 w:val="02010609060101010101"/>
    <w:charset w:val="86"/>
    <w:family w:val="modern"/>
    <w:pitch w:val="default"/>
    <w:sig w:usb0="800002BF" w:usb1="38CF7CFA" w:usb2="00000016" w:usb3="00000000" w:csb0="00040001" w:csb1="00000000"/>
    <w:embedRegular r:id="rId4" w:fontKey="{2F1F6CFF-7937-45E4-94D5-9435F191CAC5}"/>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5" w:fontKey="{50CC3416-A9E5-482E-A2A7-4CDA08485102}"/>
  </w:font>
  <w:font w:name="Microsoft YaHei 微软雅黑 黑体 宋体">
    <w:altName w:val="宋体"/>
    <w:panose1 w:val="00000000000000000000"/>
    <w:charset w:val="00"/>
    <w:family w:val="auto"/>
    <w:pitch w:val="default"/>
    <w:sig w:usb0="00000000" w:usb1="00000000" w:usb2="00000000" w:usb3="00000000" w:csb0="00040001" w:csb1="00000000"/>
    <w:embedRegular r:id="rId6" w:fontKey="{23D34EAE-F1FA-4C31-88FA-1911A1F3A0F7}"/>
  </w:font>
  <w:font w:name="仿宋_GB2312">
    <w:panose1 w:val="02010609030101010101"/>
    <w:charset w:val="86"/>
    <w:family w:val="auto"/>
    <w:pitch w:val="default"/>
    <w:sig w:usb0="00000001" w:usb1="080E0000" w:usb2="00000000" w:usb3="00000000" w:csb0="00040000" w:csb1="00000000"/>
    <w:embedRegular r:id="rId7" w:fontKey="{098ADD69-AFF3-4370-B96D-19BA4DF5698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57</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69</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2ACF463">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甘泉立交至桥镇红色旅游公路工程枣林洛河大桥及南曲洛河大桥质量检测服务</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 xml:space="preserve">甘泉立交至桥镇红色旅游公路工程枣林洛河大桥及南曲洛河大桥质量检测服务           </w:t>
    </w:r>
    <w:r>
      <w:rPr>
        <w:rFonts w:hint="eastAsia" w:ascii="宋体" w:hAnsi="宋体" w:eastAsia="宋体" w:cs="宋体"/>
        <w:kern w:val="2"/>
        <w:sz w:val="18"/>
        <w:szCs w:val="18"/>
        <w:lang w:val="en-US" w:eastAsia="zh-CN" w:bidi="ar-SA"/>
      </w:rPr>
      <w:t>编号：</w:t>
    </w:r>
    <w:r>
      <w:rPr>
        <w:rFonts w:hint="eastAsia" w:ascii="宋体" w:hAnsi="宋体" w:cs="宋体"/>
        <w:kern w:val="2"/>
        <w:sz w:val="18"/>
        <w:szCs w:val="18"/>
        <w:lang w:val="en-US" w:eastAsia="zh-CN" w:bidi="ar-SA"/>
      </w:rPr>
      <w:t>GZC2026-CS-064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甘泉立交至桥镇红色旅游公路工程枣林洛河大桥及南曲洛河大桥质量检测服务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GZC2026-CS-064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甘泉立交至桥镇红色旅游公路工程枣林洛河大桥及南曲洛河大桥质量检测服务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9B8C">
    <w:pPr>
      <w:pStyle w:val="13"/>
      <w:pBdr>
        <w:bottom w:val="none" w:color="auto" w:sz="0" w:space="1"/>
      </w:pBdr>
      <w:jc w:val="left"/>
      <w:rPr>
        <w:rFonts w:ascii="Times New Roman" w:hAnsi="Times New Roman" w:cs="Times New Roman"/>
      </w:rPr>
    </w:pPr>
    <w:r>
      <w:rPr>
        <w:rFonts w:hint="eastAsia" w:ascii="宋体" w:hAnsi="宋体" w:cs="宋体"/>
        <w:kern w:val="2"/>
        <w:sz w:val="18"/>
        <w:szCs w:val="18"/>
        <w:lang w:val="en-US" w:eastAsia="zh-CN" w:bidi="ar-SA"/>
      </w:rPr>
      <w:t xml:space="preserve">甘泉立交至桥镇红色旅游公路工程枣林洛河大桥及南曲洛河大桥质量检测服务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GZC2026-CS-064</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甘泉立交至桥镇红色旅游公路工程枣林洛河大桥及南曲洛河大桥质量检测服务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GZC2026-CS-064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E07232B8"/>
    <w:multiLevelType w:val="singleLevel"/>
    <w:tmpl w:val="E07232B8"/>
    <w:lvl w:ilvl="0" w:tentative="0">
      <w:start w:val="1"/>
      <w:numFmt w:val="decimal"/>
      <w:lvlText w:val="%1."/>
      <w:lvlJc w:val="left"/>
      <w:pPr>
        <w:tabs>
          <w:tab w:val="left" w:pos="312"/>
        </w:tabs>
      </w:pPr>
    </w:lvl>
  </w:abstractNum>
  <w:abstractNum w:abstractNumId="2">
    <w:nsid w:val="16BB253C"/>
    <w:multiLevelType w:val="singleLevel"/>
    <w:tmpl w:val="16BB253C"/>
    <w:lvl w:ilvl="0" w:tentative="0">
      <w:start w:val="1"/>
      <w:numFmt w:val="decimal"/>
      <w:suff w:val="space"/>
      <w:lvlText w:val="%1."/>
      <w:lvlJc w:val="left"/>
    </w:lvl>
  </w:abstractNum>
  <w:abstractNum w:abstractNumId="3">
    <w:nsid w:val="1AF67877"/>
    <w:multiLevelType w:val="singleLevel"/>
    <w:tmpl w:val="1AF67877"/>
    <w:lvl w:ilvl="0" w:tentative="0">
      <w:start w:val="2"/>
      <w:numFmt w:val="chineseCounting"/>
      <w:suff w:val="space"/>
      <w:lvlText w:val="第%1部分"/>
      <w:lvlJc w:val="left"/>
      <w:rPr>
        <w:rFonts w:hint="eastAsia"/>
      </w:rPr>
    </w:lvl>
  </w:abstractNum>
  <w:abstractNum w:abstractNumId="4">
    <w:nsid w:val="2FE6198D"/>
    <w:multiLevelType w:val="singleLevel"/>
    <w:tmpl w:val="2FE6198D"/>
    <w:lvl w:ilvl="0" w:tentative="0">
      <w:start w:val="7"/>
      <w:numFmt w:val="chineseCounting"/>
      <w:suff w:val="space"/>
      <w:lvlText w:val="第%1部分"/>
      <w:lvlJc w:val="left"/>
      <w:rPr>
        <w:rFonts w:hint="eastAsia"/>
      </w:rPr>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62290D6A"/>
    <w:multiLevelType w:val="singleLevel"/>
    <w:tmpl w:val="62290D6A"/>
    <w:lvl w:ilvl="0" w:tentative="0">
      <w:start w:val="1"/>
      <w:numFmt w:val="chineseCounting"/>
      <w:suff w:val="nothing"/>
      <w:lvlText w:val="（%1）"/>
      <w:lvlJc w:val="left"/>
      <w:rPr>
        <w:rFonts w:hint="eastAsia"/>
        <w:b/>
        <w:bCs/>
      </w:rPr>
    </w:lvl>
  </w:abstractNum>
  <w:abstractNum w:abstractNumId="7">
    <w:nsid w:val="793AF8D0"/>
    <w:multiLevelType w:val="singleLevel"/>
    <w:tmpl w:val="793AF8D0"/>
    <w:lvl w:ilvl="0" w:tentative="0">
      <w:start w:val="4"/>
      <w:numFmt w:val="decimal"/>
      <w:lvlText w:val="%1."/>
      <w:lvlJc w:val="left"/>
      <w:pPr>
        <w:tabs>
          <w:tab w:val="left" w:pos="312"/>
        </w:tabs>
      </w:pPr>
    </w:lvl>
  </w:abstractNum>
  <w:num w:numId="1">
    <w:abstractNumId w:val="0"/>
  </w:num>
  <w:num w:numId="2">
    <w:abstractNumId w:val="6"/>
  </w:num>
  <w:num w:numId="3">
    <w:abstractNumId w:val="7"/>
  </w:num>
  <w:num w:numId="4">
    <w:abstractNumId w:val="1"/>
  </w:num>
  <w:num w:numId="5">
    <w:abstractNumId w:val="3"/>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6221C"/>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20476"/>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8C58B8"/>
    <w:rsid w:val="0AF344E1"/>
    <w:rsid w:val="0BD51E39"/>
    <w:rsid w:val="0C167005"/>
    <w:rsid w:val="0C515FBA"/>
    <w:rsid w:val="0CC04897"/>
    <w:rsid w:val="0CCE2B10"/>
    <w:rsid w:val="0CFB767D"/>
    <w:rsid w:val="0D31309F"/>
    <w:rsid w:val="0D4B23B2"/>
    <w:rsid w:val="0E0E5177"/>
    <w:rsid w:val="0E1358E5"/>
    <w:rsid w:val="0F2851B8"/>
    <w:rsid w:val="0F692DD5"/>
    <w:rsid w:val="10170173"/>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954387"/>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7F808EB"/>
    <w:rsid w:val="18200032"/>
    <w:rsid w:val="182F5358"/>
    <w:rsid w:val="18842C1C"/>
    <w:rsid w:val="18AB495E"/>
    <w:rsid w:val="18BC7128"/>
    <w:rsid w:val="18E15979"/>
    <w:rsid w:val="19197809"/>
    <w:rsid w:val="19424899"/>
    <w:rsid w:val="194F6D87"/>
    <w:rsid w:val="19661582"/>
    <w:rsid w:val="19766901"/>
    <w:rsid w:val="19921369"/>
    <w:rsid w:val="19E537AA"/>
    <w:rsid w:val="1A266185"/>
    <w:rsid w:val="1A6C2290"/>
    <w:rsid w:val="1A7867B1"/>
    <w:rsid w:val="1A8101E8"/>
    <w:rsid w:val="1AA650CC"/>
    <w:rsid w:val="1AE8109D"/>
    <w:rsid w:val="1AF71E0D"/>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6820E1"/>
    <w:rsid w:val="1EB853CE"/>
    <w:rsid w:val="1F1C79C5"/>
    <w:rsid w:val="1F9A0A39"/>
    <w:rsid w:val="1FB913FE"/>
    <w:rsid w:val="20515ADA"/>
    <w:rsid w:val="209D045B"/>
    <w:rsid w:val="20C95670"/>
    <w:rsid w:val="20DB5A33"/>
    <w:rsid w:val="20E325CD"/>
    <w:rsid w:val="20FD17BE"/>
    <w:rsid w:val="210112AE"/>
    <w:rsid w:val="21582E98"/>
    <w:rsid w:val="21D55048"/>
    <w:rsid w:val="21DC13D3"/>
    <w:rsid w:val="21EE6184"/>
    <w:rsid w:val="222A65E3"/>
    <w:rsid w:val="225D0766"/>
    <w:rsid w:val="23304328"/>
    <w:rsid w:val="244B45EE"/>
    <w:rsid w:val="24BE1264"/>
    <w:rsid w:val="24EE1B49"/>
    <w:rsid w:val="250A6085"/>
    <w:rsid w:val="254D2FD8"/>
    <w:rsid w:val="25657932"/>
    <w:rsid w:val="25BA5ED0"/>
    <w:rsid w:val="25E019B8"/>
    <w:rsid w:val="262D156E"/>
    <w:rsid w:val="2698212E"/>
    <w:rsid w:val="27084A19"/>
    <w:rsid w:val="274E2D73"/>
    <w:rsid w:val="274F61D2"/>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75C76"/>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7C6418"/>
    <w:rsid w:val="2E8F08D4"/>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0E152D2"/>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5B40305"/>
    <w:rsid w:val="367774C5"/>
    <w:rsid w:val="369D62DA"/>
    <w:rsid w:val="37222033"/>
    <w:rsid w:val="374B2E2B"/>
    <w:rsid w:val="379841E9"/>
    <w:rsid w:val="37A12A4B"/>
    <w:rsid w:val="38AE0C59"/>
    <w:rsid w:val="38B4055C"/>
    <w:rsid w:val="38BD1B07"/>
    <w:rsid w:val="38F10D90"/>
    <w:rsid w:val="38F92413"/>
    <w:rsid w:val="39181B75"/>
    <w:rsid w:val="39627FB8"/>
    <w:rsid w:val="3A571AE7"/>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634DBD"/>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685A25"/>
    <w:rsid w:val="44901E7E"/>
    <w:rsid w:val="44B75DD3"/>
    <w:rsid w:val="456B6447"/>
    <w:rsid w:val="46841F07"/>
    <w:rsid w:val="46E94959"/>
    <w:rsid w:val="471A45C8"/>
    <w:rsid w:val="471C5C4A"/>
    <w:rsid w:val="4787446C"/>
    <w:rsid w:val="479B7367"/>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D897E2F"/>
    <w:rsid w:val="4E125FF9"/>
    <w:rsid w:val="4E74636C"/>
    <w:rsid w:val="4EE13FB9"/>
    <w:rsid w:val="4EF92D15"/>
    <w:rsid w:val="4F336CBB"/>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43118E"/>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AFF6F04"/>
    <w:rsid w:val="5B7958E6"/>
    <w:rsid w:val="5B81656C"/>
    <w:rsid w:val="5BBB382C"/>
    <w:rsid w:val="5BEB0420"/>
    <w:rsid w:val="5C186ED1"/>
    <w:rsid w:val="5C1D05D0"/>
    <w:rsid w:val="5C45759A"/>
    <w:rsid w:val="5C4C6B7A"/>
    <w:rsid w:val="5CC46711"/>
    <w:rsid w:val="5CD050B5"/>
    <w:rsid w:val="5CD10E2D"/>
    <w:rsid w:val="5CF35248"/>
    <w:rsid w:val="5D485594"/>
    <w:rsid w:val="5D6F2B20"/>
    <w:rsid w:val="5D973E25"/>
    <w:rsid w:val="5DB524FD"/>
    <w:rsid w:val="5DBA7B13"/>
    <w:rsid w:val="5E0A45F7"/>
    <w:rsid w:val="5E113BD7"/>
    <w:rsid w:val="5E2A4C99"/>
    <w:rsid w:val="5F447FDD"/>
    <w:rsid w:val="5F4D50E3"/>
    <w:rsid w:val="5F730794"/>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25D70"/>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60435E"/>
    <w:rsid w:val="687E00BB"/>
    <w:rsid w:val="688D47A2"/>
    <w:rsid w:val="68F6059A"/>
    <w:rsid w:val="690158BE"/>
    <w:rsid w:val="69E05F1F"/>
    <w:rsid w:val="69E91EAC"/>
    <w:rsid w:val="6A2C1D99"/>
    <w:rsid w:val="6A38073E"/>
    <w:rsid w:val="6AF02DC7"/>
    <w:rsid w:val="6AFE3735"/>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D24A36"/>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340F22"/>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63270B"/>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3413</Words>
  <Characters>3822</Characters>
  <Lines>237</Lines>
  <Paragraphs>66</Paragraphs>
  <TotalTime>16</TotalTime>
  <ScaleCrop>false</ScaleCrop>
  <LinksUpToDate>false</LinksUpToDate>
  <CharactersWithSpaces>3975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2026-10-09T08:22:38Z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