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版本号：THXZB2026-102220260518001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监控指挥及室内外大屏运维项目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THXZB2026-1022</w:t>
      </w:r>
      <w:r>
        <w:br/>
      </w:r>
      <w:r>
        <w:br/>
      </w:r>
      <w:r>
        <w:br/>
      </w:r>
    </w:p>
    <w:p>
      <w:pPr>
        <w:pStyle w:val="null3"/>
        <w:jc w:val="center"/>
        <w:outlineLvl w:val="2"/>
      </w:pPr>
      <w:r>
        <w:rPr>
          <w:rFonts w:ascii="仿宋_GB2312" w:hAnsi="仿宋_GB2312" w:cs="仿宋_GB2312" w:eastAsia="仿宋_GB2312"/>
          <w:sz w:val="28"/>
          <w:b/>
        </w:rPr>
        <w:t>西安市生态环境保护综合执法支队</w:t>
      </w:r>
    </w:p>
    <w:p>
      <w:pPr>
        <w:pStyle w:val="null3"/>
        <w:jc w:val="center"/>
        <w:outlineLvl w:val="2"/>
      </w:pPr>
      <w:r>
        <w:rPr>
          <w:rFonts w:ascii="仿宋_GB2312" w:hAnsi="仿宋_GB2312" w:cs="仿宋_GB2312" w:eastAsia="仿宋_GB2312"/>
          <w:sz w:val="28"/>
          <w:b/>
        </w:rPr>
        <w:t>陕西天鸿信项目管理有限公司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陕西天鸿信项目管理有限公司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西安市生态环境保护综合执法支队</w:t>
      </w:r>
      <w:r>
        <w:rPr>
          <w:rFonts w:ascii="仿宋_GB2312" w:hAnsi="仿宋_GB2312" w:cs="仿宋_GB2312" w:eastAsia="仿宋_GB2312"/>
        </w:rPr>
        <w:t>委托，拟对</w:t>
      </w:r>
      <w:r>
        <w:rPr>
          <w:rFonts w:ascii="仿宋_GB2312" w:hAnsi="仿宋_GB2312" w:cs="仿宋_GB2312" w:eastAsia="仿宋_GB2312"/>
        </w:rPr>
        <w:t>监控指挥及室内外大屏运维项目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THXZB2026-1022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监控指挥及室内外大屏运维项目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监控指挥及室内外大屏运维项目，内容包括西安市生态环境综合执法支队一大队监控指挥中心DLP大屏、室内LED大屏（三片）和室外LED大屏（一片）及其他设备的问题处理服务、备件替换服务、巡检服务、保障服务、设备返厂处理服务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采购包1（监控指挥及室内外大屏运维）：属于专门面向中小企业采购。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pPr>
        <w:pStyle w:val="null3"/>
      </w:pPr>
      <w:r>
        <w:rPr>
          <w:rFonts w:ascii="仿宋_GB2312" w:hAnsi="仿宋_GB2312" w:cs="仿宋_GB2312" w:eastAsia="仿宋_GB2312"/>
        </w:rPr>
        <w:t>2、法定代表人证明及授权书：法定代表人直接投标须提交法定代表人证明书，法定代表人授权代表参加投标的，须出具法定代表人证明书及授权书、授权代表本单位的证明（提供有效的养老保险缴纳证明），供应商需在项目电子化交易系统中按要求上传相应证明文件并进行电子签章；</w:t>
      </w:r>
    </w:p>
    <w:p>
      <w:pPr>
        <w:pStyle w:val="null3"/>
      </w:pPr>
      <w:r>
        <w:rPr>
          <w:rFonts w:ascii="仿宋_GB2312" w:hAnsi="仿宋_GB2312" w:cs="仿宋_GB2312" w:eastAsia="仿宋_GB2312"/>
        </w:rPr>
        <w:t>3、审计报告：供应商须提供2024或2025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pPr>
        <w:pStyle w:val="null3"/>
      </w:pPr>
      <w:r>
        <w:rPr>
          <w:rFonts w:ascii="仿宋_GB2312" w:hAnsi="仿宋_GB2312" w:cs="仿宋_GB2312" w:eastAsia="仿宋_GB2312"/>
        </w:rPr>
        <w:t>4、税收缴纳证明：供应商须提供投标截止时间前半年内任意一个月的税收缴纳凭证（注：依法免税或零申报的供应商须提供相关文件证明，若为新成立企业可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会保障资金缴纳证明：供应商须提供投标截止时间前半年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7、具有履行合同所必需的设备和专业技术能力的承诺函：供应商须提供具有履行合同所必需的设备和专业技术能力的承诺函，供应商需在项目电子化交易系统中按要求上传相应证明文件并进行电子签章；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8、信用查询：供应商不得为“信用中国”网站（www.creditchina.gov.cn）中被列入失信被执行人、重大税收违法案件当事人名单，不得为中国政府采购网（www.ccgp.gov.cn）政府采购严重违法失信行为记录名单中被财政部门禁止参加政府采购活动的供应商（不强制要求供应商提供查询截图，以磋商当日网上查询结果为评审依据）；</w:t>
      </w:r>
    </w:p>
    <w:p>
      <w:pPr>
        <w:pStyle w:val="null3"/>
      </w:pPr>
      <w:r>
        <w:rPr>
          <w:rFonts w:ascii="仿宋_GB2312" w:hAnsi="仿宋_GB2312" w:cs="仿宋_GB2312" w:eastAsia="仿宋_GB2312"/>
        </w:rPr>
        <w:t>9、中小企业声明函：本项目专门面向中小企业采购，仅限符合《政府采购促进中小企业发展管理办法》（财库〔2020〕46号）条件的中小微型企业参与，供应商应填写中小企业声明函并对真实性负责（残疾人福利性单位及监狱企业视同为小型、微型企业），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西安市生态环境保护综合执法支队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西安市长安区居安路8号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029-81585380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陕西天鸿信项目管理有限公司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陕西省西安市雁塔区陕西省西安市雁塔区雁南二路西京科创园3号楼25层1-3室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王天鹏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029-88210791转811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文件规定计取，以中标金额作为基数，差额累进法进行计算。（不足伍仟元按伍仟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西安市生态环境保护综合执法支队</w:t>
      </w:r>
      <w:r>
        <w:rPr>
          <w:rFonts w:ascii="仿宋_GB2312" w:hAnsi="仿宋_GB2312" w:cs="仿宋_GB2312" w:eastAsia="仿宋_GB2312"/>
        </w:rPr>
        <w:t>和</w:t>
      </w:r>
      <w:r>
        <w:rPr>
          <w:rFonts w:ascii="仿宋_GB2312" w:hAnsi="仿宋_GB2312" w:cs="仿宋_GB2312" w:eastAsia="仿宋_GB2312"/>
        </w:rPr>
        <w:t>陕西天鸿信项目管理有限公司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西安市生态环境保护综合执法支队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陕西天鸿信项目管理有限公司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西安市生态环境保护综合执法支队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陕西天鸿信项目管理有限公司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联系电话：029-88210791转811</w:t>
      </w:r>
    </w:p>
    <w:p>
      <w:pPr>
        <w:pStyle w:val="null3"/>
      </w:pPr>
      <w:r>
        <w:rPr>
          <w:rFonts w:ascii="仿宋_GB2312" w:hAnsi="仿宋_GB2312" w:cs="仿宋_GB2312" w:eastAsia="仿宋_GB2312"/>
        </w:rPr>
        <w:t>地址：西安市雁塔区雁南二路西京公司西京科创园三号楼25楼</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监控指挥及室内外大屏运维项目，内容包括西安市生态环境综合执法支队一大队监控指挥中心DLP大屏、室内LED大屏（三片）和室外LED大屏（一片）及其他设备的问题处理服务、备件替换服务、巡检服务、保障服务、设备返厂处理服务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w:t>
      </w:r>
    </w:p>
    <w:p>
      <w:pPr>
        <w:pStyle w:val="null3"/>
      </w:pPr>
      <w:r>
        <w:rPr>
          <w:rFonts w:ascii="仿宋_GB2312" w:hAnsi="仿宋_GB2312" w:cs="仿宋_GB2312" w:eastAsia="仿宋_GB2312"/>
        </w:rPr>
        <w:t>采购包最高限价（元）: 110,000.00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运维服务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color w:val="FF0000"/>
              </w:rPr>
              <w:t>服务内容</w:t>
            </w:r>
            <w:r>
              <w:rPr>
                <w:rFonts w:ascii="仿宋_GB2312" w:hAnsi="仿宋_GB2312" w:cs="仿宋_GB2312" w:eastAsia="仿宋_GB2312"/>
                <w:color w:val="FF0000"/>
              </w:rPr>
              <w:t>（包括工作区域、工作内容等）</w:t>
            </w:r>
          </w:p>
          <w:tbl>
            <w:tblPr>
              <w:tblInd w:type="dxa" w:w="120"/>
              <w:tblBorders>
                <w:top w:val="none" w:color="000000" w:sz="4"/>
                <w:left w:val="none" w:color="000000" w:sz="4"/>
                <w:bottom w:val="none" w:color="000000" w:sz="4"/>
                <w:right w:val="none" w:color="000000" w:sz="4"/>
                <w:insideH w:val="none"/>
                <w:insideV w:val="none"/>
              </w:tblBorders>
            </w:tblPr>
            <w:tblGrid>
              <w:gridCol w:w="0"/>
              <w:gridCol w:w="193"/>
              <w:gridCol w:w="193"/>
              <w:gridCol w:w="242"/>
              <w:gridCol w:w="746"/>
              <w:gridCol w:w="647"/>
              <w:gridCol w:w="589"/>
              <w:gridCol w:w="242"/>
              <w:gridCol w:w="318"/>
              <w:gridCol w:w="0"/>
            </w:tblGrid>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品目号</w:t>
                  </w:r>
                </w:p>
              </w:tc>
              <w:tc>
                <w:tcPr>
                  <w:tcW w:type="dxa" w:w="2466"/>
                  <w:gridSpan w:val="5"/>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描述</w:t>
                  </w:r>
                </w:p>
              </w:tc>
              <w:tc>
                <w:tcPr>
                  <w:tcW w:type="dxa" w:w="318"/>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数量和单位</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1-1</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FF0000"/>
                    </w:rPr>
                    <w:t>室外全彩显示屏（</w:t>
                  </w:r>
                  <w:r>
                    <w:rPr>
                      <w:rFonts w:ascii="仿宋_GB2312" w:hAnsi="仿宋_GB2312" w:cs="仿宋_GB2312" w:eastAsia="仿宋_GB2312"/>
                      <w:sz w:val="24"/>
                      <w:color w:val="FF0000"/>
                    </w:rPr>
                    <w:t>P10户外LED全彩显示屏，像素点为：10000点/㎡，点间距为10mm，</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14.75㎡</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1-2</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控制系统（</w:t>
                  </w:r>
                  <w:r>
                    <w:rPr>
                      <w:rFonts w:ascii="仿宋_GB2312" w:hAnsi="仿宋_GB2312" w:cs="仿宋_GB2312" w:eastAsia="仿宋_GB2312"/>
                      <w:sz w:val="24"/>
                      <w:color w:val="FF0000"/>
                    </w:rPr>
                    <w:t>LED控制软件及控制卡）</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1套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1-3</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控制电源（</w:t>
                  </w:r>
                  <w:r>
                    <w:rPr>
                      <w:rFonts w:ascii="仿宋_GB2312" w:hAnsi="仿宋_GB2312" w:cs="仿宋_GB2312" w:eastAsia="仿宋_GB2312"/>
                      <w:sz w:val="24"/>
                      <w:color w:val="FF0000"/>
                    </w:rPr>
                    <w:t>LED显示屏专用电源，5V40A开关电源，将220V电源转换成5V为LED显示屏供电）</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84台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1-4</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结构（</w:t>
                  </w:r>
                  <w:r>
                    <w:rPr>
                      <w:rFonts w:ascii="仿宋_GB2312" w:hAnsi="仿宋_GB2312" w:cs="仿宋_GB2312" w:eastAsia="仿宋_GB2312"/>
                      <w:sz w:val="24"/>
                      <w:color w:val="FF0000"/>
                    </w:rPr>
                    <w:t>LED显示屏固定结构，国标钢材，铝合金边框，龙骨，方管）</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1套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1-5</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视频处理器（</w:t>
                  </w:r>
                  <w:r>
                    <w:rPr>
                      <w:rFonts w:ascii="仿宋_GB2312" w:hAnsi="仿宋_GB2312" w:cs="仿宋_GB2312" w:eastAsia="仿宋_GB2312"/>
                      <w:sz w:val="24"/>
                      <w:color w:val="FF0000"/>
                    </w:rPr>
                    <w:t>LED显示屏画面处理设备）</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1台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1-6</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音响功放（音频播放设备）</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1套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1-7</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电脑（</w:t>
                  </w:r>
                  <w:r>
                    <w:rPr>
                      <w:rFonts w:ascii="仿宋_GB2312" w:hAnsi="仿宋_GB2312" w:cs="仿宋_GB2312" w:eastAsia="仿宋_GB2312"/>
                      <w:sz w:val="24"/>
                      <w:color w:val="FF0000"/>
                    </w:rPr>
                    <w:t>LED显示屏控制电脑）</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1台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1-8</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配电柜（</w:t>
                  </w:r>
                  <w:r>
                    <w:rPr>
                      <w:rFonts w:ascii="仿宋_GB2312" w:hAnsi="仿宋_GB2312" w:cs="仿宋_GB2312" w:eastAsia="仿宋_GB2312"/>
                      <w:sz w:val="24"/>
                      <w:color w:val="FF0000"/>
                    </w:rPr>
                    <w:t>30KW智能配电柜，含OBO避雷器）</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1台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2-1</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FF0000"/>
                    </w:rPr>
                    <w:t>室内全彩（</w:t>
                  </w:r>
                  <w:r>
                    <w:rPr>
                      <w:rFonts w:ascii="仿宋_GB2312" w:hAnsi="仿宋_GB2312" w:cs="仿宋_GB2312" w:eastAsia="仿宋_GB2312"/>
                      <w:sz w:val="24"/>
                      <w:color w:val="FF0000"/>
                    </w:rPr>
                    <w:t>P4室内LED全彩显示屏，像素点为：62500点/㎡，点间距为4mm，整屏亮度为≥2800cd/㎡，使用寿命≥100000小时）</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13.1㎡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2-2</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控制系统（</w:t>
                  </w:r>
                  <w:r>
                    <w:rPr>
                      <w:rFonts w:ascii="仿宋_GB2312" w:hAnsi="仿宋_GB2312" w:cs="仿宋_GB2312" w:eastAsia="仿宋_GB2312"/>
                      <w:sz w:val="24"/>
                      <w:color w:val="FF0000"/>
                    </w:rPr>
                    <w:t>LED控制软件及控制卡）</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1套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2-3</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控制电源（</w:t>
                  </w:r>
                  <w:r>
                    <w:rPr>
                      <w:rFonts w:ascii="仿宋_GB2312" w:hAnsi="仿宋_GB2312" w:cs="仿宋_GB2312" w:eastAsia="仿宋_GB2312"/>
                      <w:sz w:val="24"/>
                      <w:color w:val="FF0000"/>
                    </w:rPr>
                    <w:t>LED显示屏专用电源，5V40A开关电源，将220V电源转换成5V为LED显示屏供电）</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67台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2-4</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结构（</w:t>
                  </w:r>
                  <w:r>
                    <w:rPr>
                      <w:rFonts w:ascii="仿宋_GB2312" w:hAnsi="仿宋_GB2312" w:cs="仿宋_GB2312" w:eastAsia="仿宋_GB2312"/>
                      <w:sz w:val="24"/>
                      <w:color w:val="FF0000"/>
                    </w:rPr>
                    <w:t>LED显示屏固定结构，国标钢材，铝合金边框，龙骨，方管）</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1套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2-5</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视频处理器（</w:t>
                  </w:r>
                  <w:r>
                    <w:rPr>
                      <w:rFonts w:ascii="仿宋_GB2312" w:hAnsi="仿宋_GB2312" w:cs="仿宋_GB2312" w:eastAsia="仿宋_GB2312"/>
                      <w:sz w:val="24"/>
                      <w:color w:val="FF0000"/>
                    </w:rPr>
                    <w:t>LED显示屏画面处理设备）</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1台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2-6</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音响功放（音频播放设备）</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1台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2-7</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电脑（</w:t>
                  </w:r>
                  <w:r>
                    <w:rPr>
                      <w:rFonts w:ascii="仿宋_GB2312" w:hAnsi="仿宋_GB2312" w:cs="仿宋_GB2312" w:eastAsia="仿宋_GB2312"/>
                      <w:sz w:val="24"/>
                      <w:color w:val="FF0000"/>
                    </w:rPr>
                    <w:t>LED显示屏控制电脑）</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1台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2-8</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配电柜（</w:t>
                  </w:r>
                  <w:r>
                    <w:rPr>
                      <w:rFonts w:ascii="仿宋_GB2312" w:hAnsi="仿宋_GB2312" w:cs="仿宋_GB2312" w:eastAsia="仿宋_GB2312"/>
                      <w:sz w:val="24"/>
                      <w:color w:val="FF0000"/>
                    </w:rPr>
                    <w:t>20KW智能配电柜，含OBO避雷器）</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1台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3-1</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室内全彩（</w:t>
                  </w:r>
                  <w:r>
                    <w:rPr>
                      <w:rFonts w:ascii="仿宋_GB2312" w:hAnsi="仿宋_GB2312" w:cs="仿宋_GB2312" w:eastAsia="仿宋_GB2312"/>
                      <w:sz w:val="24"/>
                      <w:color w:val="FF0000"/>
                    </w:rPr>
                    <w:t>P4室内LED全彩显示屏，像素点为：62500点/㎡，点间距为4mm，整屏亮度为≥2800cd/㎡，使用寿命≥100000小时）</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6.4㎡</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3-2</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控制系统（</w:t>
                  </w:r>
                  <w:r>
                    <w:rPr>
                      <w:rFonts w:ascii="仿宋_GB2312" w:hAnsi="仿宋_GB2312" w:cs="仿宋_GB2312" w:eastAsia="仿宋_GB2312"/>
                      <w:sz w:val="24"/>
                      <w:color w:val="FF0000"/>
                    </w:rPr>
                    <w:t>LED控制软件及控制卡）</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1套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3-3</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控制电源（</w:t>
                  </w:r>
                  <w:r>
                    <w:rPr>
                      <w:rFonts w:ascii="仿宋_GB2312" w:hAnsi="仿宋_GB2312" w:cs="仿宋_GB2312" w:eastAsia="仿宋_GB2312"/>
                      <w:sz w:val="24"/>
                      <w:color w:val="FF0000"/>
                    </w:rPr>
                    <w:t>LED显示屏专用电源，5V40A开关电源，将220V电源转换成5V为LED显示屏供电）</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33台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3-4</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结构（</w:t>
                  </w:r>
                  <w:r>
                    <w:rPr>
                      <w:rFonts w:ascii="仿宋_GB2312" w:hAnsi="仿宋_GB2312" w:cs="仿宋_GB2312" w:eastAsia="仿宋_GB2312"/>
                      <w:sz w:val="24"/>
                      <w:color w:val="FF0000"/>
                    </w:rPr>
                    <w:t>LED显示屏固定结构，国标钢材，铝合金边框，龙骨，方管）</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1套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3-5</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音响功放（音频播放设备）</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1套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3-6</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电脑（</w:t>
                  </w:r>
                  <w:r>
                    <w:rPr>
                      <w:rFonts w:ascii="仿宋_GB2312" w:hAnsi="仿宋_GB2312" w:cs="仿宋_GB2312" w:eastAsia="仿宋_GB2312"/>
                      <w:sz w:val="24"/>
                      <w:color w:val="FF0000"/>
                    </w:rPr>
                    <w:t>LED显示屏控制电脑）</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1台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3-7</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配电柜（</w:t>
                  </w:r>
                  <w:r>
                    <w:rPr>
                      <w:rFonts w:ascii="仿宋_GB2312" w:hAnsi="仿宋_GB2312" w:cs="仿宋_GB2312" w:eastAsia="仿宋_GB2312"/>
                      <w:sz w:val="24"/>
                      <w:color w:val="FF0000"/>
                    </w:rPr>
                    <w:t>15KW智能配电柜，含OBO避雷器）</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1台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4-1</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室内全彩（</w:t>
                  </w:r>
                  <w:r>
                    <w:rPr>
                      <w:rFonts w:ascii="仿宋_GB2312" w:hAnsi="仿宋_GB2312" w:cs="仿宋_GB2312" w:eastAsia="仿宋_GB2312"/>
                      <w:sz w:val="24"/>
                      <w:color w:val="FF0000"/>
                    </w:rPr>
                    <w:t>P4室内LED全彩显示屏，像素点为：62500点/㎡，点间距为4mm，整屏亮度为≥2800cd/㎡，使用寿命≥100000小时）</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6.4㎡</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4-2</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控制系统（</w:t>
                  </w:r>
                  <w:r>
                    <w:rPr>
                      <w:rFonts w:ascii="仿宋_GB2312" w:hAnsi="仿宋_GB2312" w:cs="仿宋_GB2312" w:eastAsia="仿宋_GB2312"/>
                      <w:sz w:val="24"/>
                      <w:color w:val="FF0000"/>
                    </w:rPr>
                    <w:t>LED控制软件及控制卡）</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1套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4-3</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控制电源（</w:t>
                  </w:r>
                  <w:r>
                    <w:rPr>
                      <w:rFonts w:ascii="仿宋_GB2312" w:hAnsi="仿宋_GB2312" w:cs="仿宋_GB2312" w:eastAsia="仿宋_GB2312"/>
                      <w:sz w:val="24"/>
                      <w:color w:val="FF0000"/>
                    </w:rPr>
                    <w:t>LED显示屏专用电源，5V40A开关电源，将220V电源转换成5V为LED显示屏供电）</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33台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4-4</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结构（</w:t>
                  </w:r>
                  <w:r>
                    <w:rPr>
                      <w:rFonts w:ascii="仿宋_GB2312" w:hAnsi="仿宋_GB2312" w:cs="仿宋_GB2312" w:eastAsia="仿宋_GB2312"/>
                      <w:sz w:val="24"/>
                      <w:color w:val="FF0000"/>
                    </w:rPr>
                    <w:t>LED显示屏固定结构，国标钢材，铝合金边框，龙骨，方管）</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1套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4-5</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音响功放（音频播放设备）</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1套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4-6</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电脑（</w:t>
                  </w:r>
                  <w:r>
                    <w:rPr>
                      <w:rFonts w:ascii="仿宋_GB2312" w:hAnsi="仿宋_GB2312" w:cs="仿宋_GB2312" w:eastAsia="仿宋_GB2312"/>
                      <w:sz w:val="24"/>
                      <w:color w:val="FF0000"/>
                    </w:rPr>
                    <w:t>LED显示屏控制电脑）</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1台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4-7</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配电柜（</w:t>
                  </w:r>
                  <w:r>
                    <w:rPr>
                      <w:rFonts w:ascii="仿宋_GB2312" w:hAnsi="仿宋_GB2312" w:cs="仿宋_GB2312" w:eastAsia="仿宋_GB2312"/>
                      <w:sz w:val="24"/>
                      <w:color w:val="FF0000"/>
                    </w:rPr>
                    <w:t>15KW智能配电柜，含OBO避雷器）</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1台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5-1</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FF0000"/>
                    </w:rPr>
                    <w:t>室内单色显示屏（室内</w:t>
                  </w:r>
                  <w:r>
                    <w:rPr>
                      <w:rFonts w:ascii="仿宋_GB2312" w:hAnsi="仿宋_GB2312" w:cs="仿宋_GB2312" w:eastAsia="仿宋_GB2312"/>
                      <w:sz w:val="24"/>
                      <w:color w:val="FF0000"/>
                    </w:rPr>
                    <w:t>3.75单色LED显示屏</w:t>
                  </w:r>
                </w:p>
                <w:p>
                  <w:pPr>
                    <w:pStyle w:val="null3"/>
                    <w:jc w:val="both"/>
                  </w:pPr>
                  <w:r>
                    <w:rPr>
                      <w:rFonts w:ascii="仿宋_GB2312" w:hAnsi="仿宋_GB2312" w:cs="仿宋_GB2312" w:eastAsia="仿宋_GB2312"/>
                      <w:sz w:val="24"/>
                      <w:color w:val="FF0000"/>
                    </w:rPr>
                    <w:t>，像素点为：</w:t>
                  </w:r>
                  <w:r>
                    <w:rPr>
                      <w:rFonts w:ascii="仿宋_GB2312" w:hAnsi="仿宋_GB2312" w:cs="仿宋_GB2312" w:eastAsia="仿宋_GB2312"/>
                      <w:sz w:val="24"/>
                      <w:color w:val="FF0000"/>
                    </w:rPr>
                    <w:t>44321点/㎡，点间距为4.75mm，</w:t>
                  </w:r>
                </w:p>
                <w:p>
                  <w:pPr>
                    <w:pStyle w:val="null3"/>
                    <w:spacing w:before="120" w:after="120"/>
                    <w:jc w:val="center"/>
                  </w:pPr>
                  <w:r>
                    <w:rPr>
                      <w:rFonts w:ascii="仿宋_GB2312" w:hAnsi="仿宋_GB2312" w:cs="仿宋_GB2312" w:eastAsia="仿宋_GB2312"/>
                      <w:sz w:val="24"/>
                      <w:color w:val="FF0000"/>
                    </w:rPr>
                    <w:t>整屏亮度为</w:t>
                  </w:r>
                  <w:r>
                    <w:rPr>
                      <w:rFonts w:ascii="仿宋_GB2312" w:hAnsi="仿宋_GB2312" w:cs="仿宋_GB2312" w:eastAsia="仿宋_GB2312"/>
                      <w:sz w:val="24"/>
                      <w:color w:val="FF0000"/>
                    </w:rPr>
                    <w:t>≥1500cd/㎡，使用寿命≥100000小时。）</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0.8㎡</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5-2</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控制系统（</w:t>
                  </w:r>
                  <w:r>
                    <w:rPr>
                      <w:rFonts w:ascii="仿宋_GB2312" w:hAnsi="仿宋_GB2312" w:cs="仿宋_GB2312" w:eastAsia="仿宋_GB2312"/>
                      <w:sz w:val="24"/>
                      <w:color w:val="FF0000"/>
                    </w:rPr>
                    <w:t>LED控制软件及控制卡）</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1套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5-3</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控制电源（</w:t>
                  </w:r>
                  <w:r>
                    <w:rPr>
                      <w:rFonts w:ascii="仿宋_GB2312" w:hAnsi="仿宋_GB2312" w:cs="仿宋_GB2312" w:eastAsia="仿宋_GB2312"/>
                      <w:sz w:val="24"/>
                      <w:color w:val="FF0000"/>
                    </w:rPr>
                    <w:t>LED显示屏专用电源，5V40A开关电源，将220V电源转换成5V为LED显示屏供电）</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8台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5-4</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结构（</w:t>
                  </w:r>
                  <w:r>
                    <w:rPr>
                      <w:rFonts w:ascii="仿宋_GB2312" w:hAnsi="仿宋_GB2312" w:cs="仿宋_GB2312" w:eastAsia="仿宋_GB2312"/>
                      <w:sz w:val="24"/>
                      <w:color w:val="FF0000"/>
                    </w:rPr>
                    <w:t>LED显示屏固定结构，国标钢材，铝合金边框，龙骨，方管）</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1套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386"/>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6-1</w:t>
                  </w:r>
                </w:p>
              </w:tc>
              <w:tc>
                <w:tcPr>
                  <w:tcW w:type="dxa" w:w="24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FF0000"/>
                    </w:rPr>
                    <w:t>触摸一体机（</w:t>
                  </w:r>
                  <w:r>
                    <w:rPr>
                      <w:rFonts w:ascii="仿宋_GB2312" w:hAnsi="仿宋_GB2312" w:cs="仿宋_GB2312" w:eastAsia="仿宋_GB2312"/>
                      <w:sz w:val="24"/>
                      <w:color w:val="FF0000"/>
                    </w:rPr>
                    <w:t>55寸触摸一体机，最大分辨率为：1920*1080，亮度≥450cd/㎡，使用寿命大于80000小时。）</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1"/>
                      <w:color w:val="FF0000"/>
                    </w:rPr>
                    <w:t>1台</w:t>
                  </w:r>
                </w:p>
              </w:tc>
              <w:tc>
                <w:tcPr>
                  <w:tcW w:type="dxa" w:w="0"/>
                  <w:tcBorders>
                    <w:top w:val="none" w:color="000000" w:sz="4"/>
                    <w:left w:val="none" w:color="000000" w:sz="4"/>
                    <w:bottom w:val="singl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170"/>
                  <w:gridSpan w:val="1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b/>
                      <w:color w:val="FF0000"/>
                    </w:rPr>
                    <w:t>（一）</w:t>
                  </w:r>
                  <w:r>
                    <w:rPr>
                      <w:rFonts w:ascii="仿宋_GB2312" w:hAnsi="仿宋_GB2312" w:cs="仿宋_GB2312" w:eastAsia="仿宋_GB2312"/>
                      <w:sz w:val="22"/>
                      <w:b/>
                      <w:color w:val="FF0000"/>
                    </w:rPr>
                    <w:t>DLP大屏幕精密维护</w:t>
                  </w:r>
                </w:p>
                <w:p>
                  <w:pPr>
                    <w:pStyle w:val="null3"/>
                    <w:jc w:val="both"/>
                  </w:pPr>
                  <w:r>
                    <w:rPr>
                      <w:rFonts w:ascii="仿宋_GB2312" w:hAnsi="仿宋_GB2312" w:cs="仿宋_GB2312" w:eastAsia="仿宋_GB2312"/>
                      <w:sz w:val="22"/>
                      <w:b/>
                      <w:color w:val="FF0000"/>
                    </w:rPr>
                    <w:t>（二）系统定期升级服务</w:t>
                  </w:r>
                </w:p>
                <w:p>
                  <w:pPr>
                    <w:pStyle w:val="null3"/>
                    <w:jc w:val="both"/>
                  </w:pPr>
                  <w:r>
                    <w:rPr>
                      <w:rFonts w:ascii="仿宋_GB2312" w:hAnsi="仿宋_GB2312" w:cs="仿宋_GB2312" w:eastAsia="仿宋_GB2312"/>
                      <w:sz w:val="22"/>
                      <w:b/>
                      <w:color w:val="FF0000"/>
                    </w:rPr>
                    <w:t>（三）年度运行分析维护服务</w:t>
                  </w:r>
                </w:p>
                <w:p>
                  <w:pPr>
                    <w:pStyle w:val="null3"/>
                    <w:jc w:val="both"/>
                  </w:pPr>
                  <w:r>
                    <w:rPr>
                      <w:rFonts w:ascii="仿宋_GB2312" w:hAnsi="仿宋_GB2312" w:cs="仿宋_GB2312" w:eastAsia="仿宋_GB2312"/>
                      <w:sz w:val="22"/>
                      <w:b/>
                      <w:color w:val="FF0000"/>
                    </w:rPr>
                    <w:t>（四）关键业务驻场支持服务</w:t>
                  </w:r>
                </w:p>
                <w:p>
                  <w:pPr>
                    <w:pStyle w:val="null3"/>
                    <w:jc w:val="both"/>
                  </w:pPr>
                  <w:r>
                    <w:rPr>
                      <w:rFonts w:ascii="仿宋_GB2312" w:hAnsi="仿宋_GB2312" w:cs="仿宋_GB2312" w:eastAsia="仿宋_GB2312"/>
                      <w:sz w:val="22"/>
                      <w:b/>
                      <w:color w:val="FF0000"/>
                    </w:rPr>
                    <w:t>（五）故障快速修复服务（不含易损件</w:t>
                  </w:r>
                  <w:r>
                    <w:rPr>
                      <w:rFonts w:ascii="仿宋_GB2312" w:hAnsi="仿宋_GB2312" w:cs="仿宋_GB2312" w:eastAsia="仿宋_GB2312"/>
                      <w:sz w:val="22"/>
                      <w:b/>
                      <w:color w:val="FF0000"/>
                    </w:rPr>
                    <w:t>LED光源)</w:t>
                  </w:r>
                </w:p>
              </w:tc>
            </w:tr>
            <w:tr>
              <w:tc>
                <w:tcPr>
                  <w:tcW w:type="dxa" w:w="193"/>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b/>
                      <w:color w:val="FF0000"/>
                    </w:rPr>
                    <w:t>序号</w:t>
                  </w:r>
                </w:p>
              </w:tc>
              <w:tc>
                <w:tcPr>
                  <w:tcW w:type="dxa" w:w="435"/>
                  <w:gridSpan w:val="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4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b/>
                      <w:color w:val="FF0000"/>
                    </w:rPr>
                    <w:t>名称</w:t>
                  </w:r>
                </w:p>
              </w:tc>
              <w:tc>
                <w:tcPr>
                  <w:tcW w:type="dxa" w:w="64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b/>
                      <w:color w:val="FF0000"/>
                    </w:rPr>
                    <w:t>型号</w:t>
                  </w:r>
                </w:p>
              </w:tc>
              <w:tc>
                <w:tcPr>
                  <w:tcW w:type="dxa" w:w="5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b/>
                      <w:color w:val="FF0000"/>
                    </w:rPr>
                    <w:t>品牌</w:t>
                  </w:r>
                </w:p>
              </w:tc>
              <w:tc>
                <w:tcPr>
                  <w:tcW w:type="dxa" w:w="560"/>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b/>
                      <w:color w:val="FF0000"/>
                    </w:rPr>
                    <w:t>数量</w:t>
                  </w:r>
                </w:p>
              </w:tc>
            </w:tr>
            <w:tr>
              <w:tc>
                <w:tcPr>
                  <w:tcW w:type="dxa" w:w="193"/>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1</w:t>
                  </w:r>
                </w:p>
              </w:tc>
              <w:tc>
                <w:tcPr>
                  <w:tcW w:type="dxa" w:w="435"/>
                  <w:gridSpan w:val="2"/>
                  <w:vMerge w:val="restart"/>
                  <w:tcBorders>
                    <w:top w:val="none" w:color="000000" w:sz="4"/>
                    <w:left w:val="none" w:color="000000" w:sz="4"/>
                    <w:bottom w:val="single" w:color="000000" w:sz="28"/>
                    <w:right w:val="single" w:color="000000" w:sz="4"/>
                  </w:tcBorders>
                  <w:tcMar>
                    <w:top w:type="dxa" w:w="15"/>
                    <w:left w:type="dxa" w:w="15"/>
                    <w:bottom w:type="dxa" w:w="0"/>
                    <w:right w:type="dxa" w:w="15"/>
                  </w:tcMar>
                  <w:vAlign w:val="top"/>
                </w:tcPr>
                <w:p>
                  <w:pPr>
                    <w:pStyle w:val="null3"/>
                    <w:ind w:firstLine="240"/>
                    <w:jc w:val="left"/>
                  </w:pPr>
                  <w:r>
                    <w:rPr>
                      <w:rFonts w:ascii="仿宋_GB2312" w:hAnsi="仿宋_GB2312" w:cs="仿宋_GB2312" w:eastAsia="仿宋_GB2312"/>
                      <w:sz w:val="24"/>
                      <w:color w:val="FF0000"/>
                    </w:rPr>
                    <w:t>大屏</w:t>
                  </w:r>
                </w:p>
                <w:p>
                  <w:pPr>
                    <w:pStyle w:val="null3"/>
                    <w:ind w:firstLine="240"/>
                    <w:jc w:val="left"/>
                  </w:pPr>
                  <w:r>
                    <w:rPr>
                      <w:rFonts w:ascii="仿宋_GB2312" w:hAnsi="仿宋_GB2312" w:cs="仿宋_GB2312" w:eastAsia="仿宋_GB2312"/>
                      <w:sz w:val="24"/>
                      <w:color w:val="FF0000"/>
                    </w:rPr>
                    <w:t>部分</w:t>
                  </w:r>
                </w:p>
              </w:tc>
              <w:tc>
                <w:tcPr>
                  <w:tcW w:type="dxa" w:w="7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DLP大屏幕系统年保维护</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DS-D1050EL</w:t>
                  </w:r>
                </w:p>
              </w:tc>
              <w:tc>
                <w:tcPr>
                  <w:tcW w:type="dxa" w:w="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海康</w:t>
                  </w:r>
                </w:p>
              </w:tc>
              <w:tc>
                <w:tcPr>
                  <w:tcW w:type="dxa" w:w="560"/>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18</w:t>
                  </w:r>
                </w:p>
              </w:tc>
            </w:tr>
            <w:tr>
              <w:tc>
                <w:tcPr>
                  <w:tcW w:type="dxa" w:w="193"/>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2</w:t>
                  </w:r>
                </w:p>
              </w:tc>
              <w:tc>
                <w:tcPr>
                  <w:tcW w:type="dxa" w:w="435"/>
                  <w:gridSpan w:val="2"/>
                  <w:vMerge/>
                  <w:tcBorders>
                    <w:top w:val="none" w:color="000000" w:sz="4"/>
                    <w:left w:val="none" w:color="000000" w:sz="4"/>
                    <w:bottom w:val="single" w:color="000000" w:sz="28"/>
                    <w:right w:val="single" w:color="000000" w:sz="4"/>
                  </w:tcBorders>
                </w:tcPr>
                <w:p/>
              </w:tc>
              <w:tc>
                <w:tcPr>
                  <w:tcW w:type="dxa" w:w="7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LED点灯板</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1*3</w:t>
                  </w:r>
                </w:p>
              </w:tc>
              <w:tc>
                <w:tcPr>
                  <w:tcW w:type="dxa" w:w="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欧司朗</w:t>
                  </w:r>
                </w:p>
              </w:tc>
              <w:tc>
                <w:tcPr>
                  <w:tcW w:type="dxa" w:w="560"/>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4</w:t>
                  </w:r>
                </w:p>
              </w:tc>
            </w:tr>
            <w:tr>
              <w:tc>
                <w:tcPr>
                  <w:tcW w:type="dxa" w:w="193"/>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3</w:t>
                  </w:r>
                </w:p>
              </w:tc>
              <w:tc>
                <w:tcPr>
                  <w:tcW w:type="dxa" w:w="435"/>
                  <w:gridSpan w:val="2"/>
                  <w:vMerge/>
                  <w:tcBorders>
                    <w:top w:val="none" w:color="000000" w:sz="4"/>
                    <w:left w:val="none" w:color="000000" w:sz="4"/>
                    <w:bottom w:val="single" w:color="000000" w:sz="28"/>
                    <w:right w:val="single" w:color="000000" w:sz="4"/>
                  </w:tcBorders>
                </w:tcPr>
                <w:p/>
              </w:tc>
              <w:tc>
                <w:tcPr>
                  <w:tcW w:type="dxa" w:w="7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机芯主电源</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DS-D1050EL</w:t>
                  </w:r>
                </w:p>
              </w:tc>
              <w:tc>
                <w:tcPr>
                  <w:tcW w:type="dxa" w:w="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海康</w:t>
                  </w:r>
                </w:p>
              </w:tc>
              <w:tc>
                <w:tcPr>
                  <w:tcW w:type="dxa" w:w="560"/>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2</w:t>
                  </w:r>
                </w:p>
              </w:tc>
            </w:tr>
            <w:tr>
              <w:tc>
                <w:tcPr>
                  <w:tcW w:type="dxa" w:w="193"/>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4</w:t>
                  </w:r>
                </w:p>
              </w:tc>
              <w:tc>
                <w:tcPr>
                  <w:tcW w:type="dxa" w:w="435"/>
                  <w:gridSpan w:val="2"/>
                  <w:vMerge/>
                  <w:tcBorders>
                    <w:top w:val="none" w:color="000000" w:sz="4"/>
                    <w:left w:val="none" w:color="000000" w:sz="4"/>
                    <w:bottom w:val="single" w:color="000000" w:sz="28"/>
                    <w:right w:val="single" w:color="000000" w:sz="4"/>
                  </w:tcBorders>
                </w:tcPr>
                <w:p/>
              </w:tc>
              <w:tc>
                <w:tcPr>
                  <w:tcW w:type="dxa" w:w="7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DMD驱动板</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DS-D1050EL</w:t>
                  </w:r>
                </w:p>
              </w:tc>
              <w:tc>
                <w:tcPr>
                  <w:tcW w:type="dxa" w:w="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海康</w:t>
                  </w:r>
                </w:p>
              </w:tc>
              <w:tc>
                <w:tcPr>
                  <w:tcW w:type="dxa" w:w="560"/>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1</w:t>
                  </w:r>
                </w:p>
              </w:tc>
            </w:tr>
            <w:tr>
              <w:tc>
                <w:tcPr>
                  <w:tcW w:type="dxa" w:w="193"/>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5</w:t>
                  </w:r>
                </w:p>
              </w:tc>
              <w:tc>
                <w:tcPr>
                  <w:tcW w:type="dxa" w:w="435"/>
                  <w:gridSpan w:val="2"/>
                  <w:vMerge/>
                  <w:tcBorders>
                    <w:top w:val="none" w:color="000000" w:sz="4"/>
                    <w:left w:val="none" w:color="000000" w:sz="4"/>
                    <w:bottom w:val="single" w:color="000000" w:sz="28"/>
                    <w:right w:val="single" w:color="000000" w:sz="4"/>
                  </w:tcBorders>
                </w:tcPr>
                <w:p/>
              </w:tc>
              <w:tc>
                <w:tcPr>
                  <w:tcW w:type="dxa" w:w="7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DMD芯片</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DS-D1050EL</w:t>
                  </w:r>
                </w:p>
              </w:tc>
              <w:tc>
                <w:tcPr>
                  <w:tcW w:type="dxa" w:w="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海康</w:t>
                  </w:r>
                </w:p>
              </w:tc>
              <w:tc>
                <w:tcPr>
                  <w:tcW w:type="dxa" w:w="560"/>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1</w:t>
                  </w:r>
                </w:p>
              </w:tc>
            </w:tr>
            <w:tr>
              <w:tc>
                <w:tcPr>
                  <w:tcW w:type="dxa" w:w="193"/>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6</w:t>
                  </w:r>
                </w:p>
              </w:tc>
              <w:tc>
                <w:tcPr>
                  <w:tcW w:type="dxa" w:w="435"/>
                  <w:gridSpan w:val="2"/>
                  <w:vMerge/>
                  <w:tcBorders>
                    <w:top w:val="none" w:color="000000" w:sz="4"/>
                    <w:left w:val="none" w:color="000000" w:sz="4"/>
                    <w:bottom w:val="single" w:color="000000" w:sz="28"/>
                    <w:right w:val="single" w:color="000000" w:sz="4"/>
                  </w:tcBorders>
                </w:tcPr>
                <w:p/>
              </w:tc>
              <w:tc>
                <w:tcPr>
                  <w:tcW w:type="dxa" w:w="7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透镜</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DS-D1050EL</w:t>
                  </w:r>
                </w:p>
              </w:tc>
              <w:tc>
                <w:tcPr>
                  <w:tcW w:type="dxa" w:w="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海康</w:t>
                  </w:r>
                </w:p>
              </w:tc>
              <w:tc>
                <w:tcPr>
                  <w:tcW w:type="dxa" w:w="560"/>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18</w:t>
                  </w:r>
                </w:p>
              </w:tc>
            </w:tr>
            <w:tr>
              <w:tc>
                <w:tcPr>
                  <w:tcW w:type="dxa" w:w="193"/>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7</w:t>
                  </w:r>
                </w:p>
              </w:tc>
              <w:tc>
                <w:tcPr>
                  <w:tcW w:type="dxa" w:w="435"/>
                  <w:gridSpan w:val="2"/>
                  <w:vMerge/>
                  <w:tcBorders>
                    <w:top w:val="none" w:color="000000" w:sz="4"/>
                    <w:left w:val="none" w:color="000000" w:sz="4"/>
                    <w:bottom w:val="single" w:color="000000" w:sz="28"/>
                    <w:right w:val="single" w:color="000000" w:sz="4"/>
                  </w:tcBorders>
                </w:tcPr>
                <w:p/>
              </w:tc>
              <w:tc>
                <w:tcPr>
                  <w:tcW w:type="dxa" w:w="7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控制盒信号处理板</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DS-D1050EL</w:t>
                  </w:r>
                </w:p>
              </w:tc>
              <w:tc>
                <w:tcPr>
                  <w:tcW w:type="dxa" w:w="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海康</w:t>
                  </w:r>
                </w:p>
              </w:tc>
              <w:tc>
                <w:tcPr>
                  <w:tcW w:type="dxa" w:w="560"/>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2</w:t>
                  </w:r>
                </w:p>
              </w:tc>
            </w:tr>
            <w:tr>
              <w:tc>
                <w:tcPr>
                  <w:tcW w:type="dxa" w:w="193"/>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8</w:t>
                  </w:r>
                </w:p>
              </w:tc>
              <w:tc>
                <w:tcPr>
                  <w:tcW w:type="dxa" w:w="43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电脑控制及办公单元</w:t>
                  </w:r>
                </w:p>
              </w:tc>
              <w:tc>
                <w:tcPr>
                  <w:tcW w:type="dxa" w:w="7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电脑主机</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酷睿</w:t>
                  </w:r>
                </w:p>
              </w:tc>
              <w:tc>
                <w:tcPr>
                  <w:tcW w:type="dxa" w:w="560"/>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26</w:t>
                  </w:r>
                </w:p>
              </w:tc>
            </w:tr>
            <w:tr>
              <w:tc>
                <w:tcPr>
                  <w:tcW w:type="dxa" w:w="193"/>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9</w:t>
                  </w:r>
                </w:p>
              </w:tc>
              <w:tc>
                <w:tcPr>
                  <w:tcW w:type="dxa" w:w="43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控制会议系统单元单元</w:t>
                  </w:r>
                </w:p>
              </w:tc>
              <w:tc>
                <w:tcPr>
                  <w:tcW w:type="dxa" w:w="7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音频</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SVS</w:t>
                  </w:r>
                </w:p>
              </w:tc>
              <w:tc>
                <w:tcPr>
                  <w:tcW w:type="dxa" w:w="560"/>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FF0000"/>
                    </w:rPr>
                    <w:t>1套</w:t>
                  </w:r>
                </w:p>
              </w:tc>
            </w:tr>
          </w:tbl>
          <w:p>
            <w:pPr>
              <w:pStyle w:val="null3"/>
              <w:jc w:val="both"/>
            </w:pPr>
            <w:r>
              <w:rPr>
                <w:rFonts w:ascii="仿宋_GB2312" w:hAnsi="仿宋_GB2312" w:cs="仿宋_GB2312" w:eastAsia="仿宋_GB2312"/>
                <w:sz w:val="24"/>
                <w:b/>
                <w:color w:val="FF0000"/>
              </w:rPr>
              <w:t>技术要求</w:t>
            </w:r>
          </w:p>
          <w:p>
            <w:pPr>
              <w:pStyle w:val="null3"/>
              <w:ind w:firstLine="480"/>
              <w:jc w:val="both"/>
            </w:pPr>
            <w:r>
              <w:rPr>
                <w:rFonts w:ascii="仿宋_GB2312" w:hAnsi="仿宋_GB2312" w:cs="仿宋_GB2312" w:eastAsia="仿宋_GB2312"/>
                <w:sz w:val="24"/>
                <w:color w:val="FF0000"/>
              </w:rPr>
              <w:t>（一）问题处理服务</w:t>
            </w:r>
          </w:p>
          <w:p>
            <w:pPr>
              <w:pStyle w:val="null3"/>
              <w:ind w:firstLine="480"/>
              <w:jc w:val="both"/>
            </w:pPr>
            <w:r>
              <w:rPr>
                <w:rFonts w:ascii="仿宋_GB2312" w:hAnsi="仿宋_GB2312" w:cs="仿宋_GB2312" w:eastAsia="仿宋_GB2312"/>
                <w:sz w:val="24"/>
                <w:color w:val="FF0000"/>
              </w:rPr>
              <w:t>对故障现象进行技术分析，结合大屏幕显示系统基础设施配置、工作原理与连线图纸等技术资料，准确定位问题故障点、找到解决故障的有效方案。</w:t>
            </w:r>
          </w:p>
          <w:p>
            <w:pPr>
              <w:pStyle w:val="null3"/>
              <w:ind w:firstLine="480"/>
              <w:jc w:val="both"/>
            </w:pPr>
            <w:r>
              <w:rPr>
                <w:rFonts w:ascii="仿宋_GB2312" w:hAnsi="仿宋_GB2312" w:cs="仿宋_GB2312" w:eastAsia="仿宋_GB2312"/>
                <w:sz w:val="24"/>
                <w:color w:val="FF0000"/>
              </w:rPr>
              <w:t>提供</w:t>
            </w:r>
            <w:r>
              <w:rPr>
                <w:rFonts w:ascii="仿宋_GB2312" w:hAnsi="仿宋_GB2312" w:cs="仿宋_GB2312" w:eastAsia="仿宋_GB2312"/>
                <w:sz w:val="24"/>
                <w:color w:val="FF0000"/>
              </w:rPr>
              <w:t>7×12小时（每周7天，每天12小时）呼叫中心客户服务热线服务，接到用户提供的详细问题故障现象和信息后，提出解决故障的方案和预计解决时间。</w:t>
            </w:r>
          </w:p>
          <w:p>
            <w:pPr>
              <w:pStyle w:val="null3"/>
              <w:ind w:firstLine="480"/>
              <w:jc w:val="both"/>
            </w:pPr>
            <w:r>
              <w:rPr>
                <w:rFonts w:ascii="仿宋_GB2312" w:hAnsi="仿宋_GB2312" w:cs="仿宋_GB2312" w:eastAsia="仿宋_GB2312"/>
                <w:sz w:val="24"/>
                <w:color w:val="FF0000"/>
              </w:rPr>
              <w:t>响应时间：</w:t>
            </w:r>
            <w:r>
              <w:rPr>
                <w:rFonts w:ascii="仿宋_GB2312" w:hAnsi="仿宋_GB2312" w:cs="仿宋_GB2312" w:eastAsia="仿宋_GB2312"/>
                <w:sz w:val="24"/>
                <w:color w:val="FF0000"/>
              </w:rPr>
              <w:t>2小时内响应。</w:t>
            </w:r>
          </w:p>
          <w:p>
            <w:pPr>
              <w:pStyle w:val="null3"/>
              <w:ind w:firstLine="480"/>
              <w:jc w:val="both"/>
            </w:pPr>
            <w:r>
              <w:rPr>
                <w:rFonts w:ascii="仿宋_GB2312" w:hAnsi="仿宋_GB2312" w:cs="仿宋_GB2312" w:eastAsia="仿宋_GB2312"/>
                <w:sz w:val="24"/>
                <w:color w:val="FF0000"/>
              </w:rPr>
              <w:t>优先通过电话指导、远程技术支持、远程分析判断进行快速问题处理。</w:t>
            </w:r>
          </w:p>
          <w:p>
            <w:pPr>
              <w:pStyle w:val="null3"/>
              <w:ind w:firstLine="480"/>
              <w:jc w:val="both"/>
            </w:pPr>
            <w:r>
              <w:rPr>
                <w:rFonts w:ascii="仿宋_GB2312" w:hAnsi="仿宋_GB2312" w:cs="仿宋_GB2312" w:eastAsia="仿宋_GB2312"/>
                <w:sz w:val="24"/>
                <w:color w:val="FF0000"/>
              </w:rPr>
              <w:t>必要时，及时派出服务工程师快速到达现场，检查系统设施和处理故障，实施解决故障的有效方案，恢复大屏幕显示系统正常运行。</w:t>
            </w:r>
          </w:p>
          <w:p>
            <w:pPr>
              <w:pStyle w:val="null3"/>
              <w:ind w:firstLine="480"/>
              <w:jc w:val="both"/>
            </w:pPr>
            <w:r>
              <w:rPr>
                <w:rFonts w:ascii="仿宋_GB2312" w:hAnsi="仿宋_GB2312" w:cs="仿宋_GB2312" w:eastAsia="仿宋_GB2312"/>
                <w:sz w:val="24"/>
                <w:color w:val="FF0000"/>
              </w:rPr>
              <w:t>现场服务时间：</w:t>
            </w:r>
            <w:r>
              <w:rPr>
                <w:rFonts w:ascii="仿宋_GB2312" w:hAnsi="仿宋_GB2312" w:cs="仿宋_GB2312" w:eastAsia="仿宋_GB2312"/>
                <w:sz w:val="24"/>
                <w:color w:val="FF0000"/>
              </w:rPr>
              <w:t>7x12小时</w:t>
            </w:r>
          </w:p>
          <w:p>
            <w:pPr>
              <w:pStyle w:val="null3"/>
              <w:ind w:firstLine="480"/>
              <w:jc w:val="both"/>
            </w:pPr>
            <w:r>
              <w:rPr>
                <w:rFonts w:ascii="仿宋_GB2312" w:hAnsi="仿宋_GB2312" w:cs="仿宋_GB2312" w:eastAsia="仿宋_GB2312"/>
                <w:sz w:val="24"/>
                <w:color w:val="FF0000"/>
              </w:rPr>
              <w:t>到达现场时间：</w:t>
            </w:r>
            <w:r>
              <w:rPr>
                <w:rFonts w:ascii="仿宋_GB2312" w:hAnsi="仿宋_GB2312" w:cs="仿宋_GB2312" w:eastAsia="仿宋_GB2312"/>
                <w:sz w:val="24"/>
                <w:color w:val="FF0000"/>
              </w:rPr>
              <w:t>4小时内</w:t>
            </w:r>
          </w:p>
          <w:p>
            <w:pPr>
              <w:pStyle w:val="null3"/>
              <w:ind w:firstLine="480"/>
              <w:jc w:val="both"/>
            </w:pPr>
            <w:r>
              <w:rPr>
                <w:rFonts w:ascii="仿宋_GB2312" w:hAnsi="仿宋_GB2312" w:cs="仿宋_GB2312" w:eastAsia="仿宋_GB2312"/>
                <w:sz w:val="24"/>
                <w:color w:val="FF0000"/>
              </w:rPr>
              <w:t>一般故障排除时间：现场服务</w:t>
            </w:r>
            <w:r>
              <w:rPr>
                <w:rFonts w:ascii="仿宋_GB2312" w:hAnsi="仿宋_GB2312" w:cs="仿宋_GB2312" w:eastAsia="仿宋_GB2312"/>
                <w:sz w:val="24"/>
                <w:color w:val="FF0000"/>
              </w:rPr>
              <w:t>4小时内。（备件需返厂除外）</w:t>
            </w:r>
          </w:p>
          <w:p>
            <w:pPr>
              <w:pStyle w:val="null3"/>
              <w:ind w:firstLine="480"/>
              <w:jc w:val="both"/>
            </w:pPr>
            <w:r>
              <w:rPr>
                <w:rFonts w:ascii="仿宋_GB2312" w:hAnsi="仿宋_GB2312" w:cs="仿宋_GB2312" w:eastAsia="仿宋_GB2312"/>
                <w:sz w:val="24"/>
                <w:color w:val="FF0000"/>
              </w:rPr>
              <w:t>（二）设备返厂维修服务</w:t>
            </w:r>
          </w:p>
          <w:p>
            <w:pPr>
              <w:pStyle w:val="null3"/>
              <w:ind w:firstLine="480"/>
              <w:jc w:val="both"/>
            </w:pPr>
            <w:r>
              <w:rPr>
                <w:rFonts w:ascii="仿宋_GB2312" w:hAnsi="仿宋_GB2312" w:cs="仿宋_GB2312" w:eastAsia="仿宋_GB2312"/>
                <w:sz w:val="24"/>
                <w:color w:val="FF0000"/>
              </w:rPr>
              <w:t>现场更换的设备或故障件返回原厂处理，由原厂工程师使用专用仪器、原厂配件，按照运维商检测、维护处理流程，对故障件进行检查、维护处理、老化、测试，保证处理后的性能有效恢复。</w:t>
            </w:r>
          </w:p>
          <w:p>
            <w:pPr>
              <w:pStyle w:val="null3"/>
              <w:ind w:firstLine="480"/>
              <w:jc w:val="both"/>
            </w:pPr>
            <w:r>
              <w:rPr>
                <w:rFonts w:ascii="仿宋_GB2312" w:hAnsi="仿宋_GB2312" w:cs="仿宋_GB2312" w:eastAsia="仿宋_GB2312"/>
                <w:sz w:val="24"/>
                <w:color w:val="FF0000"/>
              </w:rPr>
              <w:t>（三）备件替换服务</w:t>
            </w:r>
          </w:p>
          <w:p>
            <w:pPr>
              <w:pStyle w:val="null3"/>
              <w:ind w:firstLine="480"/>
              <w:jc w:val="both"/>
            </w:pPr>
            <w:r>
              <w:rPr>
                <w:rFonts w:ascii="仿宋_GB2312" w:hAnsi="仿宋_GB2312" w:cs="仿宋_GB2312" w:eastAsia="仿宋_GB2312"/>
                <w:sz w:val="24"/>
                <w:color w:val="FF0000"/>
              </w:rPr>
              <w:t>甲方购买的原厂备件，由甲方自行保管。当系统有故障发生时，由工程师提供现场更换服务，为确保客户现场备件及时储备，更换下来的故障件直接由运维商替换成良品件。避免故障件返厂处理期间客户备件的空窗期，故障件由运维商回收处理。</w:t>
            </w:r>
          </w:p>
          <w:p>
            <w:pPr>
              <w:pStyle w:val="null3"/>
              <w:ind w:firstLine="480"/>
              <w:jc w:val="both"/>
            </w:pPr>
            <w:r>
              <w:rPr>
                <w:rFonts w:ascii="仿宋_GB2312" w:hAnsi="仿宋_GB2312" w:cs="仿宋_GB2312" w:eastAsia="仿宋_GB2312"/>
                <w:sz w:val="24"/>
                <w:color w:val="FF0000"/>
              </w:rPr>
              <w:t>（四）巡检服务</w:t>
            </w:r>
          </w:p>
          <w:p>
            <w:pPr>
              <w:pStyle w:val="null3"/>
              <w:ind w:firstLine="480"/>
              <w:jc w:val="both"/>
            </w:pPr>
            <w:r>
              <w:rPr>
                <w:rFonts w:ascii="仿宋_GB2312" w:hAnsi="仿宋_GB2312" w:cs="仿宋_GB2312" w:eastAsia="仿宋_GB2312"/>
                <w:sz w:val="24"/>
                <w:color w:val="FF0000"/>
              </w:rPr>
              <w:t>为保证系统的长期稳定、高效运行，结合系统使用情况，现场进行有计划的、定期的、主动的、预防性的、全面的综合评估。及时获知系统运行状态，发现和消除故障隐患，减少问题发生的概率</w:t>
            </w:r>
            <w:r>
              <w:rPr>
                <w:rFonts w:ascii="仿宋_GB2312" w:hAnsi="仿宋_GB2312" w:cs="仿宋_GB2312" w:eastAsia="仿宋_GB2312"/>
                <w:sz w:val="24"/>
                <w:color w:val="FF0000"/>
              </w:rPr>
              <w:t>, 制定每季度一次的巡检服务计划。</w:t>
            </w:r>
          </w:p>
          <w:p>
            <w:pPr>
              <w:pStyle w:val="null3"/>
              <w:ind w:firstLine="480"/>
              <w:jc w:val="both"/>
            </w:pPr>
            <w:r>
              <w:rPr>
                <w:rFonts w:ascii="仿宋_GB2312" w:hAnsi="仿宋_GB2312" w:cs="仿宋_GB2312" w:eastAsia="仿宋_GB2312"/>
                <w:sz w:val="24"/>
                <w:color w:val="FF0000"/>
              </w:rPr>
              <w:t>巡检服务包括：</w:t>
            </w:r>
          </w:p>
          <w:p>
            <w:pPr>
              <w:pStyle w:val="null3"/>
              <w:ind w:firstLine="480"/>
              <w:jc w:val="both"/>
            </w:pPr>
            <w:r>
              <w:rPr>
                <w:rFonts w:ascii="仿宋_GB2312" w:hAnsi="仿宋_GB2312" w:cs="仿宋_GB2312" w:eastAsia="仿宋_GB2312"/>
                <w:sz w:val="24"/>
                <w:color w:val="FF0000"/>
              </w:rPr>
              <w:t>显示系统软件运行情况检测、调试、维护；</w:t>
            </w:r>
          </w:p>
          <w:p>
            <w:pPr>
              <w:pStyle w:val="null3"/>
              <w:ind w:firstLine="480"/>
              <w:jc w:val="both"/>
            </w:pPr>
            <w:r>
              <w:rPr>
                <w:rFonts w:ascii="仿宋_GB2312" w:hAnsi="仿宋_GB2312" w:cs="仿宋_GB2312" w:eastAsia="仿宋_GB2312"/>
                <w:sz w:val="24"/>
                <w:color w:val="FF0000"/>
              </w:rPr>
              <w:t>音频系统运行情况检测、调试、维护；</w:t>
            </w:r>
          </w:p>
          <w:p>
            <w:pPr>
              <w:pStyle w:val="null3"/>
              <w:ind w:firstLine="480"/>
              <w:jc w:val="both"/>
            </w:pPr>
            <w:r>
              <w:rPr>
                <w:rFonts w:ascii="仿宋_GB2312" w:hAnsi="仿宋_GB2312" w:cs="仿宋_GB2312" w:eastAsia="仿宋_GB2312"/>
                <w:sz w:val="24"/>
                <w:color w:val="FF0000"/>
              </w:rPr>
              <w:t>大屏瞎点、亮条、偏色检测；</w:t>
            </w:r>
          </w:p>
          <w:p>
            <w:pPr>
              <w:pStyle w:val="null3"/>
              <w:ind w:firstLine="480"/>
              <w:jc w:val="both"/>
            </w:pPr>
            <w:r>
              <w:rPr>
                <w:rFonts w:ascii="仿宋_GB2312" w:hAnsi="仿宋_GB2312" w:cs="仿宋_GB2312" w:eastAsia="仿宋_GB2312"/>
                <w:sz w:val="24"/>
                <w:color w:val="FF0000"/>
              </w:rPr>
              <w:t>各种信号</w:t>
            </w:r>
            <w:r>
              <w:rPr>
                <w:rFonts w:ascii="仿宋_GB2312" w:hAnsi="仿宋_GB2312" w:cs="仿宋_GB2312" w:eastAsia="仿宋_GB2312"/>
                <w:sz w:val="24"/>
                <w:color w:val="FF0000"/>
              </w:rPr>
              <w:t>(视频、电脑、高清、多屏处理器)运行检测、调试；</w:t>
            </w:r>
          </w:p>
          <w:p>
            <w:pPr>
              <w:pStyle w:val="null3"/>
              <w:ind w:firstLine="480"/>
              <w:jc w:val="both"/>
            </w:pPr>
            <w:r>
              <w:rPr>
                <w:rFonts w:ascii="仿宋_GB2312" w:hAnsi="仿宋_GB2312" w:cs="仿宋_GB2312" w:eastAsia="仿宋_GB2312"/>
                <w:sz w:val="24"/>
                <w:color w:val="FF0000"/>
              </w:rPr>
              <w:t>数据安全（备份数据检测）；</w:t>
            </w:r>
          </w:p>
          <w:p>
            <w:pPr>
              <w:pStyle w:val="null3"/>
              <w:ind w:firstLine="480"/>
              <w:jc w:val="both"/>
            </w:pPr>
            <w:r>
              <w:rPr>
                <w:rFonts w:ascii="仿宋_GB2312" w:hAnsi="仿宋_GB2312" w:cs="仿宋_GB2312" w:eastAsia="仿宋_GB2312"/>
                <w:sz w:val="24"/>
                <w:color w:val="FF0000"/>
              </w:rPr>
              <w:t>显示系统运行情况综合分析；</w:t>
            </w:r>
          </w:p>
          <w:p>
            <w:pPr>
              <w:pStyle w:val="null3"/>
              <w:ind w:firstLine="480"/>
              <w:jc w:val="both"/>
            </w:pPr>
            <w:r>
              <w:rPr>
                <w:rFonts w:ascii="仿宋_GB2312" w:hAnsi="仿宋_GB2312" w:cs="仿宋_GB2312" w:eastAsia="仿宋_GB2312"/>
                <w:sz w:val="24"/>
                <w:color w:val="FF0000"/>
              </w:rPr>
              <w:t>音频系统运行情况综合分析；</w:t>
            </w:r>
          </w:p>
          <w:p>
            <w:pPr>
              <w:pStyle w:val="null3"/>
              <w:ind w:firstLine="480"/>
              <w:jc w:val="both"/>
            </w:pPr>
            <w:r>
              <w:rPr>
                <w:rFonts w:ascii="仿宋_GB2312" w:hAnsi="仿宋_GB2312" w:cs="仿宋_GB2312" w:eastAsia="仿宋_GB2312"/>
                <w:sz w:val="24"/>
                <w:color w:val="FF0000"/>
              </w:rPr>
              <w:t>监控室电脑及其他硬件设施检测；</w:t>
            </w:r>
          </w:p>
          <w:p>
            <w:pPr>
              <w:pStyle w:val="null3"/>
              <w:ind w:firstLine="480"/>
              <w:jc w:val="both"/>
            </w:pPr>
            <w:r>
              <w:rPr>
                <w:rFonts w:ascii="仿宋_GB2312" w:hAnsi="仿宋_GB2312" w:cs="仿宋_GB2312" w:eastAsia="仿宋_GB2312"/>
                <w:sz w:val="24"/>
                <w:color w:val="FF0000"/>
              </w:rPr>
              <w:t>巡检记录及建议。</w:t>
            </w:r>
          </w:p>
          <w:p>
            <w:pPr>
              <w:pStyle w:val="null3"/>
              <w:jc w:val="both"/>
            </w:pPr>
            <w:r>
              <w:rPr>
                <w:rFonts w:ascii="仿宋_GB2312" w:hAnsi="仿宋_GB2312" w:cs="仿宋_GB2312" w:eastAsia="仿宋_GB2312"/>
                <w:sz w:val="24"/>
                <w:b/>
                <w:color w:val="FF0000"/>
              </w:rPr>
              <w:t>服务要求</w:t>
            </w:r>
          </w:p>
          <w:p>
            <w:pPr>
              <w:pStyle w:val="null3"/>
              <w:ind w:firstLine="480"/>
              <w:jc w:val="both"/>
            </w:pPr>
            <w:r>
              <w:rPr>
                <w:rFonts w:ascii="仿宋_GB2312" w:hAnsi="仿宋_GB2312" w:cs="仿宋_GB2312" w:eastAsia="仿宋_GB2312"/>
                <w:sz w:val="24"/>
                <w:color w:val="FF0000"/>
              </w:rPr>
              <w:t>在用户重要活动期间，提供现场技术保障的服务，保证监控室整体的运行功能正常、性能优良。</w:t>
            </w:r>
          </w:p>
          <w:p>
            <w:pPr>
              <w:pStyle w:val="null3"/>
              <w:ind w:firstLine="480"/>
              <w:jc w:val="both"/>
            </w:pPr>
            <w:r>
              <w:rPr>
                <w:rFonts w:ascii="仿宋_GB2312" w:hAnsi="仿宋_GB2312" w:cs="仿宋_GB2312" w:eastAsia="仿宋_GB2312"/>
                <w:sz w:val="24"/>
                <w:color w:val="FF0000"/>
              </w:rPr>
              <w:t>当用户有重大活动需要运维商保障，用户只须提前</w:t>
            </w:r>
            <w:r>
              <w:rPr>
                <w:rFonts w:ascii="仿宋_GB2312" w:hAnsi="仿宋_GB2312" w:cs="仿宋_GB2312" w:eastAsia="仿宋_GB2312"/>
                <w:sz w:val="24"/>
                <w:color w:val="FF0000"/>
              </w:rPr>
              <w:t>48小时通知，运维商安排有经验的服务工程师负责。</w:t>
            </w:r>
          </w:p>
          <w:p>
            <w:pPr>
              <w:pStyle w:val="null3"/>
            </w:pPr>
            <w:r>
              <w:rPr>
                <w:rFonts w:ascii="仿宋_GB2312" w:hAnsi="仿宋_GB2312" w:cs="仿宋_GB2312" w:eastAsia="仿宋_GB2312"/>
                <w:sz w:val="24"/>
                <w:color w:val="FF0000"/>
              </w:rPr>
              <w:t>服务工程师提前到达现场，对显示系统音频进行全面检测、调试，消除故障隐患。</w:t>
            </w: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运维服务周期1年，具体服务期以合同签订为准。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详见甲乙双方签订合同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进度款，服务期满后，依据绩效考核办法进行验收，验收完成后15个工作日内向供应商支付剩余应付的合同款。，达到付款条件起15个工作日内，支付合同总金额的70.0%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2.未按合同要求提供服务质量不能满足技术要求，采购人有权终止合同，并对成交供应商违约行为进行追究，同时按《中华人民共和国政府采购法》的有关规定进行处罚。3.具体内容详见甲乙双方签订合同。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1、本项目所属行业为：软件和信息技术服务业。（按照《工信部 国家统计局 发改委 财政部 工信部联企业》中小企业划型标准（〔2011〕300号）规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2、成交供应商在领取成交通知书时须提供跟开标时上传的电子响应文件一致的纸质版响应文件一正一副用于备案。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本项目需要落实的政府采购政策</w:t>
            </w:r>
          </w:p>
        </w:tc>
        <w:tc>
          <w:tcPr>
            <w:tcW w:type="dxa" w:w="3322"/>
          </w:tcPr>
          <w:p>
            <w:pPr>
              <w:pStyle w:val="null3"/>
            </w:pPr>
            <w:r>
              <w:rPr>
                <w:rFonts w:ascii="仿宋_GB2312" w:hAnsi="仿宋_GB2312" w:cs="仿宋_GB2312" w:eastAsia="仿宋_GB2312"/>
              </w:rPr>
              <w:t>（1）国务院办公厅《关于建立政府强制采购节能产品制度的通知》（国办发〔2007〕51号）；《财政部 发展改革委 生态环境部 市场监管总局关于调整优化节能产品、环境标志产品政府采购执行机制的通知》（财库〔2019〕9号）；《商品包装政府采购需求标准（试行）》和《快递包装政府采购需求标准（试行）》（财办库〔2020〕123号）； （2）《政府采购促进中小企业发展管理办法》（财库〔2020〕46号）；《关于进一步加大政府采购支持中小企业力度的通知》（财库〔2022〕19号）；《陕西省财政厅关于落实政府采购支持中小企业政策有关事项的通知》（陕财办采〔2022〕10号）；《陕西省财政厅关于进一步落实政府采购支持中小企业相关政策的通知》（陕财办采〔2023〕3号）； （3）《关于政府采购支持监狱企业发展有关问题的通知》（财库〔2014〕68号）；《关于促进残疾人就业政府采购政策的通知》（财库〔2017〕141号）；《财政部 农业农村部 国家乡村振兴局关于运用政府采购政策支持乡村产业振兴的通知》（财库〔2021〕19 号）；《关于印发&lt;关于深入开展政府采购脱贫地区农副产品工作推进乡村产业振兴的实施意见&gt;的通知》（财库〔2021〕20号）；《关于进一步加强政府绿色采购有关问题的通知》（陕财办采〔2021〕29号）； （4）《陕西省中小企业政府采购信用融资办法》（陕财办采〔2018〕23号）；《陕西省财政厅关于加快推进我省中小企业政府采购信用融资工作的通知》（陕财办采〔2020〕15号）；《陕西省财政厅、中国人民银行西安分行关于深入推进政府采购信用融资业务的通知》（陕财办采〔2023〕5号）； （5）《关于在政府采购活动中查询及使用信用记录有关问题的通知》（财库〔2016〕125号）； （6）《国务院办公厅关于在政府采购中实施本国产品标准及相关政策的通知 》（国办发〔2025〕34号）； （7）《关于推动解决政府采购异常低价问题的通知》（财库〔2026〕2号）； （8）其他需要落实的政府采购政策。</w:t>
            </w:r>
          </w:p>
        </w:tc>
        <w:tc>
          <w:tcPr>
            <w:tcW w:type="dxa" w:w="1661"/>
          </w:tcPr>
          <w:p>
            <w:pPr>
              <w:pStyle w:val="null3"/>
            </w:pPr>
            <w:r>
              <w:rPr>
                <w:rFonts w:ascii="仿宋_GB2312" w:hAnsi="仿宋_GB2312" w:cs="仿宋_GB2312" w:eastAsia="仿宋_GB2312"/>
              </w:rPr>
              <w:t>供应商需要加以说明的其他内容.docx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法定代表人证明及授权书</w:t>
            </w:r>
          </w:p>
        </w:tc>
        <w:tc>
          <w:tcPr>
            <w:tcW w:type="dxa" w:w="3322"/>
          </w:tcPr>
          <w:p>
            <w:pPr>
              <w:pStyle w:val="null3"/>
            </w:pPr>
            <w:r>
              <w:rPr>
                <w:rFonts w:ascii="仿宋_GB2312" w:hAnsi="仿宋_GB2312" w:cs="仿宋_GB2312" w:eastAsia="仿宋_GB2312"/>
              </w:rPr>
              <w:t>法定代表人直接投标须提交法定代表人证明书，法定代表人授权代表参加投标的，须出具法定代表人证明书及授权书、授权代表本单位的证明（提供有效的养老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 供应商身份证明.docx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审计报告</w:t>
            </w:r>
          </w:p>
        </w:tc>
        <w:tc>
          <w:tcPr>
            <w:tcW w:type="dxa" w:w="3322"/>
          </w:tcPr>
          <w:p>
            <w:pPr>
              <w:pStyle w:val="null3"/>
            </w:pPr>
            <w:r>
              <w:rPr>
                <w:rFonts w:ascii="仿宋_GB2312" w:hAnsi="仿宋_GB2312" w:cs="仿宋_GB2312" w:eastAsia="仿宋_GB2312"/>
              </w:rPr>
              <w:t>供应商须提供2024或2025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投标截止时间前半年内任意一个月的税收缴纳凭证（注：依法免税或零申报的供应商须提供相关文件证明，若为新成立企业可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投标截止时间前半年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被列入失信被执行人、重大税收违法案件当事人名单，不得为中国政府采购网（www.ccgp.gov.cn）政府采购严重违法失信行为记录名单中被财政部门禁止参加政府采购活动的供应商（不强制要求供应商提供查询截图，以磋商当日网上查询结果为评审依据）；</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财库〔2020〕46号）条件的中小微型企业参与，供应商应填写中小企业声明函并对真实性负责（残疾人福利性单位及监狱企业视同为小型、微型企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磋商响应文件中项目名称、项目编号与本项目一致，无遗漏。</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磋商响应文件签署、盖章及磋商有效期符合磋商文件要求。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磋商报价符合唯一性要求</w:t>
            </w:r>
          </w:p>
        </w:tc>
        <w:tc>
          <w:tcPr>
            <w:tcW w:type="dxa" w:w="3322"/>
          </w:tcPr>
          <w:p>
            <w:pPr>
              <w:pStyle w:val="null3"/>
            </w:pPr>
            <w:r>
              <w:rPr>
                <w:rFonts w:ascii="仿宋_GB2312" w:hAnsi="仿宋_GB2312" w:cs="仿宋_GB2312" w:eastAsia="仿宋_GB2312"/>
              </w:rPr>
              <w:t>磋商报价符合唯一性要求；磋商报价未超出采购预算或采购最高限价。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磋商内容与要求</w:t>
            </w:r>
          </w:p>
        </w:tc>
        <w:tc>
          <w:tcPr>
            <w:tcW w:type="dxa" w:w="3322"/>
          </w:tcPr>
          <w:p>
            <w:pPr>
              <w:pStyle w:val="null3"/>
            </w:pPr>
            <w:r>
              <w:rPr>
                <w:rFonts w:ascii="仿宋_GB2312" w:hAnsi="仿宋_GB2312" w:cs="仿宋_GB2312" w:eastAsia="仿宋_GB2312"/>
              </w:rPr>
              <w:t>磋商内容未出现漏项；数量与要求相符。</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响应服务的技术指标</w:t>
            </w:r>
          </w:p>
        </w:tc>
        <w:tc>
          <w:tcPr>
            <w:tcW w:type="dxa" w:w="3322"/>
          </w:tcPr>
          <w:p>
            <w:pPr>
              <w:pStyle w:val="null3"/>
            </w:pPr>
            <w:r>
              <w:rPr>
                <w:rFonts w:ascii="仿宋_GB2312" w:hAnsi="仿宋_GB2312" w:cs="仿宋_GB2312" w:eastAsia="仿宋_GB2312"/>
              </w:rPr>
              <w:t>响应服务的技术指标无重大偏离，未造成服务档次降低或严重影响服务质量。</w:t>
            </w:r>
          </w:p>
        </w:tc>
        <w:tc>
          <w:tcPr>
            <w:tcW w:type="dxa" w:w="1661"/>
          </w:tcPr>
          <w:p>
            <w:pPr>
              <w:pStyle w:val="null3"/>
            </w:pPr>
            <w:r>
              <w:rPr>
                <w:rFonts w:ascii="仿宋_GB2312" w:hAnsi="仿宋_GB2312" w:cs="仿宋_GB2312" w:eastAsia="仿宋_GB2312"/>
              </w:rPr>
              <w:t>响应文件封面 服务方案</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“无效磋商”的情形及未实质性响应磋商文件的情况</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供应商承诺书.docx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项目重点难点分析、应对措施及相关的合理化建议</w:t>
            </w:r>
          </w:p>
        </w:tc>
        <w:tc>
          <w:tcPr>
            <w:tcW w:type="dxa" w:w="2492"/>
          </w:tcPr>
          <w:p>
            <w:pPr>
              <w:pStyle w:val="null3"/>
            </w:pPr>
            <w:r>
              <w:rPr>
                <w:rFonts w:ascii="仿宋_GB2312" w:hAnsi="仿宋_GB2312" w:cs="仿宋_GB2312" w:eastAsia="仿宋_GB2312"/>
              </w:rPr>
              <w:t>供应商针对本项目重点难点分析、应对措施及相关的合理化建议，给出具体思路和方案： a.内容完整、分析合理、应对措施科学合理，合理化建议针对性强计10分； b.内容较完整、分析较全面、应对措施基本合理、合理化建议针对性一般计8分； c.内容不够完整、分析不够全面、应对措施不够科学合理、合理化建议针对性不强计5分； d.内容简单有缺项，应对措施不合理，可操作性一般、无针对性计2分； e.无此项方案的计0分。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响应方案-项目重点难点分析、应对措施及相关的合理化建议.docx</w:t>
            </w:r>
          </w:p>
        </w:tc>
      </w:tr>
      <w:tr>
        <w:tc>
          <w:tcPr>
            <w:tcW w:type="dxa" w:w="831"/>
            <w:vMerge/>
          </w:tcP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供应商针对本项目提供运维服务方案，包含但不限于：1.对项目服务需求、背景的理解； 2.识别项目服务内容，针对本项目服务要求提供实施计划； 3.明确管理架构及分工服务体系等： a.服务方案全面、内容细致，需求理解透彻，运维流程合理，贴合本项目实际需求的计10分； b.服务方案较全面、内容较细致，运维流程较合理，较贴合本项目实际需求的计8分； c.服务方案基本全面、内容基本细致，或运维流程基本合理，基本贴合本项目实际需求的计5分； d.服务方案欠全面、内容欠细致，或运维流程欠合理，贴合本项目实际需求不好的计2分。 e.无服务方案的计0分。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响应方案-运维服务方案.docx</w:t>
            </w:r>
          </w:p>
        </w:tc>
      </w:tr>
      <w:tr>
        <w:tc>
          <w:tcPr>
            <w:tcW w:type="dxa" w:w="831"/>
            <w:vMerge/>
          </w:tcPr>
          <w:p/>
        </w:tc>
        <w:tc>
          <w:tcPr>
            <w:tcW w:type="dxa" w:w="1661"/>
          </w:tcPr>
          <w:p>
            <w:pPr>
              <w:pStyle w:val="null3"/>
            </w:pPr>
            <w:r>
              <w:rPr>
                <w:rFonts w:ascii="仿宋_GB2312" w:hAnsi="仿宋_GB2312" w:cs="仿宋_GB2312" w:eastAsia="仿宋_GB2312"/>
              </w:rPr>
              <w:t>质量保障措施及方案</w:t>
            </w:r>
          </w:p>
        </w:tc>
        <w:tc>
          <w:tcPr>
            <w:tcW w:type="dxa" w:w="2492"/>
          </w:tcPr>
          <w:p>
            <w:pPr>
              <w:pStyle w:val="null3"/>
            </w:pPr>
            <w:r>
              <w:rPr>
                <w:rFonts w:ascii="仿宋_GB2312" w:hAnsi="仿宋_GB2312" w:cs="仿宋_GB2312" w:eastAsia="仿宋_GB2312"/>
              </w:rPr>
              <w:t>供应商针对本项目提供质量保障措施及方案：包含但不限于1.项目质量管理制度；2.项目资料、保证服务人员的稳定、保证服务的质量、成果安全性保障措施等。 a.项目质量管理制度详细，项目资料、保证服务人员的稳定、保证服务的质量、成果安全性保障措施可行性高的计10分； b.项目质量管理制度较详细，项目资料、保证服务人员的稳定、保证服务的质量、成果安全性保障措施可行性较高的计8分； c.项目质量管理制度不够详细，项目资料、保证服务人员的稳定、保证服务的质量、成果安全性保障措施可行性一般的计5分； d.项目质量管理制度简略，项目资料、保证服务人员的稳定、保证服务的质量、成果安全性保障措施可行性差的计2分。 e.无措施及方案的计0分。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响应方案-质量保障措施及方案.docx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供应商针对本项目提供应急措施，包含但不限于响应时间、故障处理、电话支持、远程服务、现场服务、应急处置流程、应急解决方案等。 a.措施全面合理，内容详细，措施完善，完全满足或优于采购要求，得10分； b.措施基本完整，针对性不够强，基本满足项目要求得8分； c.措施不够完整，针对性一般，很难满足项目要求得5分。 d.措施简单笼统，针对性不强，不能满足项目要求得2分。 e.无措施及方案的计0分。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响应方案-应急措施.docx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供应商针对本项目提供拟派项目负责人及项目组成人员，须提供人员清单、职责分工、相关证件、社保或劳动合同、项目负责人简历、经验等）： a.人员配备合理、分工明确、专业技术实力强、项目经理经验丰富，人员证明材料充分完整得10分； b.人员配置较合理、分工较明确、实力较强，项目经理经验丰富，人员证明材料较充分得8分； c.人员配置一般合理、分工一般明确、实力一般，项目经理经验不够丰富，人员证明材料较少得5分； d.人员配置不合理、分工不明确，项目经理经验不足，人员证明材料不足得2分； e.无人员配置，无搭配，只有概述，缺少具体人员信息及证明材料得0分。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响应方案-项目团队.docx</w:t>
            </w:r>
          </w:p>
        </w:tc>
      </w:tr>
      <w:tr>
        <w:tc>
          <w:tcPr>
            <w:tcW w:type="dxa" w:w="831"/>
            <w:vMerge/>
          </w:tcPr>
          <w:p/>
        </w:tc>
        <w:tc>
          <w:tcPr>
            <w:tcW w:type="dxa" w:w="1661"/>
          </w:tcPr>
          <w:p>
            <w:pPr>
              <w:pStyle w:val="null3"/>
            </w:pPr>
            <w:r>
              <w:rPr>
                <w:rFonts w:ascii="仿宋_GB2312" w:hAnsi="仿宋_GB2312" w:cs="仿宋_GB2312" w:eastAsia="仿宋_GB2312"/>
              </w:rPr>
              <w:t>人员资质</w:t>
            </w:r>
          </w:p>
        </w:tc>
        <w:tc>
          <w:tcPr>
            <w:tcW w:type="dxa" w:w="2492"/>
          </w:tcPr>
          <w:p>
            <w:pPr>
              <w:pStyle w:val="null3"/>
            </w:pPr>
            <w:r>
              <w:rPr>
                <w:rFonts w:ascii="仿宋_GB2312" w:hAnsi="仿宋_GB2312" w:cs="仿宋_GB2312" w:eastAsia="仿宋_GB2312"/>
              </w:rPr>
              <w:t>1.项目总负责人具备二级建造师（机电工程）证书，得2分。具备LED显示屏维修资格证书，得2分。本条共计4分。 2.项目组成人员具备高空作业证书，得1分。 3.项目组成人员具备低压电工或以上证书，得1分。 备注：以上提供证明材料复印件，并加盖公章。否则不计分。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响应方案-人员资质.docx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供应商提供针对本项目提供具体的服务承诺，包括但不限于服务质量承诺、保密承诺、应急响应承诺、服务时间、人员配备情况、网络安全、数据安全保障等。 a.服务承诺完整、合理，切实针对本项目实际情况计8分； b.服务承诺不够详细、合理，可行但并不具备借鉴意义计5分。 c.服务承诺简单笼统、有明显漏洞计2分； d.无服务承诺的计0分。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响应方案-服务承诺.docx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供应商针对本项目提供售后服务方案，包括但不限于服务团队、响应时间、响应程度、解决问题能力、紧急故障处理预案及措施等。 a.服务方案详细完整，针对性强，应急保障措施科学合理，能满足项目实施要求计8分； b.服务方案不够完整，针对性不够强，应急保障措施不够科学合理，基本满足项目实施要求计5分。 c.服务方案不完整，针对性不强，应急保障措施简单笼统，不能满足项目实施要求计2分。 d.无售后服务的计0分。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响应方案-售后服务.docx</w:t>
            </w:r>
          </w:p>
        </w:tc>
      </w:tr>
      <w:tr>
        <w:tc>
          <w:tcPr>
            <w:tcW w:type="dxa" w:w="831"/>
            <w:vMerge/>
          </w:tcPr>
          <w:p/>
        </w:tc>
        <w:tc>
          <w:tcPr>
            <w:tcW w:type="dxa" w:w="1661"/>
          </w:tcPr>
          <w:p>
            <w:pPr>
              <w:pStyle w:val="null3"/>
            </w:pPr>
            <w:r>
              <w:rPr>
                <w:rFonts w:ascii="仿宋_GB2312" w:hAnsi="仿宋_GB2312" w:cs="仿宋_GB2312" w:eastAsia="仿宋_GB2312"/>
              </w:rPr>
              <w:t>安全管理措施</w:t>
            </w:r>
          </w:p>
        </w:tc>
        <w:tc>
          <w:tcPr>
            <w:tcW w:type="dxa" w:w="2492"/>
          </w:tcPr>
          <w:p>
            <w:pPr>
              <w:pStyle w:val="null3"/>
            </w:pPr>
            <w:r>
              <w:rPr>
                <w:rFonts w:ascii="仿宋_GB2312" w:hAnsi="仿宋_GB2312" w:cs="仿宋_GB2312" w:eastAsia="仿宋_GB2312"/>
              </w:rPr>
              <w:t>供应商根据本项目服务要求提供安全管理措施包括但不限于安全管理制度、员工安全教育与培训、安全事故处理流程、接触有毒有害物质维修时配备的特殊防护服及专用工具（含劳保用品）等。a.安全管理措施详细完整，针对性强，安全管理措施科学合理，能满足项目实施要求计8分； b.措施方案不够完整，针对性不够强，安全管理措施不够科学合理，基本满足项目实施要求计5分。 c.措施方案不完整，针对性不强，安全管理措施简单笼统，不能满足项目实施要求计2分。 d.无管理措施的计0分。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响应方案-安全管理措施.docx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5月1日至响应截止日类似项目业绩证明，1个有效业绩证明得2分，满分10分，不提供不得分。（业绩时间以合同签订时间为准，提供加盖公章的合同扫描件。能清晰的表明合同双方名称、项目内容和签署日期。）</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采用低价优先法计算，即满足磋商文件要求且最终磋商价格最低的磋商报价为评标基准价，其价格分为满分。 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详见附件：供应商身份证明.docx</w:t>
      </w:r>
    </w:p>
    <w:p>
      <w:pPr>
        <w:pStyle w:val="null3"/>
        <w:ind w:firstLine="960"/>
      </w:pPr>
      <w:r>
        <w:rPr>
          <w:rFonts w:ascii="仿宋_GB2312" w:hAnsi="仿宋_GB2312" w:cs="仿宋_GB2312" w:eastAsia="仿宋_GB2312"/>
        </w:rPr>
        <w:t>详见附件：供应商特定资格证明文件.docx</w:t>
      </w:r>
    </w:p>
    <w:p>
      <w:pPr>
        <w:pStyle w:val="null3"/>
        <w:ind w:firstLine="960"/>
      </w:pPr>
      <w:r>
        <w:rPr>
          <w:rFonts w:ascii="仿宋_GB2312" w:hAnsi="仿宋_GB2312" w:cs="仿宋_GB2312" w:eastAsia="仿宋_GB2312"/>
        </w:rPr>
        <w:t>详见附件：供应商需要加以说明的其他内容.docx</w:t>
      </w:r>
    </w:p>
    <w:p>
      <w:pPr>
        <w:pStyle w:val="null3"/>
        <w:ind w:firstLine="960"/>
      </w:pPr>
      <w:r>
        <w:rPr>
          <w:rFonts w:ascii="仿宋_GB2312" w:hAnsi="仿宋_GB2312" w:cs="仿宋_GB2312" w:eastAsia="仿宋_GB2312"/>
        </w:rPr>
        <w:t>详见附件：响应方案-安全管理措施.docx</w:t>
      </w:r>
    </w:p>
    <w:p>
      <w:pPr>
        <w:pStyle w:val="null3"/>
        <w:ind w:firstLine="960"/>
      </w:pPr>
      <w:r>
        <w:rPr>
          <w:rFonts w:ascii="仿宋_GB2312" w:hAnsi="仿宋_GB2312" w:cs="仿宋_GB2312" w:eastAsia="仿宋_GB2312"/>
        </w:rPr>
        <w:t>详见附件：响应方案-服务承诺.docx</w:t>
      </w:r>
    </w:p>
    <w:p>
      <w:pPr>
        <w:pStyle w:val="null3"/>
        <w:ind w:firstLine="960"/>
      </w:pPr>
      <w:r>
        <w:rPr>
          <w:rFonts w:ascii="仿宋_GB2312" w:hAnsi="仿宋_GB2312" w:cs="仿宋_GB2312" w:eastAsia="仿宋_GB2312"/>
        </w:rPr>
        <w:t>详见附件：响应方案-人员资质.docx</w:t>
      </w:r>
    </w:p>
    <w:p>
      <w:pPr>
        <w:pStyle w:val="null3"/>
        <w:ind w:firstLine="960"/>
      </w:pPr>
      <w:r>
        <w:rPr>
          <w:rFonts w:ascii="仿宋_GB2312" w:hAnsi="仿宋_GB2312" w:cs="仿宋_GB2312" w:eastAsia="仿宋_GB2312"/>
        </w:rPr>
        <w:t>详见附件：响应方案-售后服务.docx</w:t>
      </w:r>
    </w:p>
    <w:p>
      <w:pPr>
        <w:pStyle w:val="null3"/>
        <w:ind w:firstLine="960"/>
      </w:pPr>
      <w:r>
        <w:rPr>
          <w:rFonts w:ascii="仿宋_GB2312" w:hAnsi="仿宋_GB2312" w:cs="仿宋_GB2312" w:eastAsia="仿宋_GB2312"/>
        </w:rPr>
        <w:t>详见附件：响应方案-项目团队.docx</w:t>
      </w:r>
    </w:p>
    <w:p>
      <w:pPr>
        <w:pStyle w:val="null3"/>
        <w:ind w:firstLine="960"/>
      </w:pPr>
      <w:r>
        <w:rPr>
          <w:rFonts w:ascii="仿宋_GB2312" w:hAnsi="仿宋_GB2312" w:cs="仿宋_GB2312" w:eastAsia="仿宋_GB2312"/>
        </w:rPr>
        <w:t>详见附件：响应方案-项目重点难点分析、应对措施及相关的合理化建议.docx</w:t>
      </w:r>
    </w:p>
    <w:p>
      <w:pPr>
        <w:pStyle w:val="null3"/>
        <w:ind w:firstLine="960"/>
      </w:pPr>
      <w:r>
        <w:rPr>
          <w:rFonts w:ascii="仿宋_GB2312" w:hAnsi="仿宋_GB2312" w:cs="仿宋_GB2312" w:eastAsia="仿宋_GB2312"/>
        </w:rPr>
        <w:t>详见附件：响应方案-应急措施.docx</w:t>
      </w:r>
    </w:p>
    <w:p>
      <w:pPr>
        <w:pStyle w:val="null3"/>
        <w:ind w:firstLine="960"/>
      </w:pPr>
      <w:r>
        <w:rPr>
          <w:rFonts w:ascii="仿宋_GB2312" w:hAnsi="仿宋_GB2312" w:cs="仿宋_GB2312" w:eastAsia="仿宋_GB2312"/>
        </w:rPr>
        <w:t>详见附件：响应方案-运维服务方案.docx</w:t>
      </w:r>
    </w:p>
    <w:p>
      <w:pPr>
        <w:pStyle w:val="null3"/>
        <w:ind w:firstLine="960"/>
      </w:pPr>
      <w:r>
        <w:rPr>
          <w:rFonts w:ascii="仿宋_GB2312" w:hAnsi="仿宋_GB2312" w:cs="仿宋_GB2312" w:eastAsia="仿宋_GB2312"/>
        </w:rPr>
        <w:t>详见附件：响应方案-质量保障措施及方案.docx</w:t>
      </w:r>
    </w:p>
    <w:p>
      <w:pPr>
        <w:pStyle w:val="null3"/>
        <w:ind w:firstLine="960"/>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