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57F61">
      <w:pPr>
        <w:pStyle w:val="7"/>
        <w:spacing w:before="0" w:beforeAutospacing="0" w:after="0" w:afterAutospacing="0" w:line="540" w:lineRule="exact"/>
        <w:ind w:firstLine="562" w:firstLineChars="200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甲方：</w:t>
      </w:r>
    </w:p>
    <w:p w14:paraId="560B6311">
      <w:pPr>
        <w:pStyle w:val="7"/>
        <w:spacing w:before="0" w:beforeAutospacing="0" w:after="0" w:afterAutospacing="0" w:line="540" w:lineRule="exact"/>
        <w:ind w:firstLine="562" w:firstLineChars="200"/>
        <w:jc w:val="left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乙方：</w:t>
      </w:r>
    </w:p>
    <w:p w14:paraId="6978E797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甲方通过招标确定乙方为“监控指挥及室内外大屏运维服务项目”供应商。乙方承诺完全按照招标文件中“监控指挥及室内外大屏运维需求框架”要求和乙方关于服务内容的承诺，完全履行中标人合同履行之义务。</w:t>
      </w:r>
    </w:p>
    <w:p w14:paraId="3CDF6BB5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双方根据《中华人民共和国招标投标法》《民法典》及双方招投标文件等，本着诚实履行之原则，签订本合同，以资双方共同遵守。             </w:t>
      </w:r>
    </w:p>
    <w:p w14:paraId="5EBDAC04">
      <w:pPr>
        <w:spacing w:line="540" w:lineRule="exact"/>
        <w:ind w:firstLine="560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一、</w:t>
      </w:r>
      <w:r>
        <w:rPr>
          <w:rFonts w:hint="eastAsia" w:ascii="仿宋_GB2312" w:eastAsia="仿宋_GB2312" w:hAnsiTheme="minorEastAsia"/>
          <w:b/>
          <w:sz w:val="28"/>
          <w:szCs w:val="28"/>
        </w:rPr>
        <w:t>服务内容</w:t>
      </w:r>
    </w:p>
    <w:p w14:paraId="35469341">
      <w:pPr>
        <w:numPr>
          <w:ilvl w:val="255"/>
          <w:numId w:val="0"/>
        </w:num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（一）问题处理服务</w:t>
      </w:r>
    </w:p>
    <w:p w14:paraId="56FB6609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对故障现象进行技术分析，结合大屏幕显示系统基础设施配置、工作原理与连线图纸等技术资料，准确定位问题故障点、找到解决故障的有效方案。</w:t>
      </w:r>
    </w:p>
    <w:p w14:paraId="46BDA1B5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1.提供7×12小时（每周7天，每天12小时）呼叫中心客户服务热线电话，接到用户提供的详细问题故障现象和信息后，提出解决故障的方案和预计解决时间。响应时间：2小时内响应。</w:t>
      </w:r>
    </w:p>
    <w:p w14:paraId="2F44809B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2.优先通过电话指导、远程技术支持、远程分析判断进行快速问题处理。</w:t>
      </w:r>
    </w:p>
    <w:p w14:paraId="0D7AF9FC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3.必要时，及时派出服务工程师快速到达现场，检查系统设施和处理故障，实施解决故障的有效方案，恢复大屏幕显示系统正常运行。</w:t>
      </w:r>
    </w:p>
    <w:p w14:paraId="5269DAB0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现场服务时间：7x12小时</w:t>
      </w:r>
    </w:p>
    <w:p w14:paraId="26DE3414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到达现场时间：4小时内</w:t>
      </w:r>
    </w:p>
    <w:p w14:paraId="6E8FA667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一般故障排除时间：现场服务4小时内。（备件需返厂除外，如遇天气等特殊情况，需向甲方说明原因）</w:t>
      </w:r>
    </w:p>
    <w:p w14:paraId="71901728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（二）设备返厂维修服务</w:t>
      </w:r>
    </w:p>
    <w:p w14:paraId="2BDFCEBB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现场更换的设备或故障件返回原厂处理，由设备方原厂工程师（非乙方）使用专用仪器、原厂配件，按照乙方检测、维护处理流程，对故障件进行检查、维护处理、老化、测试，保证处理后的性能有效恢复。</w:t>
      </w:r>
    </w:p>
    <w:p w14:paraId="20A3CDAD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（三）备件替换服务</w:t>
      </w:r>
    </w:p>
    <w:p w14:paraId="6558CD31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甲方购买的原厂备件，由甲方自行保管。当系统有故障发生时，由工程师提供现场更换服务，为确保甲方现场备件及时储备，更换下来的故障件直接由乙方替换成良品件。避免故障件返厂处理期间甲方备件的空窗期，故障件由乙方回收处理。</w:t>
      </w:r>
    </w:p>
    <w:p w14:paraId="7389638A">
      <w:pPr>
        <w:spacing w:line="540" w:lineRule="exact"/>
        <w:ind w:firstLine="703" w:firstLineChars="25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（四）巡检服务</w:t>
      </w:r>
    </w:p>
    <w:p w14:paraId="27190298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为保证系统的长期稳定、高效运行，结合系统使用情况，现场进行有计划的、定期的、主动的、预防性的、全面的综合评估，乙方每次综合评估后需书面递交甲方，甲方进行及时备案。及时获知系统运行状态，发现和消除故障隐患，减少问题发生的概率, 制定每季度一次的巡检服务计划。</w:t>
      </w:r>
    </w:p>
    <w:p w14:paraId="32F28E23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巡检服务包括：</w:t>
      </w:r>
    </w:p>
    <w:p w14:paraId="1BC35BA0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1)显示系统软件运行情况检测、调试、维护；</w:t>
      </w:r>
    </w:p>
    <w:p w14:paraId="668BB406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2)音频系统运行情况检测、调试、维护；</w:t>
      </w:r>
    </w:p>
    <w:p w14:paraId="74B1D09A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3)大屏瞎点、亮条、偏色检测；</w:t>
      </w:r>
    </w:p>
    <w:p w14:paraId="3C76AE4D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4)各种信号(视频、电脑、高清、多屏处理器)运行检测、调试；</w:t>
      </w:r>
    </w:p>
    <w:p w14:paraId="18CB8388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5)数据安全（备份数据检测）；</w:t>
      </w:r>
    </w:p>
    <w:p w14:paraId="450A3EF7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6)显示系统运行情况综合分析；</w:t>
      </w:r>
    </w:p>
    <w:p w14:paraId="7078752B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7)音频系统运行情况综合分析；</w:t>
      </w:r>
    </w:p>
    <w:p w14:paraId="2F68CD12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8)巡检报告及建议。</w:t>
      </w:r>
    </w:p>
    <w:p w14:paraId="2D8EC75B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（五）技术支持服务</w:t>
      </w:r>
    </w:p>
    <w:p w14:paraId="765580E2">
      <w:pPr>
        <w:spacing w:line="54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ab/>
      </w:r>
      <w:r>
        <w:rPr>
          <w:rFonts w:hint="eastAsia" w:ascii="仿宋_GB2312" w:eastAsia="仿宋_GB2312" w:hAnsiTheme="minorEastAsia"/>
          <w:sz w:val="28"/>
          <w:szCs w:val="28"/>
        </w:rPr>
        <w:t xml:space="preserve"> 根据甲方需求，涉及小范围整改、变更、调整等根据实际情况及时为客户提供相应得技术支撑服务。</w:t>
      </w:r>
    </w:p>
    <w:p w14:paraId="1435144E">
      <w:pPr>
        <w:spacing w:line="54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    1、监控室后面网线接头统一更换为无干扰接头。</w:t>
      </w:r>
    </w:p>
    <w:p w14:paraId="2AF61CEF">
      <w:pPr>
        <w:spacing w:line="540" w:lineRule="exact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 xml:space="preserve">    2、一楼大屏控制接收板卡更换。</w:t>
      </w:r>
    </w:p>
    <w:p w14:paraId="45FE21F8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（六）保障服务</w:t>
      </w:r>
    </w:p>
    <w:p w14:paraId="5514C51B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在甲方重要活动期间，提供现场技术保障的服务，确保大屏的图像和声音正常，保证大屏幕显示系统的运行功能正常、性能优良。</w:t>
      </w:r>
    </w:p>
    <w:p w14:paraId="68A542D7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1、当用户有重大活动需要乙方保障，用户只须提前48小时通知，乙方安排有经验的服务工程师负责。</w:t>
      </w:r>
    </w:p>
    <w:p w14:paraId="734ED141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2、服务工程师提前到达现场，对显示系统音频进行全面检测、调试，消除故障隐患。</w:t>
      </w:r>
    </w:p>
    <w:p w14:paraId="1EE4D249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3、会议保障暂定1年6次，可以累积到会议高峰期，当年超过6次，后面季度的巡检减少1次。若因特殊原因超出免费保障次数，乙方可以继续免费提供现场技术保障的服务。</w:t>
      </w:r>
    </w:p>
    <w:p w14:paraId="11ACB3FD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（七）交付件</w:t>
      </w:r>
    </w:p>
    <w:p w14:paraId="73F2E1EC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维保服务期间，乙方向甲方提交书面《问题分析处理报告》、《巡检报告》、《使用建议书》、《年度总结报告》等，建立完善系统运行维护档案。</w:t>
      </w:r>
    </w:p>
    <w:p w14:paraId="05C969B5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二、服务期限</w:t>
      </w:r>
    </w:p>
    <w:p w14:paraId="010A1E44">
      <w:pPr>
        <w:spacing w:line="540" w:lineRule="exact"/>
        <w:ind w:firstLine="560" w:firstLineChars="200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本合同约定服务期限为：</w:t>
      </w:r>
    </w:p>
    <w:p w14:paraId="38D9BBDA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三、服务价款及支付方式</w:t>
      </w:r>
    </w:p>
    <w:p w14:paraId="5A00EBD9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（一）本合同约定服务价款为</w:t>
      </w:r>
      <w:r>
        <w:rPr>
          <w:rFonts w:hint="eastAsia" w:ascii="仿宋_GB2312" w:eastAsia="仿宋_GB2312" w:hAnsiTheme="minorEastAsia"/>
          <w:bCs/>
          <w:sz w:val="28"/>
          <w:szCs w:val="28"/>
          <w:u w:val="single"/>
        </w:rPr>
        <w:t>：</w:t>
      </w:r>
    </w:p>
    <w:p w14:paraId="34A0DA25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（二）支付方式：</w:t>
      </w:r>
    </w:p>
    <w:p w14:paraId="69655ED5">
      <w:pPr>
        <w:spacing w:line="540" w:lineRule="exact"/>
        <w:ind w:firstLine="420" w:firstLineChars="200"/>
        <w:rPr>
          <w:rFonts w:ascii="仿宋" w:hAnsi="仿宋" w:eastAsia="仿宋" w:cs="仿宋"/>
          <w:color w:val="FF0000"/>
          <w:sz w:val="30"/>
          <w:szCs w:val="30"/>
          <w:highlight w:val="none"/>
          <w:u w:val="single"/>
        </w:rPr>
      </w:pPr>
      <w:r>
        <w:rPr>
          <w:rFonts w:ascii="仿宋_GB2312" w:hAnsi="仿宋_GB2312" w:eastAsia="仿宋_GB2312" w:cs="仿宋_GB2312"/>
          <w:highlight w:val="none"/>
        </w:rPr>
        <w:t>合同签订后15个工作日内，采购人向供应商支付预算总额的30%作为预付款，服务期满后，依据绩效考核办法进行验收，验收完成后15个工作日内向供应商支付剩余应付的合同款。</w:t>
      </w:r>
    </w:p>
    <w:p w14:paraId="04016E93">
      <w:pPr>
        <w:pStyle w:val="3"/>
        <w:spacing w:before="0" w:after="0" w:line="540" w:lineRule="exact"/>
        <w:ind w:firstLine="560" w:firstLineChars="200"/>
        <w:rPr>
          <w:rFonts w:ascii="仿宋_GB2312" w:hAnsi="仿宋_GB2312" w:eastAsia="仿宋_GB2312" w:cs="仿宋_GB2312"/>
          <w:b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sz w:val="28"/>
          <w:szCs w:val="28"/>
        </w:rPr>
        <w:t>由甲方负责结算，乙方在接受付款前，须开具等额增值税发票给甲方，否则甲方有权不予支付相应货款，且不承担因此所产生的任何费用，不构成违约。</w:t>
      </w:r>
    </w:p>
    <w:p w14:paraId="523BD352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bCs/>
          <w:sz w:val="28"/>
          <w:szCs w:val="28"/>
        </w:rPr>
        <w:t>（三）付款方式</w:t>
      </w:r>
      <w:r>
        <w:rPr>
          <w:rFonts w:ascii="仿宋_GB2312" w:eastAsia="仿宋_GB2312" w:hAnsiTheme="minorEastAsia"/>
          <w:bCs/>
          <w:sz w:val="28"/>
          <w:szCs w:val="28"/>
        </w:rPr>
        <w:t xml:space="preserve"> </w:t>
      </w:r>
      <w:r>
        <w:rPr>
          <w:rFonts w:hint="eastAsia" w:ascii="仿宋_GB2312" w:eastAsia="仿宋_GB2312" w:hAnsiTheme="minorEastAsia"/>
          <w:bCs/>
          <w:sz w:val="28"/>
          <w:szCs w:val="28"/>
        </w:rPr>
        <w:t>：</w:t>
      </w:r>
    </w:p>
    <w:p w14:paraId="5F099FC1"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乙方银行户名：</w:t>
      </w:r>
    </w:p>
    <w:p w14:paraId="09273307"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乙方账号：</w:t>
      </w:r>
    </w:p>
    <w:p w14:paraId="49DD37FF">
      <w:pPr>
        <w:spacing w:line="54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乙方开户行：</w:t>
      </w:r>
    </w:p>
    <w:p w14:paraId="4D8BBBBE">
      <w:pPr>
        <w:spacing w:line="540" w:lineRule="exact"/>
        <w:ind w:firstLine="562" w:firstLineChars="200"/>
        <w:rPr>
          <w:rFonts w:ascii="仿宋_GB2312" w:eastAsia="仿宋_GB2312" w:hAnsiTheme="minorEastAsia"/>
          <w:b/>
          <w:bCs/>
          <w:sz w:val="28"/>
          <w:szCs w:val="28"/>
        </w:rPr>
      </w:pPr>
      <w:r>
        <w:rPr>
          <w:rFonts w:hint="eastAsia" w:ascii="仿宋_GB2312" w:eastAsia="仿宋_GB2312" w:hAnsiTheme="minorEastAsia"/>
          <w:b/>
          <w:bCs/>
          <w:sz w:val="28"/>
          <w:szCs w:val="28"/>
        </w:rPr>
        <w:t>四、双方权利义务</w:t>
      </w:r>
    </w:p>
    <w:p w14:paraId="16E8B421">
      <w:pPr>
        <w:numPr>
          <w:ilvl w:val="255"/>
          <w:numId w:val="0"/>
        </w:num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（一）甲方权利义务</w:t>
      </w:r>
    </w:p>
    <w:p w14:paraId="690B1CCF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1.乙方在定期巡检及设备更换，返厂维修时甲方应给予相应的配合。</w:t>
      </w:r>
    </w:p>
    <w:p w14:paraId="48CB6C2F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2.设备返回原厂或者维修点维修所产生必要时间甲方予以理解配合。</w:t>
      </w:r>
    </w:p>
    <w:p w14:paraId="3BDCA73E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3.不需要返厂维修可以现场更换的器件，购买器件的费用由乙方负责，保管由甲方负责。</w:t>
      </w:r>
    </w:p>
    <w:p w14:paraId="2442DF2C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4.对乙方提供服务进行监督，对于服务不符合招标文件及服务承诺的，有权要求乙方立即改正。</w:t>
      </w:r>
    </w:p>
    <w:p w14:paraId="18EEDD1A">
      <w:pPr>
        <w:spacing w:line="540" w:lineRule="exact"/>
        <w:ind w:firstLine="562" w:firstLineChars="200"/>
        <w:rPr>
          <w:rFonts w:ascii="仿宋_GB2312" w:eastAsia="仿宋_GB2312" w:hAnsiTheme="minorEastAsia"/>
          <w:b/>
          <w:bCs/>
          <w:sz w:val="28"/>
          <w:szCs w:val="28"/>
        </w:rPr>
      </w:pPr>
      <w:r>
        <w:rPr>
          <w:rFonts w:hint="eastAsia" w:ascii="仿宋_GB2312" w:eastAsia="仿宋_GB2312" w:hAnsiTheme="minorEastAsia"/>
          <w:b/>
          <w:bCs/>
          <w:sz w:val="28"/>
          <w:szCs w:val="28"/>
        </w:rPr>
        <w:t>（二）乙方权利义务</w:t>
      </w:r>
    </w:p>
    <w:p w14:paraId="54152A2A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/>
          <w:sz w:val="28"/>
          <w:szCs w:val="28"/>
        </w:rPr>
        <w:t>1.</w:t>
      </w:r>
      <w:r>
        <w:rPr>
          <w:rFonts w:hint="eastAsia" w:ascii="仿宋_GB2312" w:eastAsia="仿宋_GB2312" w:hAnsiTheme="minorEastAsia"/>
          <w:sz w:val="28"/>
          <w:szCs w:val="28"/>
        </w:rPr>
        <w:t>按照招投标文件及本合同第一条服务内容，完全、尽责提供服务；</w:t>
      </w:r>
    </w:p>
    <w:p w14:paraId="4D795248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2.严格遵守服务要求，在尽短时间内完成响应，避免影响甲方正常使用或造成甲方额外损失。</w:t>
      </w:r>
    </w:p>
    <w:p w14:paraId="118C7961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3.接受甲方监督，对甲方提出合理要求及时进行整改或履行。</w:t>
      </w:r>
    </w:p>
    <w:p w14:paraId="14AC8E69">
      <w:pPr>
        <w:spacing w:line="54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4.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向甲方提供完整的维护保养记录和相关设备维修资料。</w:t>
      </w:r>
    </w:p>
    <w:p w14:paraId="47051414">
      <w:pPr>
        <w:spacing w:line="54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5.保守运营维护服务过程中接触的甲方机密。</w:t>
      </w:r>
    </w:p>
    <w:p w14:paraId="2404CBEA">
      <w:pPr>
        <w:spacing w:line="54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五、违约责任</w:t>
      </w:r>
    </w:p>
    <w:p w14:paraId="0F1E623D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（一）甲乙双方必须遵守本合同并执行合同中的各项规定，保证本合同的正常履行。</w:t>
      </w:r>
    </w:p>
    <w:p w14:paraId="400CBFED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二）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512D558A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（三）若乙方违反本合同服务内容及服务要求，则视为乙方违约，甲方有权解除合同，要求乙方返还甲方已支付价款。对于乙方已提供服务折算成相应价款酌情予以扣除，并要求乙方向甲方支付合同金额的</w:t>
      </w:r>
      <w:r>
        <w:rPr>
          <w:rFonts w:hint="eastAsia" w:ascii="仿宋_GB2312" w:eastAsia="仿宋_GB2312" w:hAnsiTheme="minorEastAsia"/>
          <w:sz w:val="28"/>
          <w:szCs w:val="28"/>
          <w:u w:val="single"/>
        </w:rPr>
        <w:t>10</w:t>
      </w:r>
      <w:r>
        <w:rPr>
          <w:rFonts w:hint="eastAsia" w:ascii="仿宋_GB2312" w:eastAsia="仿宋_GB2312" w:hAnsiTheme="minorEastAsia"/>
          <w:sz w:val="28"/>
          <w:szCs w:val="28"/>
        </w:rPr>
        <w:t>%违约金。</w:t>
      </w:r>
    </w:p>
    <w:p w14:paraId="4DC2E4B1"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六、绩效考核</w:t>
      </w:r>
    </w:p>
    <w:p w14:paraId="60257E97">
      <w:pPr>
        <w:ind w:firstLine="562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（一）绩效指标及评价分值（100分）  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1.数量指标（25分）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巡检任务完成率：乙方需按合同约定完成每季度一次的巡检服务，全年共4次。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评分标准：每少完成1次扣7.5分，扣完为止。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2.质量指标（25分）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故障修复达标率：乙方需确保故障修复后系统正常运行，无遗留问题。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评分标准：未达标每次扣5分，扣完为止。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3. 时效指标（20分）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故障响应及时率：乙方需在2小时内响应故障，4小时内到达现场处理一般故障。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评分标准：每延迟1次响应扣2分，每延迟1次到达现场扣3分，扣完为止。</w:t>
      </w:r>
    </w:p>
    <w:p w14:paraId="26B0FE5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故障修复时效：一般故障1当日解决，需要更换配件故障5个工作日内完成故障修复。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评分标准：延迟修复每次扣2分，扣完为止；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4. 满意度指标（30分）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甲方满意度评价：由甲方根据乙方的服务质量、响应速度、问题解决能力等进行综合评分。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评分标准：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优（30分）：服务完全符合或超出预期；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良（20分）：服务基本符合要求，无重大疏漏；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>中（10分）：服务存在部分不足，但未影响整体目标；</w:t>
      </w:r>
      <w:r>
        <w:rPr>
          <w:rFonts w:hint="eastAsia" w:ascii="仿宋_GB2312" w:eastAsia="仿宋_GB2312"/>
          <w:sz w:val="28"/>
          <w:szCs w:val="28"/>
        </w:rPr>
        <w:br w:type="textWrapping"/>
      </w:r>
      <w:r>
        <w:rPr>
          <w:rFonts w:hint="eastAsia" w:ascii="仿宋_GB2312" w:eastAsia="仿宋_GB2312"/>
          <w:sz w:val="28"/>
          <w:szCs w:val="28"/>
        </w:rPr>
        <w:t xml:space="preserve">差（0分）：服务未达到基本要求。  </w:t>
      </w:r>
    </w:p>
    <w:p w14:paraId="3C941ED4"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（二） 绩效运行监控  </w:t>
      </w:r>
    </w:p>
    <w:p w14:paraId="7F23E408"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甲方有权对乙方的服务进行不定期检查，乙方需配合提供巡检记录、故障处理记录等完整资料。乙方应每季度向甲方提交绩效自评报告，内容包括：当季巡检任务完成情况；</w:t>
      </w:r>
    </w:p>
    <w:p w14:paraId="06D876AD">
      <w:pPr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故障处理情况及整改措施；未完成任务的原因及改进计划。  </w:t>
      </w:r>
    </w:p>
    <w:p w14:paraId="6DAC7C52">
      <w:pPr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/>
          <w:sz w:val="28"/>
          <w:szCs w:val="28"/>
        </w:rPr>
        <w:t xml:space="preserve">（三）绩效评价管理  </w:t>
      </w:r>
    </w:p>
    <w:p w14:paraId="01F1DD3E"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1.绩效评价采取百分制，根据分值分为四档：  </w:t>
      </w:r>
    </w:p>
    <w:p w14:paraId="20729A78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 xml:space="preserve">优：90分以上；  </w:t>
      </w:r>
    </w:p>
    <w:p w14:paraId="208A4CC4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 xml:space="preserve">良：80-89分；  </w:t>
      </w:r>
    </w:p>
    <w:p w14:paraId="177D880E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 xml:space="preserve">中：60-79分；  </w:t>
      </w:r>
    </w:p>
    <w:p w14:paraId="5385687F"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 xml:space="preserve">差：60分以下。  </w:t>
      </w:r>
    </w:p>
    <w:p w14:paraId="0DAA3C47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2.绩效评价由甲方在尾款支付前5个工作日内完成，并书面通知乙方结果。  </w:t>
      </w:r>
    </w:p>
    <w:p w14:paraId="1B3A0F30">
      <w:pPr>
        <w:ind w:firstLine="42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3.绩效评价结果需经甲方项目负责人签字确认，并附具体扣分说明。  </w:t>
      </w:r>
    </w:p>
    <w:p w14:paraId="60A9819C">
      <w:pPr>
        <w:ind w:firstLine="562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（四）绩效评价结果运用  </w:t>
      </w:r>
    </w:p>
    <w:p w14:paraId="4CAA7BB4">
      <w:pPr>
        <w:pStyle w:val="4"/>
        <w:spacing w:line="52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1.乙方绩效评价等级为“优”的，甲方支付全部尾款，</w:t>
      </w:r>
    </w:p>
    <w:p w14:paraId="43527FF6">
      <w:pPr>
        <w:pStyle w:val="4"/>
        <w:spacing w:line="52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 2.乙方绩效评价等级为“良”的，甲方支付90%尾款， </w:t>
      </w:r>
    </w:p>
    <w:p w14:paraId="1C538843">
      <w:pPr>
        <w:pStyle w:val="4"/>
        <w:spacing w:line="520" w:lineRule="exact"/>
        <w:ind w:firstLine="600" w:firstLineChars="200"/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 xml:space="preserve">3.乙方绩效评价等级为“中”的，甲方支付80%尾款， </w:t>
      </w:r>
    </w:p>
    <w:p w14:paraId="71D323F3">
      <w:pPr>
        <w:pStyle w:val="4"/>
        <w:spacing w:line="520" w:lineRule="exact"/>
        <w:ind w:firstLine="600" w:firstLineChars="200"/>
        <w:rPr>
          <w:rFonts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4.乙方绩效评价等级为“差”的，</w:t>
      </w:r>
      <w:r>
        <w:rPr>
          <w:rFonts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乙方需在收到通知后10个工作日内提交整改方案，并在30日内完成整改；整改后经甲方重新评价达到“中”档以上，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甲方支付70%尾款，</w:t>
      </w:r>
      <w:r>
        <w:rPr>
          <w:rFonts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若整改后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经评价仍为“差”的</w:t>
      </w:r>
      <w:r>
        <w:rPr>
          <w:rFonts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甲方支付50%尾款，</w:t>
      </w:r>
    </w:p>
    <w:p w14:paraId="6F88E11F">
      <w:pPr>
        <w:spacing w:line="540" w:lineRule="exact"/>
        <w:ind w:firstLine="562" w:firstLineChars="200"/>
        <w:rPr>
          <w:rFonts w:ascii="仿宋_GB2312" w:eastAsia="仿宋_GB2312" w:hAnsi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hAnsi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七、合同争议的解决</w:t>
      </w:r>
    </w:p>
    <w:p w14:paraId="3BB06E8D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双方在本合同履行过程中如有争议，应协商解决。如协商不成，可由相应主管部门调解。如无法解决，向甲方所在地有管辖权的人民法院起诉。</w:t>
      </w:r>
    </w:p>
    <w:p w14:paraId="3B5D6AEE">
      <w:pPr>
        <w:spacing w:line="540" w:lineRule="exact"/>
        <w:ind w:firstLine="422" w:firstLineChars="150"/>
        <w:rPr>
          <w:rFonts w:ascii="仿宋_GB2312" w:eastAsia="仿宋_GB2312" w:hAnsiTheme="minorEastAsia"/>
          <w:b/>
          <w:sz w:val="28"/>
          <w:szCs w:val="28"/>
        </w:rPr>
      </w:pPr>
      <w:r>
        <w:rPr>
          <w:rFonts w:hint="eastAsia" w:ascii="仿宋_GB2312" w:eastAsia="仿宋_GB2312" w:hAnsiTheme="minorEastAsia"/>
          <w:b/>
          <w:sz w:val="28"/>
          <w:szCs w:val="28"/>
        </w:rPr>
        <w:t>八、其他</w:t>
      </w:r>
    </w:p>
    <w:p w14:paraId="15BC1036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本合同一式四份，双方各执两份，每份均具有同等法律效力。</w:t>
      </w:r>
    </w:p>
    <w:p w14:paraId="021EDDA8">
      <w:pPr>
        <w:spacing w:line="540" w:lineRule="exact"/>
        <w:ind w:firstLine="560" w:firstLineChars="200"/>
        <w:rPr>
          <w:rFonts w:ascii="仿宋_GB2312" w:eastAsia="仿宋_GB2312" w:hAnsi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本合同经双方全权代表签署并加盖单位印章后生效，双方权利义务均履行完毕后终止。</w:t>
      </w:r>
    </w:p>
    <w:p w14:paraId="56865907">
      <w:pPr>
        <w:spacing w:line="54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eastAsia="仿宋_GB2312" w:hAnsiTheme="minorEastAsia"/>
          <w:sz w:val="28"/>
          <w:szCs w:val="28"/>
        </w:rPr>
        <w:t>（以下无正文。）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9"/>
        <w:gridCol w:w="1906"/>
        <w:gridCol w:w="3027"/>
      </w:tblGrid>
      <w:tr w14:paraId="795033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4897A">
            <w:pPr>
              <w:pStyle w:val="7"/>
              <w:spacing w:before="0" w:beforeAutospacing="0" w:after="0" w:afterAutospacing="0" w:line="540" w:lineRule="exact"/>
              <w:jc w:val="left"/>
              <w:rPr>
                <w:rFonts w:ascii="仿宋_GB2312" w:eastAsia="仿宋_GB2312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bCs/>
                <w:sz w:val="28"/>
                <w:szCs w:val="28"/>
              </w:rPr>
              <w:t>甲方：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BABF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4E024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8"/>
                <w:szCs w:val="28"/>
              </w:rPr>
              <w:t>乙方：</w:t>
            </w:r>
          </w:p>
        </w:tc>
      </w:tr>
      <w:tr w14:paraId="284A4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A144C">
            <w:pPr>
              <w:widowControl/>
              <w:spacing w:line="540" w:lineRule="exac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签字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E22BF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2870C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签字</w:t>
            </w:r>
          </w:p>
        </w:tc>
      </w:tr>
      <w:tr w14:paraId="1D706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718EC">
            <w:pPr>
              <w:widowControl/>
              <w:spacing w:line="540" w:lineRule="exac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867C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8615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</w:tr>
      <w:tr w14:paraId="0DF5A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4A730">
            <w:pPr>
              <w:widowControl/>
              <w:spacing w:line="540" w:lineRule="exac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盖章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C2BD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EEAC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盖章</w:t>
            </w:r>
          </w:p>
        </w:tc>
      </w:tr>
      <w:tr w14:paraId="2B963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A3F0E">
            <w:pPr>
              <w:widowControl/>
              <w:spacing w:line="540" w:lineRule="exac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3A71D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136C5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</w:tr>
      <w:tr w14:paraId="081BA9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CE606">
            <w:pPr>
              <w:widowControl/>
              <w:spacing w:line="540" w:lineRule="exac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日期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97C4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FA075">
            <w:pPr>
              <w:widowControl/>
              <w:spacing w:line="540" w:lineRule="exact"/>
              <w:jc w:val="left"/>
              <w:rPr>
                <w:rFonts w:ascii="仿宋_GB2312" w:hAnsi="宋体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8"/>
                <w:szCs w:val="28"/>
              </w:rPr>
              <w:t>日期</w:t>
            </w:r>
          </w:p>
        </w:tc>
      </w:tr>
    </w:tbl>
    <w:p w14:paraId="79DDA176">
      <w:pPr>
        <w:spacing w:line="580" w:lineRule="exact"/>
        <w:ind w:firstLine="562" w:firstLineChars="200"/>
        <w:rPr>
          <w:rFonts w:ascii="仿宋_GB2312" w:eastAsia="仿宋_GB2312" w:hAnsiTheme="minorEastAsia"/>
          <w:b/>
          <w:sz w:val="28"/>
          <w:szCs w:val="28"/>
        </w:rPr>
      </w:pPr>
    </w:p>
    <w:p w14:paraId="447853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72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rFonts w:cs="Calibri"/>
      <w:sz w:val="16"/>
      <w:szCs w:val="16"/>
    </w:rPr>
  </w:style>
  <w:style w:type="paragraph" w:styleId="4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7">
    <w:name w:val="xl30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王天鹏</cp:lastModifiedBy>
  <dcterms:modified xsi:type="dcterms:W3CDTF">2026-05-18T11:04:26Z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eyJoZGlkIjoiNDBjYzFmMWQzOTQxOWZlZWZlNGU0MzAyNTQzODJmZWMiLCJ1c2VySWQiOiIzOTg2MDAyMTkifQ==</vt:lpwstr>
  </property>
  <property fmtid="{D5CDD505-2E9C-101B-9397-08002B2CF9AE}" pid="4" name="ICV">
    <vt:lpwstr>4BD5EFBA4E5E4C4CB62058DC2778F2B9_12</vt:lpwstr>
  </property>
</Properties>
</file>