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版本号：ZMZB2026HKXY-16720260623001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中国教育和科研计算机网专线接入项目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ZMZB2026HKXY-167</w:t>
      </w:r>
      <w:r>
        <w:br/>
      </w:r>
      <w:r>
        <w:br/>
      </w:r>
      <w:r>
        <w:br/>
      </w:r>
    </w:p>
    <w:p>
      <w:pPr>
        <w:pStyle w:val="null3"/>
        <w:jc w:val="center"/>
        <w:outlineLvl w:val="5"/>
      </w:pPr>
      <w:r>
        <w:rPr>
          <w:rFonts w:ascii="仿宋_GB2312" w:hAnsi="仿宋_GB2312" w:cs="仿宋_GB2312" w:eastAsia="仿宋_GB2312"/>
          <w:sz w:val="15"/>
          <w:b/>
        </w:rPr>
        <w:t>西安航空学院</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中国教育和科研计算机网专线接入项目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ZMZB2026HKXY-167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中国教育和科研计算机网专线接入项目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中国教育和科研计算机网专线接入项目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采购包1（中国教育和科研计算机网专线接入项目）：属于专门面向中小企业采购。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 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6、参加采购活动前3年内在经营活动中没有重大违法记录的书面声明：参加采购活动前3年内在经营活动中没有重大违法记录的书面声明</w:t>
      </w:r>
    </w:p>
    <w:p>
      <w:pPr>
        <w:pStyle w:val="null3"/>
      </w:pPr>
      <w:r>
        <w:rPr>
          <w:rFonts w:ascii="仿宋_GB2312" w:hAnsi="仿宋_GB2312" w:cs="仿宋_GB2312" w:eastAsia="仿宋_GB2312"/>
        </w:rPr>
        <w:t>7、具有履行合同所必需的设备和专业技术能力的书面声明：具有履行合同所必需的设备和专业技术能力的书面声明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8、本项目不接受联合体投标：本项目不接受联合体投标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采购包1保证金金额：7,600.00元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代理服务费收费标准：按照定额6000元标准计费收取。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按照采购文件、响应文件及合同条款执行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中国教育和科研计算机网专线接入项目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中国教育和科研计算机网专线接入项目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标的名称：中国教育和科研计算机网专线接入项目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1.项目概述</w:t>
            </w:r>
          </w:p>
          <w:p>
            <w:pPr>
              <w:pStyle w:val="null3"/>
              <w:jc w:val="left"/>
            </w:pPr>
            <w:r>
              <w:rPr>
                <w:rFonts w:ascii="仿宋_GB2312" w:hAnsi="仿宋_GB2312" w:cs="仿宋_GB2312" w:eastAsia="仿宋_GB2312"/>
                <w:sz w:val="24"/>
                <w:b/>
              </w:rPr>
              <w:t>1.1项目内容</w:t>
            </w:r>
          </w:p>
          <w:p>
            <w:pPr>
              <w:pStyle w:val="null3"/>
              <w:jc w:val="left"/>
            </w:pPr>
            <w:r>
              <w:rPr>
                <w:rFonts w:ascii="仿宋_GB2312" w:hAnsi="仿宋_GB2312" w:cs="仿宋_GB2312" w:eastAsia="仿宋_GB2312"/>
                <w:sz w:val="24"/>
              </w:rPr>
              <w:t xml:space="preserve">  本项目接入</w:t>
            </w:r>
            <w:r>
              <w:rPr>
                <w:rFonts w:ascii="仿宋_GB2312" w:hAnsi="仿宋_GB2312" w:cs="仿宋_GB2312" w:eastAsia="仿宋_GB2312"/>
                <w:sz w:val="24"/>
              </w:rPr>
              <w:t>200M教育和科研计算机网，包含IPv4接入带宽及IPv6带宽；启用Edu域名，用于区别</w:t>
            </w:r>
            <w:r>
              <w:rPr>
                <w:rFonts w:ascii="仿宋_GB2312" w:hAnsi="仿宋_GB2312" w:cs="仿宋_GB2312" w:eastAsia="仿宋_GB2312"/>
                <w:sz w:val="24"/>
              </w:rPr>
              <w:t>非正规</w:t>
            </w:r>
            <w:r>
              <w:rPr>
                <w:rFonts w:ascii="仿宋_GB2312" w:hAnsi="仿宋_GB2312" w:cs="仿宋_GB2312" w:eastAsia="仿宋_GB2312"/>
                <w:sz w:val="24"/>
              </w:rPr>
              <w:t>大学；</w:t>
            </w:r>
            <w:r>
              <w:rPr>
                <w:rFonts w:ascii="仿宋_GB2312" w:hAnsi="仿宋_GB2312" w:cs="仿宋_GB2312" w:eastAsia="仿宋_GB2312"/>
                <w:sz w:val="24"/>
              </w:rPr>
              <w:t>提供</w:t>
            </w:r>
            <w:r>
              <w:rPr>
                <w:rFonts w:ascii="仿宋_GB2312" w:hAnsi="仿宋_GB2312" w:cs="仿宋_GB2312" w:eastAsia="仿宋_GB2312"/>
                <w:sz w:val="24"/>
              </w:rPr>
              <w:t>edu.cn域名注册服务</w:t>
            </w:r>
            <w:r>
              <w:rPr>
                <w:rFonts w:ascii="仿宋_GB2312" w:hAnsi="仿宋_GB2312" w:cs="仿宋_GB2312" w:eastAsia="仿宋_GB2312"/>
                <w:sz w:val="24"/>
              </w:rPr>
              <w:t>以及域名证书服务，能为教学共享、科研协作、招生录取和毕业分配等各类教育信息化应用提供网络保障。</w:t>
            </w:r>
          </w:p>
          <w:p>
            <w:pPr>
              <w:pStyle w:val="null3"/>
              <w:jc w:val="left"/>
            </w:pPr>
            <w:r>
              <w:rPr>
                <w:rFonts w:ascii="仿宋_GB2312" w:hAnsi="仿宋_GB2312" w:cs="仿宋_GB2312" w:eastAsia="仿宋_GB2312"/>
                <w:sz w:val="24"/>
                <w:b/>
              </w:rPr>
              <w:t>教育网需提供的服务：</w:t>
            </w:r>
          </w:p>
          <w:p>
            <w:pPr>
              <w:pStyle w:val="null3"/>
              <w:ind w:left="720" w:right="105"/>
              <w:jc w:val="both"/>
            </w:pPr>
            <w:r>
              <w:rPr>
                <w:rFonts w:ascii="仿宋_GB2312" w:hAnsi="仿宋_GB2312" w:cs="仿宋_GB2312" w:eastAsia="仿宋_GB2312"/>
                <w:sz w:val="24"/>
              </w:rPr>
              <w:t>1.国际带宽服务</w:t>
            </w:r>
          </w:p>
          <w:p>
            <w:pPr>
              <w:pStyle w:val="null3"/>
              <w:ind w:left="720" w:right="105"/>
              <w:jc w:val="both"/>
            </w:pPr>
            <w:r>
              <w:rPr>
                <w:rFonts w:ascii="仿宋_GB2312" w:hAnsi="仿宋_GB2312" w:cs="仿宋_GB2312" w:eastAsia="仿宋_GB2312"/>
                <w:sz w:val="24"/>
              </w:rPr>
              <w:t>2.国内外学术专线保障</w:t>
            </w:r>
          </w:p>
          <w:p>
            <w:pPr>
              <w:pStyle w:val="null3"/>
              <w:ind w:left="720" w:right="105"/>
              <w:jc w:val="both"/>
            </w:pPr>
            <w:r>
              <w:rPr>
                <w:rFonts w:ascii="仿宋_GB2312" w:hAnsi="仿宋_GB2312" w:cs="仿宋_GB2312" w:eastAsia="仿宋_GB2312"/>
                <w:sz w:val="24"/>
              </w:rPr>
              <w:t>3.高性能计算环境核心资源专网</w:t>
            </w:r>
          </w:p>
          <w:p>
            <w:pPr>
              <w:pStyle w:val="null3"/>
              <w:ind w:left="720" w:right="105"/>
              <w:jc w:val="both"/>
            </w:pPr>
            <w:r>
              <w:rPr>
                <w:rFonts w:ascii="仿宋_GB2312" w:hAnsi="仿宋_GB2312" w:cs="仿宋_GB2312" w:eastAsia="仿宋_GB2312"/>
                <w:sz w:val="24"/>
              </w:rPr>
              <w:t>4.教育专网建设标准与指南，教育专网国家主干网接入</w:t>
            </w:r>
          </w:p>
          <w:p>
            <w:pPr>
              <w:pStyle w:val="null3"/>
              <w:ind w:left="720" w:right="105"/>
              <w:jc w:val="both"/>
            </w:pPr>
            <w:r>
              <w:rPr>
                <w:rFonts w:ascii="仿宋_GB2312" w:hAnsi="仿宋_GB2312" w:cs="仿宋_GB2312" w:eastAsia="仿宋_GB2312"/>
                <w:sz w:val="24"/>
              </w:rPr>
              <w:t>5.eduroam@CERNET 国际学术网络漫游服务</w:t>
            </w:r>
          </w:p>
          <w:p>
            <w:pPr>
              <w:pStyle w:val="null3"/>
              <w:ind w:left="720" w:right="105"/>
              <w:jc w:val="both"/>
            </w:pPr>
            <w:r>
              <w:rPr>
                <w:rFonts w:ascii="仿宋_GB2312" w:hAnsi="仿宋_GB2312" w:cs="仿宋_GB2312" w:eastAsia="仿宋_GB2312"/>
                <w:sz w:val="24"/>
              </w:rPr>
              <w:t>6.CERNET联邦认证与资源共享基础设施CARSI</w:t>
            </w:r>
          </w:p>
          <w:p>
            <w:pPr>
              <w:pStyle w:val="null3"/>
              <w:ind w:left="720" w:right="105"/>
              <w:jc w:val="both"/>
            </w:pPr>
            <w:r>
              <w:rPr>
                <w:rFonts w:ascii="仿宋_GB2312" w:hAnsi="仿宋_GB2312" w:cs="仿宋_GB2312" w:eastAsia="仿宋_GB2312"/>
                <w:sz w:val="24"/>
                <w:b/>
              </w:rPr>
              <w:t>资源保障与交流服务：</w:t>
            </w:r>
          </w:p>
          <w:p>
            <w:pPr>
              <w:pStyle w:val="null3"/>
              <w:ind w:left="585" w:right="105"/>
            </w:pPr>
            <w:r>
              <w:rPr>
                <w:rFonts w:ascii="仿宋_GB2312" w:hAnsi="仿宋_GB2312" w:cs="仿宋_GB2312" w:eastAsia="仿宋_GB2312"/>
                <w:sz w:val="24"/>
              </w:rPr>
              <w:t>1.</w:t>
            </w:r>
            <w:r>
              <w:rPr>
                <w:rFonts w:ascii="仿宋_GB2312" w:hAnsi="仿宋_GB2312" w:cs="仿宋_GB2312" w:eastAsia="仿宋_GB2312"/>
                <w:sz w:val="24"/>
              </w:rPr>
              <w:t>流量监测、调优与分析报告</w:t>
            </w:r>
          </w:p>
          <w:p>
            <w:pPr>
              <w:pStyle w:val="null3"/>
              <w:ind w:left="585" w:right="105"/>
            </w:pPr>
            <w:r>
              <w:rPr>
                <w:rFonts w:ascii="仿宋_GB2312" w:hAnsi="仿宋_GB2312" w:cs="仿宋_GB2312" w:eastAsia="仿宋_GB2312"/>
                <w:sz w:val="24"/>
              </w:rPr>
              <w:t>2.</w:t>
            </w:r>
            <w:r>
              <w:rPr>
                <w:rFonts w:ascii="仿宋_GB2312" w:hAnsi="仿宋_GB2312" w:cs="仿宋_GB2312" w:eastAsia="仿宋_GB2312"/>
                <w:sz w:val="24"/>
              </w:rPr>
              <w:t>教育科研特色资源荟聚平台</w:t>
            </w:r>
          </w:p>
          <w:p>
            <w:pPr>
              <w:pStyle w:val="null3"/>
              <w:ind w:left="585" w:right="105"/>
            </w:pPr>
            <w:r>
              <w:rPr>
                <w:rFonts w:ascii="仿宋_GB2312" w:hAnsi="仿宋_GB2312" w:cs="仿宋_GB2312" w:eastAsia="仿宋_GB2312"/>
                <w:sz w:val="24"/>
              </w:rPr>
              <w:t>3.</w:t>
            </w:r>
            <w:r>
              <w:rPr>
                <w:rFonts w:ascii="仿宋_GB2312" w:hAnsi="仿宋_GB2312" w:cs="仿宋_GB2312" w:eastAsia="仿宋_GB2312"/>
                <w:sz w:val="24"/>
              </w:rPr>
              <w:t>境外数据库资源保障</w:t>
            </w:r>
          </w:p>
          <w:p>
            <w:pPr>
              <w:pStyle w:val="null3"/>
              <w:ind w:left="585" w:right="105"/>
            </w:pPr>
            <w:r>
              <w:rPr>
                <w:rFonts w:ascii="仿宋_GB2312" w:hAnsi="仿宋_GB2312" w:cs="仿宋_GB2312" w:eastAsia="仿宋_GB2312"/>
                <w:sz w:val="24"/>
              </w:rPr>
              <w:t>4.</w:t>
            </w:r>
            <w:r>
              <w:rPr>
                <w:rFonts w:ascii="仿宋_GB2312" w:hAnsi="仿宋_GB2312" w:cs="仿宋_GB2312" w:eastAsia="仿宋_GB2312"/>
                <w:sz w:val="24"/>
              </w:rPr>
              <w:t>特色资源个性化服务</w:t>
            </w:r>
          </w:p>
          <w:p>
            <w:pPr>
              <w:pStyle w:val="null3"/>
              <w:ind w:left="585" w:right="105"/>
            </w:pPr>
            <w:r>
              <w:rPr>
                <w:rFonts w:ascii="仿宋_GB2312" w:hAnsi="仿宋_GB2312" w:cs="仿宋_GB2312" w:eastAsia="仿宋_GB2312"/>
                <w:sz w:val="24"/>
              </w:rPr>
              <w:t>5.</w:t>
            </w:r>
            <w:r>
              <w:rPr>
                <w:rFonts w:ascii="仿宋_GB2312" w:hAnsi="仿宋_GB2312" w:cs="仿宋_GB2312" w:eastAsia="仿宋_GB2312"/>
                <w:sz w:val="24"/>
              </w:rPr>
              <w:t>资源访问质量监测、优化与加速服务</w:t>
            </w:r>
          </w:p>
          <w:p>
            <w:pPr>
              <w:pStyle w:val="null3"/>
              <w:ind w:left="585" w:right="105"/>
            </w:pPr>
            <w:r>
              <w:rPr>
                <w:rFonts w:ascii="仿宋_GB2312" w:hAnsi="仿宋_GB2312" w:cs="仿宋_GB2312" w:eastAsia="仿宋_GB2312"/>
                <w:sz w:val="24"/>
              </w:rPr>
              <w:t>6.</w:t>
            </w:r>
            <w:r>
              <w:rPr>
                <w:rFonts w:ascii="仿宋_GB2312" w:hAnsi="仿宋_GB2312" w:cs="仿宋_GB2312" w:eastAsia="仿宋_GB2312"/>
                <w:sz w:val="24"/>
              </w:rPr>
              <w:t>国内学术交流研讨</w:t>
            </w:r>
          </w:p>
          <w:p>
            <w:pPr>
              <w:pStyle w:val="null3"/>
              <w:ind w:left="585" w:right="105"/>
            </w:pPr>
            <w:r>
              <w:rPr>
                <w:rFonts w:ascii="仿宋_GB2312" w:hAnsi="仿宋_GB2312" w:cs="仿宋_GB2312" w:eastAsia="仿宋_GB2312"/>
                <w:sz w:val="24"/>
              </w:rPr>
              <w:t>7.</w:t>
            </w:r>
            <w:r>
              <w:rPr>
                <w:rFonts w:ascii="仿宋_GB2312" w:hAnsi="仿宋_GB2312" w:cs="仿宋_GB2312" w:eastAsia="仿宋_GB2312"/>
                <w:sz w:val="24"/>
              </w:rPr>
              <w:t>国际重要学术会议</w:t>
            </w:r>
          </w:p>
          <w:p>
            <w:pPr>
              <w:pStyle w:val="null3"/>
              <w:ind w:left="585" w:right="105"/>
            </w:pPr>
            <w:r>
              <w:rPr>
                <w:rFonts w:ascii="仿宋_GB2312" w:hAnsi="仿宋_GB2312" w:cs="仿宋_GB2312" w:eastAsia="仿宋_GB2312"/>
                <w:sz w:val="24"/>
              </w:rPr>
              <w:t>8.</w:t>
            </w:r>
            <w:r>
              <w:rPr>
                <w:rFonts w:ascii="仿宋_GB2312" w:hAnsi="仿宋_GB2312" w:cs="仿宋_GB2312" w:eastAsia="仿宋_GB2312"/>
                <w:sz w:val="24"/>
              </w:rPr>
              <w:t>下一代互联网技术应用创新与培训</w:t>
            </w:r>
          </w:p>
          <w:p>
            <w:pPr>
              <w:pStyle w:val="null3"/>
              <w:jc w:val="left"/>
            </w:pPr>
            <w:r>
              <w:rPr>
                <w:rFonts w:ascii="仿宋_GB2312" w:hAnsi="仿宋_GB2312" w:cs="仿宋_GB2312" w:eastAsia="仿宋_GB2312"/>
                <w:sz w:val="24"/>
                <w:b/>
              </w:rPr>
              <w:t>2.服务内容和标准：</w:t>
            </w:r>
          </w:p>
          <w:p>
            <w:pPr>
              <w:pStyle w:val="null3"/>
              <w:jc w:val="left"/>
            </w:pPr>
            <w:r>
              <w:rPr>
                <w:rFonts w:ascii="仿宋_GB2312" w:hAnsi="仿宋_GB2312" w:cs="仿宋_GB2312" w:eastAsia="仿宋_GB2312"/>
                <w:sz w:val="24"/>
                <w:b/>
              </w:rPr>
              <w:t>2.1服务内容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开通教育网</w:t>
            </w:r>
            <w:r>
              <w:rPr>
                <w:rFonts w:ascii="仿宋_GB2312" w:hAnsi="仿宋_GB2312" w:cs="仿宋_GB2312" w:eastAsia="仿宋_GB2312"/>
                <w:sz w:val="24"/>
              </w:rPr>
              <w:t>IPv4 200M接入带宽服务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提供下一代</w:t>
            </w:r>
            <w:r>
              <w:rPr>
                <w:rFonts w:ascii="仿宋_GB2312" w:hAnsi="仿宋_GB2312" w:cs="仿宋_GB2312" w:eastAsia="仿宋_GB2312"/>
                <w:sz w:val="24"/>
              </w:rPr>
              <w:t>IPv6服务；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3）提供edu域名服务；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4）开通国际流量免费国际带宽配额10M；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5）提供edu.cn域名服务；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6）本项目服务期内，保留原先学校已有的教育网IPv4及IPv6地址；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7）提供西安航空学院莲湖校区至西北工业大学教育网节点线路一条，以及线路的建设和维护服务；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）确保两校区均可稳定接入教育专网，并在出现线路故障时第一时间响应、快速修复。由于乙方网络或设备原因造成甲方网络通信中断，造成重大故障，应在</w:t>
            </w:r>
            <w:r>
              <w:rPr>
                <w:rFonts w:ascii="仿宋_GB2312" w:hAnsi="仿宋_GB2312" w:cs="仿宋_GB2312" w:eastAsia="仿宋_GB2312"/>
                <w:sz w:val="24"/>
              </w:rPr>
              <w:t>24</w:t>
            </w:r>
            <w:r>
              <w:rPr>
                <w:rFonts w:ascii="仿宋_GB2312" w:hAnsi="仿宋_GB2312" w:cs="仿宋_GB2312" w:eastAsia="仿宋_GB2312"/>
                <w:sz w:val="24"/>
              </w:rPr>
              <w:t>小时内恢复网络通信，造成一般性故障，应在</w:t>
            </w:r>
            <w:r>
              <w:rPr>
                <w:rFonts w:ascii="仿宋_GB2312" w:hAnsi="仿宋_GB2312" w:cs="仿宋_GB2312" w:eastAsia="仿宋_GB2312"/>
                <w:sz w:val="24"/>
              </w:rPr>
              <w:t>48</w:t>
            </w:r>
            <w:r>
              <w:rPr>
                <w:rFonts w:ascii="仿宋_GB2312" w:hAnsi="仿宋_GB2312" w:cs="仿宋_GB2312" w:eastAsia="仿宋_GB2312"/>
                <w:sz w:val="24"/>
              </w:rPr>
              <w:t>小时内恢复网络通信。如遇特殊情况无法在限期内修复，乙方应提供临时替代方案。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自合同签订之日起一年。合同签订：一年一签，经考核合格后进行续签，续签不超过二年。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西安航空学院指定地点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其他，结算要求：采购人结算，在付款前必须开具全额增值税专用发票。一次性付款，验收合格后10个工作日，采购人向供应商全额支付合同总价款，达到付款条件起10个工作日内，支付合同总金额的100.0%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1.结算要求：采购人结算，在付款前必须开具全额增值税专用发票。付款方式：一次性付款，验收合格后10个工作日，采购人向供应商全额支付合同总价款。 2.（1）供应商需要在线提交所有通过电子化交易平台实施的政府采购项目的响应文件，同时，线下提交纸质响应文件正本壹份、副本贰份。若电子响应文件与纸质响应文件不一致的，以电子响应文件为准。 （2）响应文件，正、副本分别各自装订成册密封。在封口处加盖供应商公章。 （3）线下响应文件递交截止时间与线上开评标时间一致。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参加采购活动前3年内在经营活动中没有重大违法记录的书面声明</w:t>
            </w:r>
          </w:p>
        </w:tc>
        <w:tc>
          <w:tcPr>
            <w:tcW w:type="dxa" w:w="3322"/>
          </w:tcPr>
          <w:p>
            <w:pPr>
              <w:pStyle w:val="null3"/>
            </w:pPr>
            <w:r>
              <w:rPr>
                <w:rFonts w:ascii="仿宋_GB2312" w:hAnsi="仿宋_GB2312" w:cs="仿宋_GB2312" w:eastAsia="仿宋_GB2312"/>
              </w:rPr>
              <w:t>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商务要求达到采购文件要求的（合格），商务要求达不到采购文件要求的（不合格），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响应文件的签署、盖章符合采购文件要求(合格)，响应文件的签署、盖章不符合采购文件要求(不合格)，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响应有效期达到采购文件要求的(合格)，响应文件无响应有效期或有效期达不到采购文件要求的(不合格)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采购人不能接受的其他情形</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服务方案 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