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版本号：SZT2026-SN-QC-ZC-FW-075320260723001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青龙北路西延伸、红星路北延伸城市断头路打通工程设计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SZT2026-SN-QC-ZC-FW-0753</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青龙北路西延伸、红星路北延伸城市断头路打通工程设计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SZT2026-SN-QC-ZC-FW-0753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青龙北路西延伸、红星路北延伸城市断头路打通工程设计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服务内容包含青龙北路西延伸、红星路北延伸城市断头路两个项目市政道路的道路工程、雨水工程、污水工程、交通工程、照明工程施工图设计工作以及施工过程等的后续服务配合工作。详见采购文件第三章。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采购包1（青龙北路西延伸、红星路北延伸城市断头路打通工程设计）：属于专门面向中小企业采购。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供应商需具备工程设计综合资质甲级，或市政行业工程设计乙级及以上资质，或市政行业(燃气、轨道交通工程除外)乙级及以上资质，或市政行业(道路工程)专业乙级及以上资质及市政行业（排水工程）专业乙级及以上资质</w:t>
      </w:r>
    </w:p>
    <w:p>
      <w:pPr>
        <w:pStyle w:val="null3"/>
      </w:pPr>
      <w:r>
        <w:rPr>
          <w:rFonts w:ascii="仿宋_GB2312" w:hAnsi="仿宋_GB2312" w:cs="仿宋_GB2312" w:eastAsia="仿宋_GB2312"/>
        </w:rPr>
        <w:t>2、信用查询：供应商未被“信用中国”网站（www.creditchina.gov.cn）列入失信被执行人和重大税收违法失信主体，未被中国政府采购网（www.ccgp.gov.cn）列入政府采购严重违法失信行为记录名单;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3、本项目不接受联合体磋商：本项目不接受联合体磋商（提供相应承诺）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13991176464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A座1001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采购包1：413,550.00元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代理服务费收费标准：1、招标代理服务费参照《国家计委关于印发&lt;招标代理服务收费管理暂行办法&gt;的通知》（计价格〔2002〕1980号）规定标准收取。在领取中标通知书时向招标代理机构一次性交纳。 2、中标/成交单位在领取成交通知书前，须向采购代理机构一次性支付招标代理服务费。招标代理服务费缴存账户： 开户名称：陕西中技招标有限公司 开户行名称：招商银行西安分行营业部 账号：1299 1681 2810 001 转账事由/备注：(编号后四位）项目招标代理服务费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符合国家相关法律法规要求；详见合同内容。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1、成交供应商对最终的服务质量负完全责任。2、验收依据：（1）合同；（2）国家有关的验收标准及规范。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联系电话：029-87304326转856</w:t>
      </w:r>
    </w:p>
    <w:p>
      <w:pPr>
        <w:pStyle w:val="null3"/>
      </w:pPr>
      <w:r>
        <w:rPr>
          <w:rFonts w:ascii="仿宋_GB2312" w:hAnsi="仿宋_GB2312" w:cs="仿宋_GB2312" w:eastAsia="仿宋_GB2312"/>
        </w:rPr>
        <w:t>地址：西安市高新区高新四路1号高科广场A1001室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服务内容包含青龙北路西延伸、红星路北延伸城市断头路两个项目市政道路的道路工程、雨水工程、污水工程、交通工程、照明工程施工图设计工作以及施工过程等的后续服务配合工作。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413,550.00</w:t>
      </w:r>
    </w:p>
    <w:p>
      <w:pPr>
        <w:pStyle w:val="null3"/>
      </w:pPr>
      <w:r>
        <w:rPr>
          <w:rFonts w:ascii="仿宋_GB2312" w:hAnsi="仿宋_GB2312" w:cs="仿宋_GB2312" w:eastAsia="仿宋_GB2312"/>
        </w:rPr>
        <w:t>采购包最高限价（元）: 413,550.00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413,550.00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ind w:firstLine="482"/>
              <w:jc w:val="both"/>
            </w:pPr>
            <w:r>
              <w:rPr>
                <w:rFonts w:ascii="仿宋_GB2312" w:hAnsi="仿宋_GB2312" w:cs="仿宋_GB2312" w:eastAsia="仿宋_GB2312"/>
                <w:sz w:val="24"/>
                <w:b/>
              </w:rPr>
              <w:t>一、项目概况</w:t>
            </w:r>
          </w:p>
          <w:p>
            <w:pPr>
              <w:pStyle w:val="null3"/>
              <w:spacing w:after="105"/>
              <w:ind w:firstLine="480"/>
              <w:jc w:val="both"/>
            </w:pPr>
            <w:r>
              <w:rPr>
                <w:rFonts w:ascii="仿宋_GB2312" w:hAnsi="仿宋_GB2312" w:cs="仿宋_GB2312" w:eastAsia="仿宋_GB2312"/>
                <w:sz w:val="24"/>
              </w:rPr>
              <w:t>雁塔区青龙北路西延伸及红星路北延伸设计道路位于雁塔区大雁塔街道，具体位于南二环以南，后村西路以北，后村北路以东，西延路以西。</w:t>
            </w:r>
          </w:p>
          <w:p>
            <w:pPr>
              <w:pStyle w:val="null3"/>
              <w:spacing w:after="105"/>
              <w:ind w:firstLine="480"/>
              <w:jc w:val="both"/>
            </w:pPr>
            <w:r>
              <w:rPr>
                <w:rFonts w:ascii="仿宋_GB2312" w:hAnsi="仿宋_GB2312" w:cs="仿宋_GB2312" w:eastAsia="仿宋_GB2312"/>
                <w:sz w:val="24"/>
              </w:rPr>
              <w:t>青龙北路西延伸，规划为东西向城市支路。新建市政道路总长度</w:t>
            </w:r>
            <w:r>
              <w:rPr>
                <w:rFonts w:ascii="仿宋_GB2312" w:hAnsi="仿宋_GB2312" w:cs="仿宋_GB2312" w:eastAsia="仿宋_GB2312"/>
                <w:sz w:val="24"/>
              </w:rPr>
              <w:t>314.259m，道路红线宽20m，设计速度30km/h，建设内容包含道路工程5955m2。</w:t>
            </w:r>
          </w:p>
          <w:p>
            <w:pPr>
              <w:pStyle w:val="null3"/>
              <w:spacing w:after="105"/>
              <w:ind w:firstLine="480"/>
              <w:jc w:val="both"/>
            </w:pPr>
            <w:r>
              <w:rPr>
                <w:rFonts w:ascii="仿宋_GB2312" w:hAnsi="仿宋_GB2312" w:cs="仿宋_GB2312" w:eastAsia="仿宋_GB2312"/>
                <w:sz w:val="24"/>
              </w:rPr>
              <w:t>红星路北延伸，规划为南北向城市支路。新建市政道路总长度</w:t>
            </w:r>
            <w:r>
              <w:rPr>
                <w:rFonts w:ascii="仿宋_GB2312" w:hAnsi="仿宋_GB2312" w:cs="仿宋_GB2312" w:eastAsia="仿宋_GB2312"/>
                <w:sz w:val="24"/>
              </w:rPr>
              <w:t>395.17m，道路红线宽20m，设计速度30km/h，建设内容包含道路工程8695m2。</w:t>
            </w:r>
          </w:p>
          <w:p>
            <w:pPr>
              <w:pStyle w:val="null3"/>
              <w:spacing w:after="105"/>
              <w:ind w:firstLine="482"/>
              <w:jc w:val="both"/>
            </w:pPr>
            <w:r>
              <w:rPr>
                <w:rFonts w:ascii="仿宋_GB2312" w:hAnsi="仿宋_GB2312" w:cs="仿宋_GB2312" w:eastAsia="仿宋_GB2312"/>
                <w:sz w:val="24"/>
                <w:b/>
              </w:rPr>
              <w:t>二、服务内容</w:t>
            </w:r>
          </w:p>
          <w:p>
            <w:pPr>
              <w:pStyle w:val="null3"/>
              <w:spacing w:after="105"/>
              <w:ind w:firstLine="480"/>
              <w:jc w:val="both"/>
            </w:pPr>
            <w:r>
              <w:rPr>
                <w:rFonts w:ascii="仿宋_GB2312" w:hAnsi="仿宋_GB2312" w:cs="仿宋_GB2312" w:eastAsia="仿宋_GB2312"/>
                <w:sz w:val="24"/>
              </w:rPr>
              <w:t>服务内容包含</w:t>
            </w:r>
            <w:r>
              <w:rPr>
                <w:rFonts w:ascii="仿宋_GB2312" w:hAnsi="仿宋_GB2312" w:cs="仿宋_GB2312" w:eastAsia="仿宋_GB2312"/>
                <w:sz w:val="24"/>
              </w:rPr>
              <w:t>青龙北路西延伸、红星路北延伸城市断头路</w:t>
            </w:r>
            <w:r>
              <w:rPr>
                <w:rFonts w:ascii="仿宋_GB2312" w:hAnsi="仿宋_GB2312" w:cs="仿宋_GB2312" w:eastAsia="仿宋_GB2312"/>
                <w:sz w:val="24"/>
              </w:rPr>
              <w:t>两个项目市政道路的道路工程、雨水工程、污水工程、交通工程、照明工程施工图设计工作以及施工过程等的后续服务配合工作。</w:t>
            </w:r>
          </w:p>
          <w:p>
            <w:pPr>
              <w:pStyle w:val="null3"/>
              <w:spacing w:after="105"/>
              <w:ind w:firstLine="482"/>
              <w:jc w:val="both"/>
            </w:pPr>
            <w:r>
              <w:rPr>
                <w:rFonts w:ascii="仿宋_GB2312" w:hAnsi="仿宋_GB2312" w:cs="仿宋_GB2312" w:eastAsia="仿宋_GB2312"/>
                <w:sz w:val="24"/>
                <w:b/>
              </w:rPr>
              <w:t>三、技术要求</w:t>
            </w:r>
          </w:p>
          <w:p>
            <w:pPr>
              <w:pStyle w:val="null3"/>
              <w:spacing w:after="105"/>
              <w:ind w:firstLine="480"/>
              <w:jc w:val="both"/>
            </w:pPr>
            <w:r>
              <w:rPr>
                <w:rFonts w:ascii="仿宋_GB2312" w:hAnsi="仿宋_GB2312" w:cs="仿宋_GB2312" w:eastAsia="仿宋_GB2312"/>
                <w:sz w:val="24"/>
              </w:rPr>
              <w:t>道路设计要满足规划红线要求和交通需求及与现状道路顺接，便于交通组织；排水工程要满足《西安市排水（污水）工程专项规划》（</w:t>
            </w:r>
            <w:r>
              <w:rPr>
                <w:rFonts w:ascii="仿宋_GB2312" w:hAnsi="仿宋_GB2312" w:cs="仿宋_GB2312" w:eastAsia="仿宋_GB2312"/>
                <w:sz w:val="24"/>
              </w:rPr>
              <w:t>2020-2035年）和《西安市城市排水（雨水）防涝综合规划》（2015-2030）规划。处理各种管线关系，合理布设管位，符合电力、通讯等相关要求。</w:t>
            </w:r>
          </w:p>
          <w:p>
            <w:pPr>
              <w:pStyle w:val="null3"/>
              <w:spacing w:after="105"/>
              <w:ind w:firstLine="482"/>
              <w:jc w:val="both"/>
            </w:pPr>
            <w:r>
              <w:rPr>
                <w:rFonts w:ascii="仿宋_GB2312" w:hAnsi="仿宋_GB2312" w:cs="仿宋_GB2312" w:eastAsia="仿宋_GB2312"/>
                <w:sz w:val="24"/>
                <w:b/>
              </w:rPr>
              <w:t>四、服务要求</w:t>
            </w:r>
          </w:p>
          <w:p>
            <w:pPr>
              <w:pStyle w:val="null3"/>
              <w:ind w:firstLine="480"/>
              <w:jc w:val="left"/>
            </w:pPr>
            <w:r>
              <w:rPr>
                <w:rFonts w:ascii="仿宋_GB2312" w:hAnsi="仿宋_GB2312" w:cs="仿宋_GB2312" w:eastAsia="仿宋_GB2312"/>
                <w:sz w:val="24"/>
              </w:rPr>
              <w:t>（一）项目人员配备</w:t>
            </w:r>
          </w:p>
          <w:p>
            <w:pPr>
              <w:pStyle w:val="null3"/>
              <w:spacing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供应商须提供针对本项目的详细人员配备情况。要求拟派项目成员相关专业人员搭配合理、职能健全，岗位分工明确、职责清晰，包括人员配备情况及水平、人员安排、专业配置、从业经历、参与工作经验等方面，均应满足本项目采购要求。</w:t>
            </w:r>
          </w:p>
          <w:p>
            <w:pPr>
              <w:pStyle w:val="null3"/>
              <w:spacing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2、项目负责人具有市政工程专业高级工程师或注册土木工程师（道路工程）资格证书</w:t>
            </w:r>
          </w:p>
          <w:p>
            <w:pPr>
              <w:pStyle w:val="null3"/>
              <w:spacing w:after="105"/>
              <w:ind w:firstLine="480"/>
              <w:jc w:val="both"/>
            </w:pPr>
            <w:r>
              <w:rPr>
                <w:rFonts w:ascii="仿宋_GB2312" w:hAnsi="仿宋_GB2312" w:cs="仿宋_GB2312" w:eastAsia="仿宋_GB2312"/>
                <w:sz w:val="24"/>
              </w:rPr>
              <w:t>（二）具体服务要求</w:t>
            </w:r>
          </w:p>
          <w:p>
            <w:pPr>
              <w:pStyle w:val="null3"/>
              <w:spacing w:after="105"/>
              <w:ind w:firstLine="480"/>
              <w:jc w:val="both"/>
            </w:pPr>
            <w:r>
              <w:rPr>
                <w:rFonts w:ascii="仿宋_GB2312" w:hAnsi="仿宋_GB2312" w:cs="仿宋_GB2312" w:eastAsia="仿宋_GB2312"/>
                <w:sz w:val="24"/>
              </w:rPr>
              <w:t>1、</w:t>
            </w:r>
            <w:r>
              <w:rPr>
                <w:rFonts w:ascii="仿宋_GB2312" w:hAnsi="仿宋_GB2312" w:cs="仿宋_GB2312" w:eastAsia="仿宋_GB2312"/>
                <w:sz w:val="24"/>
              </w:rPr>
              <w:t>施工图文件</w:t>
            </w:r>
            <w:r>
              <w:rPr>
                <w:rFonts w:ascii="仿宋_GB2312" w:hAnsi="仿宋_GB2312" w:cs="仿宋_GB2312" w:eastAsia="仿宋_GB2312"/>
                <w:sz w:val="24"/>
              </w:rPr>
              <w:t>按国家规定和合同约定的技术规范、标准进行设计。</w:t>
            </w:r>
          </w:p>
          <w:p>
            <w:pPr>
              <w:pStyle w:val="null3"/>
              <w:spacing w:after="105"/>
              <w:ind w:firstLine="480"/>
              <w:jc w:val="both"/>
            </w:pPr>
            <w:r>
              <w:rPr>
                <w:rFonts w:ascii="仿宋_GB2312" w:hAnsi="仿宋_GB2312" w:cs="仿宋_GB2312" w:eastAsia="仿宋_GB2312"/>
                <w:sz w:val="24"/>
              </w:rPr>
              <w:t>2、</w:t>
            </w:r>
            <w:r>
              <w:rPr>
                <w:rFonts w:ascii="仿宋_GB2312" w:hAnsi="仿宋_GB2312" w:cs="仿宋_GB2312" w:eastAsia="仿宋_GB2312"/>
                <w:sz w:val="24"/>
              </w:rPr>
              <w:t>本工程设计阶段划分</w:t>
            </w:r>
            <w:r>
              <w:rPr>
                <w:rFonts w:ascii="仿宋_GB2312" w:hAnsi="仿宋_GB2312" w:cs="仿宋_GB2312" w:eastAsia="仿宋_GB2312"/>
                <w:sz w:val="24"/>
              </w:rPr>
              <w:t>：</w:t>
            </w:r>
            <w:r>
              <w:rPr>
                <w:rFonts w:ascii="仿宋_GB2312" w:hAnsi="仿宋_GB2312" w:cs="仿宋_GB2312" w:eastAsia="仿宋_GB2312"/>
                <w:sz w:val="24"/>
              </w:rPr>
              <w:t>方案设计阶段、施工图设计及施工配合阶段。</w:t>
            </w:r>
          </w:p>
          <w:p>
            <w:pPr>
              <w:pStyle w:val="null3"/>
              <w:spacing w:after="105"/>
              <w:ind w:firstLine="480"/>
              <w:jc w:val="both"/>
            </w:pPr>
            <w:r>
              <w:rPr>
                <w:rFonts w:ascii="仿宋_GB2312" w:hAnsi="仿宋_GB2312" w:cs="仿宋_GB2312" w:eastAsia="仿宋_GB2312"/>
                <w:sz w:val="24"/>
              </w:rPr>
              <w:t>3、提供</w:t>
            </w:r>
            <w:r>
              <w:rPr>
                <w:rFonts w:ascii="仿宋_GB2312" w:hAnsi="仿宋_GB2312" w:cs="仿宋_GB2312" w:eastAsia="仿宋_GB2312"/>
                <w:sz w:val="24"/>
              </w:rPr>
              <w:t>青龙北路西延伸、红星路北延伸</w:t>
            </w:r>
            <w:r>
              <w:rPr>
                <w:rFonts w:ascii="仿宋_GB2312" w:hAnsi="仿宋_GB2312" w:cs="仿宋_GB2312" w:eastAsia="仿宋_GB2312"/>
                <w:sz w:val="24"/>
              </w:rPr>
              <w:t>最终施工图文件各</w:t>
            </w:r>
            <w:r>
              <w:rPr>
                <w:rFonts w:ascii="仿宋_GB2312" w:hAnsi="仿宋_GB2312" w:cs="仿宋_GB2312" w:eastAsia="仿宋_GB2312"/>
                <w:sz w:val="24"/>
              </w:rPr>
              <w:t>8套、设计概算书各2份及光盘各2份（所有成果电子版文字为doc格式，图纸为 AutoCAD2004的DWG和PDF格式，效果图为JPG格式）</w:t>
            </w:r>
          </w:p>
          <w:p>
            <w:pPr>
              <w:pStyle w:val="null3"/>
              <w:spacing w:after="105"/>
              <w:ind w:firstLine="482"/>
              <w:jc w:val="both"/>
            </w:pPr>
            <w:r>
              <w:rPr>
                <w:rFonts w:ascii="仿宋_GB2312" w:hAnsi="仿宋_GB2312" w:cs="仿宋_GB2312" w:eastAsia="仿宋_GB2312"/>
                <w:sz w:val="24"/>
                <w:b/>
              </w:rPr>
              <w:t>五、商务要求</w:t>
            </w:r>
          </w:p>
          <w:p>
            <w:pPr>
              <w:pStyle w:val="null3"/>
              <w:spacing w:after="105"/>
              <w:ind w:firstLine="480"/>
              <w:jc w:val="both"/>
            </w:pPr>
            <w:r>
              <w:rPr>
                <w:rFonts w:ascii="仿宋_GB2312" w:hAnsi="仿宋_GB2312" w:cs="仿宋_GB2312" w:eastAsia="仿宋_GB2312"/>
                <w:sz w:val="24"/>
              </w:rPr>
              <w:t>（一）</w:t>
            </w:r>
            <w:r>
              <w:rPr>
                <w:rFonts w:ascii="仿宋_GB2312" w:hAnsi="仿宋_GB2312" w:cs="仿宋_GB2312" w:eastAsia="仿宋_GB2312"/>
                <w:sz w:val="24"/>
              </w:rPr>
              <w:t>设计周期</w:t>
            </w:r>
            <w:r>
              <w:rPr>
                <w:rFonts w:ascii="仿宋_GB2312" w:hAnsi="仿宋_GB2312" w:cs="仿宋_GB2312" w:eastAsia="仿宋_GB2312"/>
                <w:sz w:val="24"/>
              </w:rPr>
              <w:t>：成交供应商应在合同签订后尽快安排人员与采购单位就服务工作进行安排、部署，采购人提供条件及全部资料齐全后</w:t>
            </w:r>
            <w:r>
              <w:rPr>
                <w:rFonts w:ascii="仿宋_GB2312" w:hAnsi="仿宋_GB2312" w:cs="仿宋_GB2312" w:eastAsia="仿宋_GB2312"/>
                <w:sz w:val="24"/>
              </w:rPr>
              <w:t>13</w:t>
            </w:r>
            <w:r>
              <w:rPr>
                <w:rFonts w:ascii="仿宋_GB2312" w:hAnsi="仿宋_GB2312" w:cs="仿宋_GB2312" w:eastAsia="仿宋_GB2312"/>
                <w:sz w:val="24"/>
              </w:rPr>
              <w:t>个</w:t>
            </w:r>
            <w:r>
              <w:rPr>
                <w:rFonts w:ascii="仿宋_GB2312" w:hAnsi="仿宋_GB2312" w:cs="仿宋_GB2312" w:eastAsia="仿宋_GB2312"/>
                <w:sz w:val="24"/>
              </w:rPr>
              <w:t>日历日</w:t>
            </w:r>
            <w:r>
              <w:rPr>
                <w:rFonts w:ascii="仿宋_GB2312" w:hAnsi="仿宋_GB2312" w:cs="仿宋_GB2312" w:eastAsia="仿宋_GB2312"/>
                <w:sz w:val="24"/>
              </w:rPr>
              <w:t>内完成</w:t>
            </w:r>
            <w:r>
              <w:rPr>
                <w:rFonts w:ascii="仿宋_GB2312" w:hAnsi="仿宋_GB2312" w:cs="仿宋_GB2312" w:eastAsia="仿宋_GB2312"/>
                <w:sz w:val="24"/>
              </w:rPr>
              <w:t>施工图</w:t>
            </w:r>
            <w:r>
              <w:rPr>
                <w:rFonts w:ascii="仿宋_GB2312" w:hAnsi="仿宋_GB2312" w:cs="仿宋_GB2312" w:eastAsia="仿宋_GB2312"/>
                <w:sz w:val="24"/>
              </w:rPr>
              <w:t>设计</w:t>
            </w:r>
            <w:r>
              <w:rPr>
                <w:rFonts w:ascii="仿宋_GB2312" w:hAnsi="仿宋_GB2312" w:cs="仿宋_GB2312" w:eastAsia="仿宋_GB2312"/>
                <w:sz w:val="24"/>
              </w:rPr>
              <w:t>及概算</w:t>
            </w:r>
            <w:r>
              <w:rPr>
                <w:rFonts w:ascii="仿宋_GB2312" w:hAnsi="仿宋_GB2312" w:cs="仿宋_GB2312" w:eastAsia="仿宋_GB2312"/>
                <w:sz w:val="24"/>
              </w:rPr>
              <w:t>编制工作。</w:t>
            </w:r>
          </w:p>
          <w:p>
            <w:pPr>
              <w:pStyle w:val="null3"/>
              <w:spacing w:after="105"/>
              <w:ind w:firstLine="480"/>
              <w:jc w:val="both"/>
            </w:pPr>
            <w:r>
              <w:rPr>
                <w:rFonts w:ascii="仿宋_GB2312" w:hAnsi="仿宋_GB2312" w:cs="仿宋_GB2312" w:eastAsia="仿宋_GB2312"/>
                <w:sz w:val="24"/>
              </w:rPr>
              <w:t>（二）该项目报价含税及完成本项目服务内容所发生的一切费用，不受市场价格变化的影响。</w:t>
            </w:r>
          </w:p>
          <w:p>
            <w:pPr>
              <w:pStyle w:val="null3"/>
              <w:spacing w:after="105"/>
              <w:ind w:firstLine="480"/>
              <w:jc w:val="both"/>
            </w:pPr>
            <w:r>
              <w:rPr>
                <w:rFonts w:ascii="仿宋_GB2312" w:hAnsi="仿宋_GB2312" w:cs="仿宋_GB2312" w:eastAsia="仿宋_GB2312"/>
                <w:sz w:val="24"/>
                <w:b/>
              </w:rPr>
              <w:t>六、质量验收标准或规范</w:t>
            </w:r>
          </w:p>
          <w:p>
            <w:pPr>
              <w:pStyle w:val="null3"/>
              <w:spacing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设计质量满足现行国家、省、市相关设计规范要求。</w:t>
            </w:r>
          </w:p>
          <w:p>
            <w:pPr>
              <w:pStyle w:val="null3"/>
              <w:spacing w:after="105"/>
              <w:ind w:firstLine="480"/>
              <w:jc w:val="both"/>
            </w:pPr>
            <w:r>
              <w:rPr>
                <w:rFonts w:ascii="仿宋_GB2312" w:hAnsi="仿宋_GB2312" w:cs="仿宋_GB2312" w:eastAsia="仿宋_GB2312"/>
                <w:sz w:val="24"/>
              </w:rPr>
              <w:t>(1)《城市道路交通工程项目规范》（GB 55011-2021）；</w:t>
            </w:r>
          </w:p>
          <w:p>
            <w:pPr>
              <w:pStyle w:val="null3"/>
              <w:spacing w:after="105"/>
              <w:ind w:firstLine="480"/>
              <w:jc w:val="both"/>
            </w:pPr>
            <w:r>
              <w:rPr>
                <w:rFonts w:ascii="仿宋_GB2312" w:hAnsi="仿宋_GB2312" w:cs="仿宋_GB2312" w:eastAsia="仿宋_GB2312"/>
                <w:sz w:val="24"/>
              </w:rPr>
              <w:t>(2)《城市道路工程设计规范》（CJJ37—2012 2016 年版）；</w:t>
            </w:r>
          </w:p>
          <w:p>
            <w:pPr>
              <w:pStyle w:val="null3"/>
              <w:spacing w:after="105"/>
              <w:ind w:firstLine="480"/>
              <w:jc w:val="both"/>
            </w:pPr>
            <w:r>
              <w:rPr>
                <w:rFonts w:ascii="仿宋_GB2312" w:hAnsi="仿宋_GB2312" w:cs="仿宋_GB2312" w:eastAsia="仿宋_GB2312"/>
                <w:sz w:val="24"/>
              </w:rPr>
              <w:t>(3)《城市道路交叉口规划规范》（GB50647—2011）；</w:t>
            </w:r>
          </w:p>
          <w:p>
            <w:pPr>
              <w:pStyle w:val="null3"/>
              <w:spacing w:after="105"/>
              <w:ind w:firstLine="480"/>
              <w:jc w:val="both"/>
            </w:pPr>
            <w:r>
              <w:rPr>
                <w:rFonts w:ascii="仿宋_GB2312" w:hAnsi="仿宋_GB2312" w:cs="仿宋_GB2312" w:eastAsia="仿宋_GB2312"/>
                <w:sz w:val="24"/>
              </w:rPr>
              <w:t>(4)《城市道路交叉口设计规程》（CJJ152—2010）；</w:t>
            </w:r>
          </w:p>
          <w:p>
            <w:pPr>
              <w:pStyle w:val="null3"/>
              <w:spacing w:after="105"/>
              <w:ind w:firstLine="480"/>
              <w:jc w:val="both"/>
            </w:pPr>
            <w:r>
              <w:rPr>
                <w:rFonts w:ascii="仿宋_GB2312" w:hAnsi="仿宋_GB2312" w:cs="仿宋_GB2312" w:eastAsia="仿宋_GB2312"/>
                <w:sz w:val="24"/>
              </w:rPr>
              <w:t>(5)《城市道路路线设计规范》（CJJ193-2012）；</w:t>
            </w:r>
          </w:p>
          <w:p>
            <w:pPr>
              <w:pStyle w:val="null3"/>
              <w:spacing w:after="105"/>
              <w:ind w:firstLine="480"/>
              <w:jc w:val="both"/>
            </w:pPr>
            <w:r>
              <w:rPr>
                <w:rFonts w:ascii="仿宋_GB2312" w:hAnsi="仿宋_GB2312" w:cs="仿宋_GB2312" w:eastAsia="仿宋_GB2312"/>
                <w:sz w:val="24"/>
              </w:rPr>
              <w:t>(6)《无障碍设计规范》（GB 50763-2012）；</w:t>
            </w:r>
          </w:p>
          <w:p>
            <w:pPr>
              <w:pStyle w:val="null3"/>
              <w:spacing w:after="105"/>
              <w:ind w:firstLine="480"/>
              <w:jc w:val="both"/>
            </w:pPr>
            <w:r>
              <w:rPr>
                <w:rFonts w:ascii="仿宋_GB2312" w:hAnsi="仿宋_GB2312" w:cs="仿宋_GB2312" w:eastAsia="仿宋_GB2312"/>
                <w:sz w:val="24"/>
              </w:rPr>
              <w:t>(7)《建筑与市政工程无障碍通用规范》（GB55019-2021）；</w:t>
            </w:r>
          </w:p>
          <w:p>
            <w:pPr>
              <w:pStyle w:val="null3"/>
              <w:spacing w:after="105"/>
              <w:ind w:firstLine="480"/>
              <w:jc w:val="both"/>
            </w:pPr>
            <w:r>
              <w:rPr>
                <w:rFonts w:ascii="仿宋_GB2312" w:hAnsi="仿宋_GB2312" w:cs="仿宋_GB2312" w:eastAsia="仿宋_GB2312"/>
                <w:sz w:val="24"/>
              </w:rPr>
              <w:t>(8)《城市道路路基设计规范》（CJJ 194-2013）；</w:t>
            </w:r>
          </w:p>
          <w:p>
            <w:pPr>
              <w:pStyle w:val="null3"/>
              <w:spacing w:after="105"/>
              <w:ind w:firstLine="480"/>
              <w:jc w:val="both"/>
            </w:pPr>
            <w:r>
              <w:rPr>
                <w:rFonts w:ascii="仿宋_GB2312" w:hAnsi="仿宋_GB2312" w:cs="仿宋_GB2312" w:eastAsia="仿宋_GB2312"/>
                <w:sz w:val="24"/>
              </w:rPr>
              <w:t>(9)《城镇道路路面设计规范》（CJJ 169-2012）</w:t>
            </w:r>
          </w:p>
          <w:p>
            <w:pPr>
              <w:pStyle w:val="null3"/>
              <w:spacing w:after="105"/>
              <w:ind w:firstLine="480"/>
              <w:jc w:val="both"/>
            </w:pPr>
            <w:r>
              <w:rPr>
                <w:rFonts w:ascii="仿宋_GB2312" w:hAnsi="仿宋_GB2312" w:cs="仿宋_GB2312" w:eastAsia="仿宋_GB2312"/>
                <w:sz w:val="24"/>
              </w:rPr>
              <w:t>(10)《湿陷性黄土地区建筑标准》（GB50025-2018）；</w:t>
            </w:r>
          </w:p>
          <w:p>
            <w:pPr>
              <w:pStyle w:val="null3"/>
              <w:spacing w:after="105"/>
              <w:ind w:firstLine="480"/>
              <w:jc w:val="both"/>
            </w:pPr>
            <w:r>
              <w:rPr>
                <w:rFonts w:ascii="仿宋_GB2312" w:hAnsi="仿宋_GB2312" w:cs="仿宋_GB2312" w:eastAsia="仿宋_GB2312"/>
                <w:sz w:val="24"/>
              </w:rPr>
              <w:t>(11)《孔内深层强夯法技术规程》（CECS 197:2006）；</w:t>
            </w:r>
          </w:p>
          <w:p>
            <w:pPr>
              <w:pStyle w:val="null3"/>
              <w:spacing w:after="105"/>
              <w:ind w:firstLine="480"/>
              <w:jc w:val="both"/>
            </w:pPr>
            <w:r>
              <w:rPr>
                <w:rFonts w:ascii="仿宋_GB2312" w:hAnsi="仿宋_GB2312" w:cs="仿宋_GB2312" w:eastAsia="仿宋_GB2312"/>
                <w:sz w:val="24"/>
              </w:rPr>
              <w:t>(12)《建筑地基处理技术规范》（JGJ 79-2012）；</w:t>
            </w:r>
          </w:p>
          <w:p>
            <w:pPr>
              <w:pStyle w:val="null3"/>
              <w:spacing w:after="105"/>
              <w:ind w:firstLine="480"/>
              <w:jc w:val="both"/>
            </w:pPr>
            <w:r>
              <w:rPr>
                <w:rFonts w:ascii="仿宋_GB2312" w:hAnsi="仿宋_GB2312" w:cs="仿宋_GB2312" w:eastAsia="仿宋_GB2312"/>
                <w:sz w:val="24"/>
              </w:rPr>
              <w:t>(13)《道路交通标志板及支撑件》（GB/T 23827-2021）；</w:t>
            </w:r>
          </w:p>
          <w:p>
            <w:pPr>
              <w:pStyle w:val="null3"/>
              <w:spacing w:after="105"/>
              <w:ind w:firstLine="480"/>
              <w:jc w:val="both"/>
            </w:pPr>
            <w:r>
              <w:rPr>
                <w:rFonts w:ascii="仿宋_GB2312" w:hAnsi="仿宋_GB2312" w:cs="仿宋_GB2312" w:eastAsia="仿宋_GB2312"/>
                <w:sz w:val="24"/>
              </w:rPr>
              <w:t>(14)《道路交通标志和标线 第 2 部分：道路交通标志》（GB 5768.2—2022）；</w:t>
            </w:r>
          </w:p>
          <w:p>
            <w:pPr>
              <w:pStyle w:val="null3"/>
              <w:spacing w:after="105"/>
              <w:ind w:firstLine="480"/>
              <w:jc w:val="both"/>
            </w:pPr>
            <w:r>
              <w:rPr>
                <w:rFonts w:ascii="仿宋_GB2312" w:hAnsi="仿宋_GB2312" w:cs="仿宋_GB2312" w:eastAsia="仿宋_GB2312"/>
                <w:sz w:val="24"/>
              </w:rPr>
              <w:t>(15)《道路交通反光膜》（GB/T 18833-2012）；</w:t>
            </w:r>
          </w:p>
          <w:p>
            <w:pPr>
              <w:pStyle w:val="null3"/>
              <w:spacing w:after="105"/>
              <w:ind w:firstLine="480"/>
              <w:jc w:val="both"/>
            </w:pPr>
            <w:r>
              <w:rPr>
                <w:rFonts w:ascii="仿宋_GB2312" w:hAnsi="仿宋_GB2312" w:cs="仿宋_GB2312" w:eastAsia="仿宋_GB2312"/>
                <w:sz w:val="24"/>
              </w:rPr>
              <w:t>(16)《视觉信号表面色》（GB/T 8416-2003）；</w:t>
            </w:r>
          </w:p>
          <w:p>
            <w:pPr>
              <w:pStyle w:val="null3"/>
              <w:spacing w:after="105"/>
              <w:ind w:firstLine="480"/>
              <w:jc w:val="both"/>
            </w:pPr>
            <w:r>
              <w:rPr>
                <w:rFonts w:ascii="仿宋_GB2312" w:hAnsi="仿宋_GB2312" w:cs="仿宋_GB2312" w:eastAsia="仿宋_GB2312"/>
                <w:sz w:val="24"/>
              </w:rPr>
              <w:t>(17)《城市道路交通标志和标线设置规范》（GB51038—2015）；</w:t>
            </w:r>
          </w:p>
          <w:p>
            <w:pPr>
              <w:pStyle w:val="null3"/>
              <w:spacing w:after="105"/>
              <w:ind w:firstLine="480"/>
              <w:jc w:val="both"/>
            </w:pPr>
            <w:r>
              <w:rPr>
                <w:rFonts w:ascii="仿宋_GB2312" w:hAnsi="仿宋_GB2312" w:cs="仿宋_GB2312" w:eastAsia="仿宋_GB2312"/>
                <w:sz w:val="24"/>
              </w:rPr>
              <w:t>(18)《城乡排水工程项目规范》（GB55027-2022）</w:t>
            </w:r>
          </w:p>
          <w:p>
            <w:pPr>
              <w:pStyle w:val="null3"/>
              <w:spacing w:after="105"/>
              <w:ind w:firstLine="480"/>
              <w:jc w:val="both"/>
            </w:pPr>
            <w:r>
              <w:rPr>
                <w:rFonts w:ascii="仿宋_GB2312" w:hAnsi="仿宋_GB2312" w:cs="仿宋_GB2312" w:eastAsia="仿宋_GB2312"/>
                <w:sz w:val="24"/>
              </w:rPr>
              <w:t>(19)《城市给水工程项目规定》（GB55026-2022）</w:t>
            </w:r>
          </w:p>
          <w:p>
            <w:pPr>
              <w:pStyle w:val="null3"/>
              <w:spacing w:after="105"/>
              <w:ind w:firstLine="480"/>
              <w:jc w:val="both"/>
            </w:pPr>
            <w:r>
              <w:rPr>
                <w:rFonts w:ascii="仿宋_GB2312" w:hAnsi="仿宋_GB2312" w:cs="仿宋_GB2312" w:eastAsia="仿宋_GB2312"/>
                <w:sz w:val="24"/>
              </w:rPr>
              <w:t>(20)《城镇给水排水工程技术规范》（GB50788-2012）</w:t>
            </w:r>
          </w:p>
          <w:p>
            <w:pPr>
              <w:pStyle w:val="null3"/>
              <w:spacing w:after="105"/>
              <w:ind w:firstLine="480"/>
              <w:jc w:val="both"/>
            </w:pPr>
            <w:r>
              <w:rPr>
                <w:rFonts w:ascii="仿宋_GB2312" w:hAnsi="仿宋_GB2312" w:cs="仿宋_GB2312" w:eastAsia="仿宋_GB2312"/>
                <w:sz w:val="24"/>
              </w:rPr>
              <w:t>(21)《室外排水设计标准》（GB 50014-2021）；</w:t>
            </w:r>
          </w:p>
          <w:p>
            <w:pPr>
              <w:pStyle w:val="null3"/>
              <w:spacing w:after="105"/>
              <w:ind w:firstLine="480"/>
              <w:jc w:val="both"/>
            </w:pPr>
            <w:r>
              <w:rPr>
                <w:rFonts w:ascii="仿宋_GB2312" w:hAnsi="仿宋_GB2312" w:cs="仿宋_GB2312" w:eastAsia="仿宋_GB2312"/>
                <w:sz w:val="24"/>
              </w:rPr>
              <w:t>(22)《室外给水设计标准》（GB50013-2018）</w:t>
            </w:r>
          </w:p>
          <w:p>
            <w:pPr>
              <w:pStyle w:val="null3"/>
              <w:spacing w:after="105"/>
              <w:ind w:firstLine="480"/>
              <w:jc w:val="both"/>
            </w:pPr>
            <w:r>
              <w:rPr>
                <w:rFonts w:ascii="仿宋_GB2312" w:hAnsi="仿宋_GB2312" w:cs="仿宋_GB2312" w:eastAsia="仿宋_GB2312"/>
                <w:sz w:val="24"/>
              </w:rPr>
              <w:t>(23)《室外给水排水和燃气热力工程抗震设计规范》（GB50032-2003）；</w:t>
            </w:r>
          </w:p>
          <w:p>
            <w:pPr>
              <w:pStyle w:val="null3"/>
              <w:spacing w:after="105"/>
              <w:ind w:firstLine="480"/>
              <w:jc w:val="both"/>
            </w:pPr>
            <w:r>
              <w:rPr>
                <w:rFonts w:ascii="仿宋_GB2312" w:hAnsi="仿宋_GB2312" w:cs="仿宋_GB2312" w:eastAsia="仿宋_GB2312"/>
                <w:sz w:val="24"/>
              </w:rPr>
              <w:t>(24)《给水排水工程管道结构设计规范》（GB50332-2002）；</w:t>
            </w:r>
          </w:p>
          <w:p>
            <w:pPr>
              <w:pStyle w:val="null3"/>
              <w:spacing w:after="105"/>
              <w:ind w:firstLine="480"/>
              <w:jc w:val="both"/>
            </w:pPr>
            <w:r>
              <w:rPr>
                <w:rFonts w:ascii="仿宋_GB2312" w:hAnsi="仿宋_GB2312" w:cs="仿宋_GB2312" w:eastAsia="仿宋_GB2312"/>
                <w:sz w:val="24"/>
              </w:rPr>
              <w:t>(25)《给水排水管道工程施工及验收规范》(GB50268-2008)；</w:t>
            </w:r>
          </w:p>
          <w:p>
            <w:pPr>
              <w:pStyle w:val="null3"/>
              <w:spacing w:after="105"/>
              <w:ind w:firstLine="480"/>
              <w:jc w:val="both"/>
            </w:pPr>
            <w:r>
              <w:rPr>
                <w:rFonts w:ascii="仿宋_GB2312" w:hAnsi="仿宋_GB2312" w:cs="仿宋_GB2312" w:eastAsia="仿宋_GB2312"/>
                <w:sz w:val="24"/>
              </w:rPr>
              <w:t>(26)《建筑给水排水和节水通用规范》（GB55020-2021）；</w:t>
            </w:r>
          </w:p>
          <w:p>
            <w:pPr>
              <w:pStyle w:val="null3"/>
              <w:spacing w:after="105"/>
              <w:ind w:firstLine="480"/>
              <w:jc w:val="both"/>
            </w:pPr>
            <w:r>
              <w:rPr>
                <w:rFonts w:ascii="仿宋_GB2312" w:hAnsi="仿宋_GB2312" w:cs="仿宋_GB2312" w:eastAsia="仿宋_GB2312"/>
                <w:sz w:val="24"/>
              </w:rPr>
              <w:t>(27)《混凝土和钢筋混凝土排水管试验方法》（GB/T 16752-2017）</w:t>
            </w:r>
          </w:p>
          <w:p>
            <w:pPr>
              <w:pStyle w:val="null3"/>
              <w:spacing w:after="105"/>
              <w:ind w:firstLine="480"/>
              <w:jc w:val="both"/>
            </w:pPr>
            <w:r>
              <w:rPr>
                <w:rFonts w:ascii="仿宋_GB2312" w:hAnsi="仿宋_GB2312" w:cs="仿宋_GB2312" w:eastAsia="仿宋_GB2312"/>
                <w:sz w:val="24"/>
              </w:rPr>
              <w:t>(28)《低压配电设计规范》（GB50054-2011）</w:t>
            </w:r>
          </w:p>
          <w:p>
            <w:pPr>
              <w:pStyle w:val="null3"/>
              <w:spacing w:after="105"/>
              <w:ind w:firstLine="480"/>
              <w:jc w:val="both"/>
            </w:pPr>
            <w:r>
              <w:rPr>
                <w:rFonts w:ascii="仿宋_GB2312" w:hAnsi="仿宋_GB2312" w:cs="仿宋_GB2312" w:eastAsia="仿宋_GB2312"/>
                <w:sz w:val="24"/>
              </w:rPr>
              <w:t>(29)《城市道路照明设计标准》（CJJ45-2015）；</w:t>
            </w:r>
          </w:p>
          <w:p>
            <w:pPr>
              <w:pStyle w:val="null3"/>
              <w:spacing w:after="105"/>
              <w:ind w:firstLine="480"/>
              <w:jc w:val="both"/>
            </w:pPr>
            <w:r>
              <w:rPr>
                <w:rFonts w:ascii="仿宋_GB2312" w:hAnsi="仿宋_GB2312" w:cs="仿宋_GB2312" w:eastAsia="仿宋_GB2312"/>
                <w:sz w:val="24"/>
              </w:rPr>
              <w:t>(30)《电力工程电缆设计标准》（GB50217-2018）；</w:t>
            </w:r>
          </w:p>
          <w:p>
            <w:pPr>
              <w:pStyle w:val="null3"/>
              <w:spacing w:after="105"/>
              <w:ind w:firstLine="480"/>
              <w:jc w:val="both"/>
            </w:pPr>
            <w:r>
              <w:rPr>
                <w:rFonts w:ascii="仿宋_GB2312" w:hAnsi="仿宋_GB2312" w:cs="仿宋_GB2312" w:eastAsia="仿宋_GB2312"/>
                <w:sz w:val="24"/>
              </w:rPr>
              <w:t>(31)</w:t>
            </w:r>
            <w:r>
              <w:rPr>
                <w:rFonts w:ascii="仿宋_GB2312" w:hAnsi="仿宋_GB2312" w:cs="仿宋_GB2312" w:eastAsia="仿宋_GB2312"/>
                <w:sz w:val="24"/>
              </w:rPr>
              <w:t>《</w:t>
            </w:r>
            <w:r>
              <w:rPr>
                <w:rFonts w:ascii="仿宋_GB2312" w:hAnsi="仿宋_GB2312" w:cs="仿宋_GB2312" w:eastAsia="仿宋_GB2312"/>
                <w:sz w:val="24"/>
              </w:rPr>
              <w:t>20kV 及以下变电所设计规范》（GB50053-2013）；</w:t>
            </w:r>
          </w:p>
          <w:p>
            <w:pPr>
              <w:pStyle w:val="null3"/>
              <w:spacing w:after="105"/>
              <w:ind w:firstLine="480"/>
              <w:jc w:val="both"/>
            </w:pPr>
            <w:r>
              <w:rPr>
                <w:rFonts w:ascii="仿宋_GB2312" w:hAnsi="仿宋_GB2312" w:cs="仿宋_GB2312" w:eastAsia="仿宋_GB2312"/>
                <w:sz w:val="24"/>
              </w:rPr>
              <w:t>(32)《城市工程管线综合规划规范》（GB50289-2016）；</w:t>
            </w:r>
          </w:p>
          <w:p>
            <w:pPr>
              <w:pStyle w:val="null3"/>
              <w:spacing w:after="105"/>
              <w:ind w:firstLine="480"/>
              <w:jc w:val="both"/>
            </w:pPr>
            <w:r>
              <w:rPr>
                <w:rFonts w:ascii="仿宋_GB2312" w:hAnsi="仿宋_GB2312" w:cs="仿宋_GB2312" w:eastAsia="仿宋_GB2312"/>
                <w:sz w:val="24"/>
              </w:rPr>
              <w:t>(33)《供配电系统设计规范》（GB50052-2009）；</w:t>
            </w:r>
          </w:p>
          <w:p>
            <w:pPr>
              <w:pStyle w:val="null3"/>
              <w:spacing w:after="105"/>
              <w:ind w:firstLine="480"/>
              <w:jc w:val="both"/>
            </w:pPr>
            <w:r>
              <w:rPr>
                <w:rFonts w:ascii="仿宋_GB2312" w:hAnsi="仿宋_GB2312" w:cs="仿宋_GB2312" w:eastAsia="仿宋_GB2312"/>
                <w:sz w:val="24"/>
              </w:rPr>
              <w:t>(34)《市政公用工程设计文件编制深度规定》（2025 版）；</w:t>
            </w:r>
          </w:p>
          <w:p>
            <w:pPr>
              <w:pStyle w:val="null3"/>
              <w:spacing w:after="105"/>
              <w:ind w:firstLine="480"/>
              <w:jc w:val="both"/>
            </w:pPr>
            <w:r>
              <w:rPr>
                <w:rFonts w:ascii="仿宋_GB2312" w:hAnsi="仿宋_GB2312" w:cs="仿宋_GB2312" w:eastAsia="仿宋_GB2312"/>
                <w:sz w:val="24"/>
              </w:rPr>
              <w:t>(35)《 城市道路交通工程项目规范》（GB55011-2021）；</w:t>
            </w:r>
          </w:p>
          <w:p>
            <w:pPr>
              <w:pStyle w:val="null3"/>
              <w:spacing w:after="105"/>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验收</w:t>
            </w:r>
          </w:p>
          <w:p>
            <w:pPr>
              <w:pStyle w:val="null3"/>
              <w:ind w:firstLine="480"/>
              <w:jc w:val="left"/>
            </w:pPr>
            <w:r>
              <w:rPr>
                <w:rFonts w:ascii="仿宋_GB2312" w:hAnsi="仿宋_GB2312" w:cs="仿宋_GB2312" w:eastAsia="仿宋_GB2312"/>
                <w:sz w:val="24"/>
              </w:rPr>
              <w:t>1、成交供应商对最终的服务质量负完全责任。</w:t>
            </w:r>
          </w:p>
          <w:p>
            <w:pPr>
              <w:pStyle w:val="null3"/>
              <w:ind w:firstLine="480"/>
              <w:jc w:val="left"/>
            </w:pPr>
            <w:r>
              <w:rPr>
                <w:rFonts w:ascii="仿宋_GB2312" w:hAnsi="仿宋_GB2312" w:cs="仿宋_GB2312" w:eastAsia="仿宋_GB2312"/>
                <w:sz w:val="24"/>
              </w:rPr>
              <w:t>2、验收依据：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1）合同；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2）国家有关的验收标准及规范；</w:t>
            </w:r>
          </w:p>
          <w:p>
            <w:pPr>
              <w:pStyle w:val="null3"/>
              <w:ind w:firstLine="482"/>
            </w:pPr>
            <w:r>
              <w:rPr>
                <w:rFonts w:ascii="仿宋_GB2312" w:hAnsi="仿宋_GB2312" w:cs="仿宋_GB2312" w:eastAsia="仿宋_GB2312"/>
                <w:sz w:val="24"/>
                <w:b/>
              </w:rPr>
              <w:t>七、违约</w:t>
            </w:r>
          </w:p>
          <w:p>
            <w:pPr>
              <w:pStyle w:val="null3"/>
            </w:pPr>
            <w:r>
              <w:rPr>
                <w:rFonts w:ascii="仿宋_GB2312" w:hAnsi="仿宋_GB2312" w:cs="仿宋_GB2312" w:eastAsia="仿宋_GB2312"/>
                <w:sz w:val="24"/>
              </w:rPr>
              <w:t>一般与合同款项的支付相关，注意不要超出《民法典》中对于违约的责任上限。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自合同签订之日起至施工完成竣工验收后止。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1、成交供应商对最终的服务质量负完全责任。2、验收依据：（1）合同；（2）国家有关的验收标准及规范。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进度款，设计人完成施工图的全部设计文件并经审查合格并开具正规发票及提供相关付款手续后，达到付款条件起15个工作日内，支付合同总金额的80.0%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进度款，工程竣工验收后（实际支付根据财政拨款进度最终确定），达到付款条件起15个工作日内，支付合同总金额的20.0%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根据合同约定执行。双方在履行合同过程中，若发生争议，可以协商解决。如协商未果，双方向采购人所在地人民法院提起诉讼。乙方如果没有按照本合同约定履行合同，甲方有权终止合同。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2、为顺利推进政府采购电子化交易平台应用工作，中标（成交）通知书发出后，中标（成交）供应商须提供胶装后纸质投标（响应）文件贰套交由采购代理机构留存，且提供的纸质投标（响应）文件必须与在陕西省政府采购网电子化交易系统上传提交的电子投标（响应）文件内容一致。(黑白双面打印，需在首页和骑缝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应提供健全的财务会计制度的证明材料：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工程设计综合资质甲级，或市政行业工程设计乙级及以上资质，或市政行业(燃气、轨道交通工程除外)乙级及以上资质，或市政行业(道路工程)专业乙级及以上资质及市政行业（排水工程）专业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本项目不接受联合体磋商（提供相应承诺）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1、报价唯一；2、报价货币符合磋商文件要求；3、未超出磋商文件规定的采购预算或最高限价。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项目负责人具有市政工程专业高级工程师或注册土木工程师（道路工程）资格证书</w:t>
            </w:r>
          </w:p>
        </w:tc>
        <w:tc>
          <w:tcPr>
            <w:tcW w:type="dxa" w:w="1661"/>
          </w:tcPr>
          <w:p>
            <w:pPr>
              <w:pStyle w:val="null3"/>
            </w:pPr>
            <w:r>
              <w:rPr>
                <w:rFonts w:ascii="仿宋_GB2312" w:hAnsi="仿宋_GB2312" w:cs="仿宋_GB2312" w:eastAsia="仿宋_GB2312"/>
              </w:rPr>
              <w:t>项目负责人、项目管理团队人员.docx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中小企业声明函 报价表 商务应答表.docx 拒绝商业贿赂承诺书.docx 响应文件封面 供应商应提交的相关资格证明材料.docx 残疾人福利性单位声明函 标的清单 供应商诚信承诺书.docx 服务内容及服务要求应答表.docx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详细评审82.00分</w:t>
            </w:r>
          </w:p>
          <w:p>
            <w:pPr>
              <w:pStyle w:val="null3"/>
            </w:pPr>
            <w:r>
              <w:rPr>
                <w:rFonts w:ascii="仿宋_GB2312" w:hAnsi="仿宋_GB2312" w:cs="仿宋_GB2312" w:eastAsia="仿宋_GB2312"/>
              </w:rPr>
              <w:t>报价得分18.00分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对项目的理解及任务分析</w:t>
            </w:r>
          </w:p>
        </w:tc>
        <w:tc>
          <w:tcPr>
            <w:tcW w:type="dxa" w:w="2492"/>
          </w:tcPr>
          <w:p>
            <w:pPr>
              <w:pStyle w:val="null3"/>
            </w:pPr>
            <w:r>
              <w:rPr>
                <w:rFonts w:ascii="仿宋_GB2312" w:hAnsi="仿宋_GB2312" w:cs="仿宋_GB2312" w:eastAsia="仿宋_GB2312"/>
              </w:rPr>
              <w:t>根据供应商提供对项目的理解及针对本项目的任务分析：评审标准内容：①全面性：掌握项目各项工作要求，内容全面完善。②准确性：了解项目真实情况。③针对性：能够紧扣项目实际情况，内容科学合理； 1、供应商描述对项目的理解：每完全满足一项评审标准得2分，满分6分；每有一项缺陷扣0.2分。 2、针对本项目的任务分析：每完全满足一项评审标准得2分，满分6分；每有一项缺陷扣0.2分。 以上内容未提供得0分。（注：缺陷是指不适用项目实际情况、凭空编造、存在逻辑漏洞、科学原理错误、不可能实现的夸大情形以及涉及的规范、标准与本项目要求不一致等）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对本次服务背景的理解.docx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总体设计思路及方案</w:t>
            </w:r>
          </w:p>
        </w:tc>
        <w:tc>
          <w:tcPr>
            <w:tcW w:type="dxa" w:w="2492"/>
          </w:tcPr>
          <w:p>
            <w:pPr>
              <w:pStyle w:val="null3"/>
            </w:pPr>
            <w:r>
              <w:rPr>
                <w:rFonts w:ascii="仿宋_GB2312" w:hAnsi="仿宋_GB2312" w:cs="仿宋_GB2312" w:eastAsia="仿宋_GB2312"/>
              </w:rPr>
              <w:t>根据供应商描述总体设计思路及方案：评审标准内容： ①可实施性：实施步骤清晰、计划合理，可实施性强。②合理性：切合本项目实际情况，设计合理。③全面性：内容全面完善，各专业考虑周全。 1、总体设计思路：每完全满足一项评审标准得2分，满分6分；每有一项缺陷扣0.2分。 2、设计方案：每完全满足一项评审标准得2分，满分6分；每有一项缺陷扣0.2分。 以上内容未提供得0分。（注：缺陷是指不适用项目实际情况、凭空编造、存在逻辑漏洞、科学原理错误、不可能实现的夸大情形以及涉及的规范、标准与本项目要求不一致等）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总体设计思路及方案.docx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项目服务标准、服务质量保障措施</w:t>
            </w:r>
          </w:p>
        </w:tc>
        <w:tc>
          <w:tcPr>
            <w:tcW w:type="dxa" w:w="2492"/>
          </w:tcPr>
          <w:p>
            <w:pPr>
              <w:pStyle w:val="null3"/>
            </w:pPr>
            <w:r>
              <w:rPr>
                <w:rFonts w:ascii="仿宋_GB2312" w:hAnsi="仿宋_GB2312" w:cs="仿宋_GB2312" w:eastAsia="仿宋_GB2312"/>
              </w:rPr>
              <w:t>根据供应商提供服务标准、服务质量保障措施：评审标准内容： ①可实施性：实施步骤清晰、计划合理，可实施性强。②合理性：切合本项目实际情况，合理可行。 1、每完全满足一项评审标准得4分，满分8分；每有一项缺陷扣0.2分。 以上内容未提供得0分。（注：缺陷是指不适用项目实际情况、凭空编造、存在逻辑漏洞、科学原理错误、不可能实现的夸大情形以及涉及的规范、标准与本项目要求不一致等）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项目服务标准、服务质量保障措施.docx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根据供应商描述进度保障措施：评审标准内容： ①可实施性：实施步骤清晰、计划合理，可实施性强。②合理性：切合本项目实际情况，合理可行。 1、进度计划：每完全满足一项评审标准得2分，满分4分；每有一项缺陷扣0.2分。 2、保障措施：每完全满足一项评审标准得2分，满分4分；每有一项缺陷扣0.2分。 以上内容未提供得0分。（注：缺陷是指不适用项目实际情况、凭空编造、存在逻辑漏洞、科学原理错误、不可能实现的夸大情形以及涉及的规范、标准与本项目要求不一致等）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进度保障措施.docx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拟投入本项目的项目负责人具有本科及以上学历计3分，具有大专学历计1分，其他不得分。 （注：提供项目负责人相关证件复印件并加盖供应商公章。）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项目负责人、项目管理团队人员.docx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业绩：拟投入本项目的项目负责人具有丰富的工作经验，能够带领及引导团队人员顺利完成项目,并达到采购人要求。提供近三年来（2023年1月1日至开标截止时间前）类似市政工程设计业绩证明材料，（以中标（成交）通知书或合同协议书为准，项目负责人姓名（以中标（成交）通知书或合同协议书为准，合同协议书或中标（成交）通知书中无法体现拟派项目设计负责人信息时，以该项目建设单位出具的加盖该项目建设单位公章的相关证明材料中负责人信息为准。可与企业业绩重复计分）。每有1项得3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项目负责人企业业绩明细.docx</w:t>
            </w:r>
          </w:p>
        </w:tc>
      </w:tr>
      <w:tr>
        <w:tc>
          <w:tcPr>
            <w:tcW w:type="dxa" w:w="831"/>
            <w:vMerge/>
          </w:tcPr>
          <w:p/>
        </w:tc>
        <w:tc>
          <w:tcPr>
            <w:tcW w:type="dxa" w:w="1661"/>
          </w:tcPr>
          <w:p>
            <w:pPr>
              <w:pStyle w:val="null3"/>
            </w:pPr>
            <w:r>
              <w:rPr>
                <w:rFonts w:ascii="仿宋_GB2312" w:hAnsi="仿宋_GB2312" w:cs="仿宋_GB2312" w:eastAsia="仿宋_GB2312"/>
              </w:rPr>
              <w:t>拟派项目团队成员情况</w:t>
            </w:r>
          </w:p>
        </w:tc>
        <w:tc>
          <w:tcPr>
            <w:tcW w:type="dxa" w:w="2492"/>
          </w:tcPr>
          <w:p>
            <w:pPr>
              <w:pStyle w:val="null3"/>
            </w:pPr>
            <w:r>
              <w:rPr>
                <w:rFonts w:ascii="仿宋_GB2312" w:hAnsi="仿宋_GB2312" w:cs="仿宋_GB2312" w:eastAsia="仿宋_GB2312"/>
              </w:rPr>
              <w:t>人员配置合理，岗位分工明确，每提供1名具有道路，给排水，交通，照明，造价等工程相关专业工程师职称的加3分，本项满分9分。（须提供人员职称证复印件加盖供应商公章，同一人不重复计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项目负责人、项目管理团队人员.docx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根据供应商提供的方案及承诺，包含①针对本项目及采购人实际需求提供具体可行的服务措施及服务实施计划，有现场技术支持和服务措施及承诺，承诺内容阐明可提供的咨询或后期服务内容。（承诺内容无可提供的咨询或后期服务内容的得0分。）②提供针对本项目的经济分析和投资成本保证措施方案。（无成本保证措施内容得0分。）③有协助业主确保工程质量、控制工程规模、降低工程造价、减少设计变更等措施及合理化建议。（无合理化建议得0分。） 每提供一项符合要求的内容得3分，最高得9分。以上内容未提供得0分。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需提供近三年来（2023年1月1日至开标截止时间前）类似市政工程设计业绩证明材料，每提供1个业绩得5分；最高得15分（附合同协议书或中标（成交）通知书复印件，以合同签订时间或中标（成交）通知书签发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项目负责人企业业绩明细.docx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满足磋商文件要求且最后报价最低的供应商的价格为磋商基准价，其价格分为满分。其他供应商的价格分统一按照下列公式计算：磋商报价得分=（磋商基准价/最后磋商报价）×18。</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详见附件：对本次服务背景的理解.docx</w:t>
      </w:r>
    </w:p>
    <w:p>
      <w:pPr>
        <w:pStyle w:val="null3"/>
        <w:ind w:firstLine="960"/>
      </w:pPr>
      <w:r>
        <w:rPr>
          <w:rFonts w:ascii="仿宋_GB2312" w:hAnsi="仿宋_GB2312" w:cs="仿宋_GB2312" w:eastAsia="仿宋_GB2312"/>
        </w:rPr>
        <w:t>详见附件：总体设计思路及方案.docx</w:t>
      </w:r>
    </w:p>
    <w:p>
      <w:pPr>
        <w:pStyle w:val="null3"/>
        <w:ind w:firstLine="960"/>
      </w:pPr>
      <w:r>
        <w:rPr>
          <w:rFonts w:ascii="仿宋_GB2312" w:hAnsi="仿宋_GB2312" w:cs="仿宋_GB2312" w:eastAsia="仿宋_GB2312"/>
        </w:rPr>
        <w:t>详见附件：进度保障措施.docx</w:t>
      </w:r>
    </w:p>
    <w:p>
      <w:pPr>
        <w:pStyle w:val="null3"/>
        <w:ind w:firstLine="960"/>
      </w:pPr>
      <w:r>
        <w:rPr>
          <w:rFonts w:ascii="仿宋_GB2312" w:hAnsi="仿宋_GB2312" w:cs="仿宋_GB2312" w:eastAsia="仿宋_GB2312"/>
        </w:rPr>
        <w:t>详见附件：项目负责人、项目管理团队人员.docx</w:t>
      </w:r>
    </w:p>
    <w:p>
      <w:pPr>
        <w:pStyle w:val="null3"/>
        <w:ind w:firstLine="960"/>
      </w:pPr>
      <w:r>
        <w:rPr>
          <w:rFonts w:ascii="仿宋_GB2312" w:hAnsi="仿宋_GB2312" w:cs="仿宋_GB2312" w:eastAsia="仿宋_GB2312"/>
        </w:rPr>
        <w:t>详见附件：项目负责人企业业绩明细.docx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详见附件：项目服务标准、服务质量保障措施.docx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