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版本号：【KRDL】K2-260503320260521002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地质学系搬迁搬运服务采购项目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【KRDL】K2-2605033</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地质学系搬迁搬运服务采购项目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【KRDL】K2-2605033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地质学系搬迁搬运服务采购项目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按照西北大学要求启动搬迁工作，2026年8月20之前完成搬迁服务一项，包含现场勘查与方案规划、物品打包与拆卸、装卸与运输、善后清理等内容，具体以竞争性磋商文件及答疑文件等文件所涵盖的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采购包1（西北大学地质学系搬迁搬运服务采购项目）：属于专门面向中小企业采购。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1、营业执照：供应商为向采购人提供服务的法人或其他组织；</w:t>
      </w:r>
    </w:p>
    <w:p>
      <w:pPr>
        <w:pStyle w:val="null3"/>
      </w:pPr>
      <w:r>
        <w:rPr>
          <w:rFonts w:ascii="仿宋_GB2312" w:hAnsi="仿宋_GB2312" w:cs="仿宋_GB2312" w:eastAsia="仿宋_GB2312"/>
        </w:rPr>
        <w:t>2、信用主体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状况证明：提供2024或2025年度经第三方会计事务所审计过的财务报告，或磋商截止时间前90天内基本账户银行出具的资信证明。注：①提供财务报告的，内容至少包括审计报告、附注。审计报告须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2025年5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2025年5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6、其它承诺：供应商具有履行本合同所必需的专业技术能力的承诺书。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赵婉婷、王昭、姚瑶、刘昆、张晨、代光艳、王森、靳祥德、成荔、彭明杨、王莉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029-89581311、15667290283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说明：中标/成交供应商在与采购人签订合同前，须缴纳履约保证金；履约保证金金额为成交金额的5%。待验收合格后凭验收单和缴款收据，履约保证金予以无息退还。 缴纳形式：☑银行转账 ☑现金 ☑工程信用担保 ☑银行保函。 户名:西北大学 开户行:交通银行西安学府大街支行 账号:611301015018001145006 联行号:301791000194 退还方式：待验收合格后凭收据和验收单复印件无息退还。 如遇下列情况之一者，合同履约保证金不予退还，作为对采购人的赔偿：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发改委办公厅颁发的《关于招标代理服务收费有关问题的通知》（发改办价格[2003] 857号）的有关规定下浮20%，向招标代理机构一次付清招标代理服务费。备注：在对招标代理服务费或者投标保证金转账时需备注项目名称+招标代理服务费或投标保证金。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踏勘时间：2026-05-26 14:30:00</w:t>
            </w:r>
          </w:p>
          <w:p>
            <w:pPr>
              <w:pStyle w:val="null3"/>
              <w:ind w:firstLine="975"/>
            </w:pPr>
            <w:r>
              <w:rPr>
                <w:rFonts w:ascii="仿宋_GB2312" w:hAnsi="仿宋_GB2312" w:cs="仿宋_GB2312" w:eastAsia="仿宋_GB2312"/>
              </w:rPr>
              <w:t>踏勘地点：西北大学太白校区地质学系</w:t>
            </w:r>
          </w:p>
          <w:p>
            <w:pPr>
              <w:pStyle w:val="null3"/>
              <w:ind w:firstLine="975"/>
            </w:pPr>
            <w:r>
              <w:rPr>
                <w:rFonts w:ascii="仿宋_GB2312" w:hAnsi="仿宋_GB2312" w:cs="仿宋_GB2312" w:eastAsia="仿宋_GB2312"/>
              </w:rPr>
              <w:t>联系人：赵工、白工</w:t>
            </w:r>
          </w:p>
          <w:p>
            <w:pPr>
              <w:pStyle w:val="null3"/>
              <w:ind w:firstLine="975"/>
            </w:pPr>
            <w:r>
              <w:rPr>
                <w:rFonts w:ascii="仿宋_GB2312" w:hAnsi="仿宋_GB2312" w:cs="仿宋_GB2312" w:eastAsia="仿宋_GB2312"/>
              </w:rPr>
              <w:t>联系电话号码：15667290283、15902910121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遵照磋商文件、国家有关规定及合同约定执行。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联系人：赵婉婷、刘昆</w:t>
      </w:r>
    </w:p>
    <w:p>
      <w:pPr>
        <w:pStyle w:val="null3"/>
      </w:pPr>
      <w:r>
        <w:rPr>
          <w:rFonts w:ascii="仿宋_GB2312" w:hAnsi="仿宋_GB2312" w:cs="仿宋_GB2312" w:eastAsia="仿宋_GB2312"/>
        </w:rPr>
        <w:t>联系电话：15667290283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按照西北大学要求启动搬迁工作，2026年8月20之前完成搬迁服务一项，包含现场勘查与方案规划、物品打包与拆卸、装卸与运输、善后清理等内容，具体以竞争性磋商文件及答疑文件等文件所涵盖的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地质学系搬迁搬运服务采购项目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标的名称：地质学系搬迁搬运服务采购项目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一、总体要求</w:t>
            </w:r>
          </w:p>
          <w:p>
            <w:pPr>
              <w:pStyle w:val="null3"/>
            </w:pPr>
            <w:r>
              <w:rPr>
                <w:rFonts w:ascii="仿宋_GB2312" w:hAnsi="仿宋_GB2312" w:cs="仿宋_GB2312" w:eastAsia="仿宋_GB2312"/>
              </w:rPr>
              <w:t>供应商在搬迁过程中所有物品不得遗失、损毁，搬迁物品的性能状态不得发生改变。对于多组件家具、空调拆装等物品须保证各个组件的完整性，不得发生组件的遗失、损毁。搬运过程中，供应商要严格保证运输车辆、搬运物品、搬运工人及现场师生的安全。物品遗失、损坏或改变性能，供应商需照价赔偿，对人身造成伤害，供应商需全权负责。整个搬迁项目必须遵守安全第一的原则，遵守国家、学校各项安全生产管理规定及安全管理制度，采取必要的安全防护措施，严格按操作规程进行安全施工，并随时接受学院负责人及安全检查人员的监督检查，及时消除事故隐患。</w:t>
            </w:r>
          </w:p>
          <w:p>
            <w:pPr>
              <w:pStyle w:val="null3"/>
            </w:pPr>
            <w:r>
              <w:rPr>
                <w:rFonts w:ascii="仿宋_GB2312" w:hAnsi="仿宋_GB2312" w:cs="仿宋_GB2312" w:eastAsia="仿宋_GB2312"/>
              </w:rPr>
              <w:t xml:space="preserve">       二、服务要求</w:t>
            </w:r>
          </w:p>
          <w:p>
            <w:pPr>
              <w:pStyle w:val="null3"/>
            </w:pPr>
            <w:r>
              <w:rPr>
                <w:rFonts w:ascii="仿宋_GB2312" w:hAnsi="仿宋_GB2312" w:cs="仿宋_GB2312" w:eastAsia="仿宋_GB2312"/>
              </w:rPr>
              <w:t>（1）搬迁车辆要求</w:t>
            </w:r>
          </w:p>
          <w:p>
            <w:pPr>
              <w:pStyle w:val="null3"/>
            </w:pPr>
            <w:r>
              <w:rPr>
                <w:rFonts w:ascii="仿宋_GB2312" w:hAnsi="仿宋_GB2312" w:cs="仿宋_GB2312" w:eastAsia="仿宋_GB2312"/>
              </w:rPr>
              <w:t>供应商提供的运输车辆应为符合交通管理条例的货物运输车辆，需确保车辆状况良好，并具有通行许可、保险有效、年检合格。运输车辆须为封闭厢式货车，如遇下雨等恶劣天气，搬迁服务商需做好必要的防淋防潮准备。搬迁及运输过程中需确保资料及各类资产无丢失、无破损，搬迁过程中造成的物品损坏或丢失，搬迁服务商需按原价赔偿。车辆规格为不小于4.2m*1.9m*1.9m的厢式货车，按照地质学系指定时间、数量到场。</w:t>
            </w:r>
          </w:p>
          <w:p>
            <w:pPr>
              <w:pStyle w:val="null3"/>
            </w:pPr>
            <w:r>
              <w:rPr>
                <w:rFonts w:ascii="仿宋_GB2312" w:hAnsi="仿宋_GB2312" w:cs="仿宋_GB2312" w:eastAsia="仿宋_GB2312"/>
              </w:rPr>
              <w:t>（2）办公家具及空调拆卸搬迁要求</w:t>
            </w:r>
          </w:p>
          <w:p>
            <w:pPr>
              <w:pStyle w:val="null3"/>
            </w:pPr>
            <w:r>
              <w:rPr>
                <w:rFonts w:ascii="仿宋_GB2312" w:hAnsi="仿宋_GB2312" w:cs="仿宋_GB2312" w:eastAsia="仿宋_GB2312"/>
              </w:rPr>
              <w:t>拆卸设备时间应确保提前，拆卸完后预留时间按采购人资产管理部门清查时的设备编码进行核对，对拆卸设备进行归类整理并摆放整齐。拆卸时要注意安全。确保在设备断电状态下对设备进行拆卸，避免拆卸时造成人身安全事故或损坏设备。对需要拆卸的办公家具，在拆卸过程中，做好相应的安全防护措施，不得损坏；禁止暴力拆卸，对于不能拆卸的，做好防护措施后再整体搬迁，确保不会造成损坏，对部分家具拆卸后无法原样恢复完好，在安装时由供应商负责重新采购配置相同家具予以完成安装。对容易破碎、损坏、变形及各种小件设备、耗材等设备，由供应商负责打包（根据设备情况进行打木箱、泡沫箱、纸箱、塑料箱等）保护。搬迁物品所用的拆装箱由供应商提供。空调专业拆装人员不低于2人/组，办公家具专业拆装不低于2人/组。</w:t>
            </w:r>
          </w:p>
          <w:p>
            <w:pPr>
              <w:pStyle w:val="null3"/>
            </w:pPr>
            <w:r>
              <w:rPr>
                <w:rFonts w:ascii="仿宋_GB2312" w:hAnsi="仿宋_GB2312" w:cs="仿宋_GB2312" w:eastAsia="仿宋_GB2312"/>
              </w:rPr>
              <w:t>（3）图书档案搬迁要求</w:t>
            </w:r>
          </w:p>
          <w:p>
            <w:pPr>
              <w:pStyle w:val="null3"/>
            </w:pPr>
            <w:r>
              <w:rPr>
                <w:rFonts w:ascii="仿宋_GB2312" w:hAnsi="仿宋_GB2312" w:cs="仿宋_GB2312" w:eastAsia="仿宋_GB2312"/>
              </w:rPr>
              <w:t>图书、资料、档案需按类别、按序装于纸箱，并做好手工记录、台账，在每个纸箱标记好序号，保证搬至指定搬入地点，按序按照原样复原，对于不能按要求复原的不予验收结算。</w:t>
            </w:r>
          </w:p>
          <w:p>
            <w:pPr>
              <w:pStyle w:val="null3"/>
            </w:pPr>
            <w:r>
              <w:rPr>
                <w:rFonts w:ascii="仿宋_GB2312" w:hAnsi="仿宋_GB2312" w:cs="仿宋_GB2312" w:eastAsia="仿宋_GB2312"/>
              </w:rPr>
              <w:t>图书、资料、档案人员要求：装箱不低于2人/组、标记记录不低于1人、纸箱折叠不低于1人、搬运不低于2人/组。</w:t>
            </w:r>
          </w:p>
          <w:p>
            <w:pPr>
              <w:pStyle w:val="null3"/>
            </w:pPr>
            <w:r>
              <w:rPr>
                <w:rFonts w:ascii="仿宋_GB2312" w:hAnsi="仿宋_GB2312" w:cs="仿宋_GB2312" w:eastAsia="仿宋_GB2312"/>
              </w:rPr>
              <w:t>（4）教室搬迁要求</w:t>
            </w:r>
          </w:p>
          <w:p>
            <w:pPr>
              <w:pStyle w:val="null3"/>
            </w:pPr>
            <w:r>
              <w:rPr>
                <w:rFonts w:ascii="仿宋_GB2312" w:hAnsi="仿宋_GB2312" w:cs="仿宋_GB2312" w:eastAsia="仿宋_GB2312"/>
              </w:rPr>
              <w:t>教室电器、家具须有专业拆装人员操作，教室家具的摆放按照地质学系规定的样式摆放，电器线路需合理合规，不得造成安全隐患。</w:t>
            </w:r>
          </w:p>
          <w:p>
            <w:pPr>
              <w:pStyle w:val="null3"/>
            </w:pPr>
            <w:r>
              <w:rPr>
                <w:rFonts w:ascii="仿宋_GB2312" w:hAnsi="仿宋_GB2312" w:cs="仿宋_GB2312" w:eastAsia="仿宋_GB2312"/>
              </w:rPr>
              <w:t>（5）岩石、化石标本搬迁要求</w:t>
            </w:r>
          </w:p>
          <w:p>
            <w:pPr>
              <w:pStyle w:val="null3"/>
            </w:pPr>
            <w:r>
              <w:rPr>
                <w:rFonts w:ascii="仿宋_GB2312" w:hAnsi="仿宋_GB2312" w:cs="仿宋_GB2312" w:eastAsia="仿宋_GB2312"/>
              </w:rPr>
              <w:t>所有标本、陈列品必须在专人指导下，按照类别、排序装箱，并且配有减震材料。所有标本、陈列品做好手工记录、台账，在每个纸箱标记好序号，保证搬至指定搬入地点。</w:t>
            </w:r>
          </w:p>
          <w:p>
            <w:pPr>
              <w:pStyle w:val="null3"/>
            </w:pPr>
            <w:r>
              <w:rPr>
                <w:rFonts w:ascii="仿宋_GB2312" w:hAnsi="仿宋_GB2312" w:cs="仿宋_GB2312" w:eastAsia="仿宋_GB2312"/>
              </w:rPr>
              <w:t>（6）实验室搬迁要求</w:t>
            </w:r>
          </w:p>
          <w:p>
            <w:pPr>
              <w:pStyle w:val="null3"/>
            </w:pPr>
            <w:r>
              <w:rPr>
                <w:rFonts w:ascii="仿宋_GB2312" w:hAnsi="仿宋_GB2312" w:cs="仿宋_GB2312" w:eastAsia="仿宋_GB2312"/>
              </w:rPr>
              <w:t>所有指定搬迁的实验室必须在专人指导下进行搬迁，相关配套设施需按 照要求编号、装箱。搬运仪器必须放入指定位置。</w:t>
            </w:r>
          </w:p>
          <w:p>
            <w:pPr>
              <w:pStyle w:val="null3"/>
            </w:pPr>
            <w:r>
              <w:rPr>
                <w:rFonts w:ascii="仿宋_GB2312" w:hAnsi="仿宋_GB2312" w:cs="仿宋_GB2312" w:eastAsia="仿宋_GB2312"/>
              </w:rPr>
              <w:t>（7）学生宿舍搬迁要求</w:t>
            </w:r>
          </w:p>
          <w:p>
            <w:pPr>
              <w:pStyle w:val="null3"/>
            </w:pPr>
            <w:r>
              <w:rPr>
                <w:rFonts w:ascii="仿宋_GB2312" w:hAnsi="仿宋_GB2312" w:cs="仿宋_GB2312" w:eastAsia="仿宋_GB2312"/>
              </w:rPr>
              <w:t>宿舍搬迁必须在辅导员、学生、公寓三方监督下完成，所有物品打包后必须按照要求编号，一一对应。搬运到长安校区指定位置。</w:t>
            </w:r>
          </w:p>
          <w:p>
            <w:pPr>
              <w:pStyle w:val="null3"/>
            </w:pPr>
            <w:r>
              <w:rPr>
                <w:rFonts w:ascii="仿宋_GB2312" w:hAnsi="仿宋_GB2312" w:cs="仿宋_GB2312" w:eastAsia="仿宋_GB2312"/>
              </w:rPr>
              <w:t>（8）其他要求</w:t>
            </w:r>
          </w:p>
          <w:p>
            <w:pPr>
              <w:pStyle w:val="null3"/>
            </w:pPr>
            <w:r>
              <w:rPr>
                <w:rFonts w:ascii="仿宋_GB2312" w:hAnsi="仿宋_GB2312" w:cs="仿宋_GB2312" w:eastAsia="仿宋_GB2312"/>
              </w:rPr>
              <w:t>体积大，重量重的设备及家具，需采用专用起重工具或重型运输设备进行拆卸搬运，在拆卸搬运前后需对破坏的设施进行恢复。</w:t>
            </w:r>
          </w:p>
          <w:p>
            <w:pPr>
              <w:pStyle w:val="null3"/>
            </w:pPr>
            <w:r>
              <w:rPr>
                <w:rFonts w:ascii="仿宋_GB2312" w:hAnsi="仿宋_GB2312" w:cs="仿宋_GB2312" w:eastAsia="仿宋_GB2312"/>
              </w:rPr>
              <w:t>供应商所派服务人员必须服从采购人管理，相关人员只在项目指定服务区域活动，不得进入其它非服务区域，不对学校正常教学、科研及办公进行干扰。</w:t>
            </w:r>
          </w:p>
          <w:p>
            <w:pPr>
              <w:pStyle w:val="null3"/>
            </w:pPr>
            <w:r>
              <w:rPr>
                <w:rFonts w:ascii="仿宋_GB2312" w:hAnsi="仿宋_GB2312" w:cs="仿宋_GB2312" w:eastAsia="仿宋_GB2312"/>
              </w:rPr>
              <w:t>供应商应做好搬运现场的保护工作，对于搬迁过程中涉及到的实施现场（包括但不限于电梯、地面、墙面、道路、楼梯、门窗、家具等）做到有效保护，如有损坏，按市场价原价进行赔偿。搬迁服务过程中若出现任何安全事故，由投标人负责全部责任。</w:t>
            </w:r>
          </w:p>
          <w:p>
            <w:pPr>
              <w:pStyle w:val="null3"/>
            </w:pPr>
            <w:r>
              <w:rPr>
                <w:rFonts w:ascii="仿宋_GB2312" w:hAnsi="仿宋_GB2312" w:cs="仿宋_GB2312" w:eastAsia="仿宋_GB2312"/>
              </w:rPr>
              <w:t>搬迁结束后，需对搬迁过程中产生的各种废弃物进行清理，不得随意丢弃。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西北大学太白校区、长安校区。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（1）质量标准。乙方保证提供的服务质量应符合本次采购相关文件中的全 部相关要求及乙方相关服务标准及相应的技术规范中之较高者。每间办公室、教室、宿舍、实验室需由相应负责人签字确认，方可完工。 （2）验收组织。甲方组织师生代表对搬迁工作进行验收，并出具意见，乙方须在48小时内响应。</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西北大学地质学系搬迁搬运服务采购项目，合同生效后，待服务期满并经甲方验收合格后，根据搬迁车次据实结算，一次性付清服务费用。供应商实际搬迁车次若超出1750车，超出部分费用不予结算，由供应商自行承担相关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1.中标/成交供应商服务不符合其投标承诺，存在偷工减料、以次充好、 违规操作情形的，地质学系有权解除采购合同，没收履约保证金，并将有关 情况上报政府采购监管部门处理。 2.服务过程中的安全责任由承接方承担，因操作不当等人为原因产生的 损失由承接方照价赔偿。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（一）本项目总预算为70万元，单车服务限价400元/车，核定最大搬迁车次为 1750车。供应商实际搬迁车次若超出1750车，超出部分费用不予结算，由供应商自行承担相关费用。 （二）供应商应充分考虑磋商文件的各项条款和所掌握的市场实际情况，且应根据企业自身情况以“总价及单价”的形式自主填报投标报价。评审时以供应商所填报的投标总报价参与评审，结算时以文件约定的结算方式进行最终结算。投标总报价=预计搬迁车次为1750车（预估量）* 元/车。 （三）本项目签订固定单价合同，各供应商根据现场踏勘情况、自身情况结合市场行情进行自主报价，按照服务要求中“车辆规格为不小于4.2m*1.9m*1.9m的厢式货车”的要求，预计搬迁车次为1750车（预估量），本次磋商报价包含设备拆装费、人工费、运输费、设备保护费、保险等与本项目相关的一切直接费及间接费，合同履行期间，结算时按 元/车*实际搬迁车次，不因任何原因进行调整。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或2025年度经第三方会计事务所审计过的财务报告，或磋商截止时间前90天内基本账户银行出具的资信证明。注：①提供财务报告的，内容至少包括审计报告、附注。审计报告须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2025年5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2025年5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其它承诺</w:t>
            </w:r>
          </w:p>
        </w:tc>
        <w:tc>
          <w:tcPr>
            <w:tcW w:type="dxa" w:w="3322"/>
          </w:tcPr>
          <w:p>
            <w:pPr>
              <w:pStyle w:val="null3"/>
            </w:pPr>
            <w:r>
              <w:rPr>
                <w:rFonts w:ascii="仿宋_GB2312" w:hAnsi="仿宋_GB2312" w:cs="仿宋_GB2312" w:eastAsia="仿宋_GB2312"/>
              </w:rPr>
              <w:t>供应商具有履行本合同所必需的专业技术能力的承诺书。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(1)响应报价低于全部通过符合性审查供应商响应报价平均值50%的，即响应报价〈全部通过符合性审查供应商响应报价平均值×50%；(2)响应报价低于通过符合性审查的次低报价供应商响应报价50%的，即响应报价〈通过符合性审查的次低报价供应商响应报价×50%；(3)响应报价低于采购项目最高限价45%的，即响应报价〈采购项目最高限价×45%；(4)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磋商小组应当将其作为无效磋商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拆卸安装方案.docx 中小企业声明函 搬迁服务总负责人.docx 包装及材料要求.docx 服务要求的响应.docx 商务条款响应偏离表.docx 报价表 团队人员配备.docx 安装调试方案.docx 服务条款响应偏离表.docx 进度保障措施.docx 响应文件封面 业绩表.docx 供应商应提交的相关资格证明材料.docx 运输方案.docx 搬迁车辆配备.docx 残疾人福利性单位声明函 法定代表人证明书及授权书.docx 标的清单 安全要求.docx 响应函 售后服务保障方案.docx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是否未含有采购人不能接受的附加条件</w:t>
            </w:r>
          </w:p>
        </w:tc>
        <w:tc>
          <w:tcPr>
            <w:tcW w:type="dxa" w:w="3322"/>
          </w:tcPr>
          <w:p>
            <w:pPr>
              <w:pStyle w:val="null3"/>
            </w:pPr>
            <w:r>
              <w:rPr>
                <w:rFonts w:ascii="仿宋_GB2312" w:hAnsi="仿宋_GB2312" w:cs="仿宋_GB2312" w:eastAsia="仿宋_GB2312"/>
              </w:rPr>
              <w:t>未含有采购人不能接受的附加条件</w:t>
            </w:r>
          </w:p>
        </w:tc>
        <w:tc>
          <w:tcPr>
            <w:tcW w:type="dxa" w:w="1661"/>
          </w:tcPr>
          <w:p>
            <w:pPr>
              <w:pStyle w:val="null3"/>
            </w:pPr>
            <w:r>
              <w:rPr>
                <w:rFonts w:ascii="仿宋_GB2312" w:hAnsi="仿宋_GB2312" w:cs="仿宋_GB2312" w:eastAsia="仿宋_GB2312"/>
              </w:rPr>
              <w:t>拆卸安装方案.docx 中小企业声明函 搬迁服务总负责人.docx 包装及材料要求.docx 服务要求的响应.docx 商务条款响应偏离表.docx 报价表 团队人员配备.docx 安装调试方案.docx 服务条款响应偏离表.docx 进度保障措施.docx 响应文件封面 业绩表.docx 供应商应提交的相关资格证明材料.docx 运输方案.docx 搬迁车辆配备.docx 残疾人福利性单位声明函 法定代表人证明书及授权书.docx 标的清单 安全要求.docx 响应函 售后服务保障方案.docx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拆卸安装方案.docx 中小企业声明函 搬迁服务总负责人.docx 包装及材料要求.docx 服务要求的响应.docx 商务条款响应偏离表.docx 报价表 团队人员配备.docx 安装调试方案.docx 服务条款响应偏离表.docx 进度保障措施.docx 响应文件封面 业绩表.docx 供应商应提交的相关资格证明材料.docx 运输方案.docx 搬迁车辆配备.docx 残疾人福利性单位声明函 法定代表人证明书及授权书.docx 标的清单 安全要求.docx 响应函 售后服务保障方案.docx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根据供应商针对服务要求响应情况进行评审，完全响应并满足服务要求的得8分，有一项未响应或不满足采购需求的扣1分，扣完为止。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服务要求的响应.docx</w:t>
            </w:r>
          </w:p>
        </w:tc>
      </w:tr>
      <w:tr>
        <w:tc>
          <w:tcPr>
            <w:tcW w:type="dxa" w:w="831"/>
            <w:vMerge/>
          </w:tcPr>
          <w:p/>
        </w:tc>
        <w:tc>
          <w:tcPr>
            <w:tcW w:type="dxa" w:w="1661"/>
          </w:tcPr>
          <w:p>
            <w:pPr>
              <w:pStyle w:val="null3"/>
            </w:pPr>
            <w:r>
              <w:rPr>
                <w:rFonts w:ascii="仿宋_GB2312" w:hAnsi="仿宋_GB2312" w:cs="仿宋_GB2312" w:eastAsia="仿宋_GB2312"/>
              </w:rPr>
              <w:t>拆卸安装方案</w:t>
            </w:r>
          </w:p>
        </w:tc>
        <w:tc>
          <w:tcPr>
            <w:tcW w:type="dxa" w:w="2492"/>
          </w:tcPr>
          <w:p>
            <w:pPr>
              <w:pStyle w:val="null3"/>
            </w:pPr>
            <w:r>
              <w:rPr>
                <w:rFonts w:ascii="仿宋_GB2312" w:hAnsi="仿宋_GB2312" w:cs="仿宋_GB2312" w:eastAsia="仿宋_GB2312"/>
              </w:rPr>
              <w:t>据供应商提供的拆卸安装方案施进行评审：①教室办公家具及空调等拆解方案；②教室办公家具、空调及图书等包装方案；③外包装标识方案；④教室办公家具、空调及图书等搬运方案；⑤教室办公家具、空调及图书等装载方案。 共5项内容，每项满分2分，总分10分。 其中，每项以具体内容与本项目及所投产品的针对性及可行性、方案完善性作为采分点；每个采分点按照1分、0.5分、0.1分、0分作为具体赋分分值，完全符合采分点要求的得1分，基本符合采分点要求但是存在一定不足的得0.5分，完全不符合采分点要求的得0.1分，未响应相应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拆卸安装方案.docx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供应商提供的运输方案方案进行评审：①全过程安全及监控方案；②教室办公家具、空调及图书等安全运输方案；③运输通行路线规划方案；④运输全过程应急预案；⑤安保押运方案。 共5项内容，每项满分2分，总分10分。 其中，每项以具体内容与本项目服务内容的针对性及可行性、方案完善性作为采分点；每个采分点按照1分、0.5分、0.1分、0分作为具体赋分分值，完全符合采分点要求的得1分，基本符合采分点要求但是存在一定不足的得0.5分，完全不符合采分点要求的得0.1分，未响应相应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根据供应商提供的安装调试方案进行 评审：①安装条件确认方案；②安装实施方案；③调试实施方案； ④性能测试方案；⑤档案记录方案。 共5项内容，每项满分2分，总分10分。 其中，每项以具体内容与本项目及所投产品的针对性及可行性、方案完善性作为采分点；每个采分点按照1分、0.5分、0.1分、0分作为具体赋分分值，完全符合采分点要求的得1分，基本符合采分点要求但是存在一定不足的得0.5分，完全不符合采分点要求的得0.1分，未响应相应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安装调试方案.docx</w:t>
            </w:r>
          </w:p>
        </w:tc>
      </w:tr>
      <w:tr>
        <w:tc>
          <w:tcPr>
            <w:tcW w:type="dxa" w:w="831"/>
            <w:vMerge/>
          </w:tcPr>
          <w:p/>
        </w:tc>
        <w:tc>
          <w:tcPr>
            <w:tcW w:type="dxa" w:w="1661"/>
          </w:tcPr>
          <w:p>
            <w:pPr>
              <w:pStyle w:val="null3"/>
            </w:pPr>
            <w:r>
              <w:rPr>
                <w:rFonts w:ascii="仿宋_GB2312" w:hAnsi="仿宋_GB2312" w:cs="仿宋_GB2312" w:eastAsia="仿宋_GB2312"/>
              </w:rPr>
              <w:t>售后服务保障方案</w:t>
            </w:r>
          </w:p>
        </w:tc>
        <w:tc>
          <w:tcPr>
            <w:tcW w:type="dxa" w:w="2492"/>
          </w:tcPr>
          <w:p>
            <w:pPr>
              <w:pStyle w:val="null3"/>
            </w:pPr>
            <w:r>
              <w:rPr>
                <w:rFonts w:ascii="仿宋_GB2312" w:hAnsi="仿宋_GB2312" w:cs="仿宋_GB2312" w:eastAsia="仿宋_GB2312"/>
              </w:rPr>
              <w:t>供应商提供的售后服务保障方案进行评审：①技术支持保障及响应时间。 共1项内容，每项满分2分，总分2分。 其中，每项以具体内容与本项目及所投产品的针对性及可行性、方案完善性作为采分点；每个采分点按照1分、0.5分、0.1分、0分作为具体赋分分值，完全符合采分点要求的得1分，基本符合采分点要求但是存在一定不足的得0.5分，完全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售后服务保障方案.docx</w:t>
            </w:r>
          </w:p>
        </w:tc>
      </w:tr>
      <w:tr>
        <w:tc>
          <w:tcPr>
            <w:tcW w:type="dxa" w:w="831"/>
            <w:vMerge/>
          </w:tcPr>
          <w:p/>
        </w:tc>
        <w:tc>
          <w:tcPr>
            <w:tcW w:type="dxa" w:w="1661"/>
          </w:tcPr>
          <w:p>
            <w:pPr>
              <w:pStyle w:val="null3"/>
            </w:pPr>
            <w:r>
              <w:rPr>
                <w:rFonts w:ascii="仿宋_GB2312" w:hAnsi="仿宋_GB2312" w:cs="仿宋_GB2312" w:eastAsia="仿宋_GB2312"/>
              </w:rPr>
              <w:t>安全要求</w:t>
            </w:r>
          </w:p>
        </w:tc>
        <w:tc>
          <w:tcPr>
            <w:tcW w:type="dxa" w:w="2492"/>
          </w:tcPr>
          <w:p>
            <w:pPr>
              <w:pStyle w:val="null3"/>
            </w:pPr>
            <w:r>
              <w:rPr>
                <w:rFonts w:ascii="仿宋_GB2312" w:hAnsi="仿宋_GB2312" w:cs="仿宋_GB2312" w:eastAsia="仿宋_GB2312"/>
              </w:rPr>
              <w:t>根据供应商提供的安全要求保证措施进行评审：①安全要求保证措施（包含但不限于搬运人员需经过安全培训， 严格遵守安全操作规程。在搬运过程中，要对搬运路线进行合理规划， 避免在狭窄通道、楼梯口等易发生安全事故的区域出现拥堵。 要制定安全搬运方案、应急处置方案等，确保运输过程安全）；②实验环境安全保护措施（包含但不限于采用环保材料对迁进楼 宇和实验室门窗、地面、墙面进行保护，重型设备的搬运要对实验室地面进行特殊防护）。共2项内容，每项满分2分，总分4分。 其中，每项以具体内容与本项目及所投产品的针对性及可行性、方案完善性作为采分点；每个采分点按照1分、0.5分、0.1分、0分作为具体赋分分值，完全符合采分点要求的得1分，基本符合采分点要求但是存在一定不足的得0.5分，完全不符合采分点要求的得0.1分，未响应相应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安全要求.docx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根据供应商提供的进度保证措施进行评审：①拆卸安装进度保障措施；②搬迁进度保证措施及搬迁进度沟通措施。 共2项内容，每项满分2分，总分4分。 其中，每项以具体内容与本项目及所投产品的针对性及可行性、方案完善性作为采分点；每个采分点按照1分、0.5分、0.1分、0分作为具体赋分分值，完全符合采分点要求的得1分，基本符合采分点要求但是存在一定不足的得0.5分，完全不符合采分点要求的得0.1分，未响应相应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进度保障措施.docx</w:t>
            </w:r>
          </w:p>
        </w:tc>
      </w:tr>
      <w:tr>
        <w:tc>
          <w:tcPr>
            <w:tcW w:type="dxa" w:w="831"/>
            <w:vMerge/>
          </w:tcPr>
          <w:p/>
        </w:tc>
        <w:tc>
          <w:tcPr>
            <w:tcW w:type="dxa" w:w="1661"/>
          </w:tcPr>
          <w:p>
            <w:pPr>
              <w:pStyle w:val="null3"/>
            </w:pPr>
            <w:r>
              <w:rPr>
                <w:rFonts w:ascii="仿宋_GB2312" w:hAnsi="仿宋_GB2312" w:cs="仿宋_GB2312" w:eastAsia="仿宋_GB2312"/>
              </w:rPr>
              <w:t>包装及材料要求</w:t>
            </w:r>
          </w:p>
        </w:tc>
        <w:tc>
          <w:tcPr>
            <w:tcW w:type="dxa" w:w="2492"/>
          </w:tcPr>
          <w:p>
            <w:pPr>
              <w:pStyle w:val="null3"/>
            </w:pPr>
            <w:r>
              <w:rPr>
                <w:rFonts w:ascii="仿宋_GB2312" w:hAnsi="仿宋_GB2312" w:cs="仿宋_GB2312" w:eastAsia="仿宋_GB2312"/>
              </w:rPr>
              <w:t>根据供应商提供的货物包装及材料要求进行评审：①优先使用纸质包装材料代替塑料泡沫对于需要缓冲保护的设备，可以使用蜂窝纸板、气垫薄膜等可回收材料；②供应商需根据设备的形状、尺寸和重量进行包装设计，避免过度包装。 共2项内容，每项满分2分，总分4分。 其中，每项以具体内容与本项目及所投产品的针对性及可行性、方案完善性作为采分点；每个采分点按照1分、0.5分、0.1分、0分作为具体赋分分值，完全符合采分点要求的得1分，基本符合采分点要求但是存在一定不足的得0.5分，完全不符合采分点要求的得0.1分，未响应相应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包装及材料要求.docx</w:t>
            </w:r>
          </w:p>
        </w:tc>
      </w:tr>
      <w:tr>
        <w:tc>
          <w:tcPr>
            <w:tcW w:type="dxa" w:w="831"/>
            <w:vMerge/>
          </w:tcPr>
          <w:p/>
        </w:tc>
        <w:tc>
          <w:tcPr>
            <w:tcW w:type="dxa" w:w="1661"/>
          </w:tcPr>
          <w:p>
            <w:pPr>
              <w:pStyle w:val="null3"/>
            </w:pPr>
            <w:r>
              <w:rPr>
                <w:rFonts w:ascii="仿宋_GB2312" w:hAnsi="仿宋_GB2312" w:cs="仿宋_GB2312" w:eastAsia="仿宋_GB2312"/>
              </w:rPr>
              <w:t>搬迁服务总负责人</w:t>
            </w:r>
          </w:p>
        </w:tc>
        <w:tc>
          <w:tcPr>
            <w:tcW w:type="dxa" w:w="2492"/>
          </w:tcPr>
          <w:p>
            <w:pPr>
              <w:pStyle w:val="null3"/>
            </w:pPr>
            <w:r>
              <w:rPr>
                <w:rFonts w:ascii="仿宋_GB2312" w:hAnsi="仿宋_GB2312" w:cs="仿宋_GB2312" w:eastAsia="仿宋_GB2312"/>
              </w:rPr>
              <w:t>根据供应商提供针对本项目需求，供应商拟派搬迁服务总负责人需具有丰富的同类项目管理经验，提供总负责人相关证明材料（包含总负责人的人员简历表并同时提供社保缴纳材料资料），从业经验满3年计1分，每多一年计1分，最高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搬迁服务总负责人.docx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根据供应商提供针对本项目团队人员（总负责人除外）配置进行评审： 搬迁所需人员数量要求，包括但不限于技术负责人、拆解工人、搬运工人、跟车随行人员、 调度人员、现场管理人员等人员安排及人员简历，除基础人员配备外，每多提供符合上述要求的人员一个人得1分，最高5分。 备注：提供安排计划表及人员简历表并同时提供社保缴纳材料资料不齐全不得分。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团队人员配备.docx</w:t>
            </w:r>
          </w:p>
        </w:tc>
      </w:tr>
      <w:tr>
        <w:tc>
          <w:tcPr>
            <w:tcW w:type="dxa" w:w="831"/>
            <w:vMerge/>
          </w:tcPr>
          <w:p/>
        </w:tc>
        <w:tc>
          <w:tcPr>
            <w:tcW w:type="dxa" w:w="1661"/>
          </w:tcPr>
          <w:p>
            <w:pPr>
              <w:pStyle w:val="null3"/>
            </w:pPr>
            <w:r>
              <w:rPr>
                <w:rFonts w:ascii="仿宋_GB2312" w:hAnsi="仿宋_GB2312" w:cs="仿宋_GB2312" w:eastAsia="仿宋_GB2312"/>
              </w:rPr>
              <w:t>搬迁车辆配备</w:t>
            </w:r>
          </w:p>
        </w:tc>
        <w:tc>
          <w:tcPr>
            <w:tcW w:type="dxa" w:w="2492"/>
          </w:tcPr>
          <w:p>
            <w:pPr>
              <w:pStyle w:val="null3"/>
            </w:pPr>
            <w:r>
              <w:rPr>
                <w:rFonts w:ascii="仿宋_GB2312" w:hAnsi="仿宋_GB2312" w:cs="仿宋_GB2312" w:eastAsia="仿宋_GB2312"/>
              </w:rPr>
              <w:t>根据供应商提供的搬迁车辆配备进行评审： 供应商应具有符合交通管理条例的货物运输车辆，且具有通行许可、保险有效、年检合格，满足每天出车＞10辆的得5分； 供应商应具有符合交通管理条例的货物运输车辆，且具有通行许可、保险有效、年检合格，每天出车8辆-10辆的得4分； 供应商应具有符合交通管理条例的货物运输车辆，且具有通行许可、保险有效、年检合格，每天出车5辆-7辆的得3分； 供应商应具有符合交通管理条例的货物运输车辆，且具有通行许可、保险有效、年检合格，每天出车3辆-4辆的得2分； 供应商应具有符合交通管理条例的货物运输车辆，且具有通行许可、保险有效、年检合格，每天出车1辆-2辆的得1分； 未提供不计分。 注：供应商提供配备车辆清单明细，并提供相关证明材料（包括但不限于行驶证、保险材料、年检材料等）。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搬迁车辆配备.docx</w:t>
            </w:r>
          </w:p>
        </w:tc>
      </w:tr>
      <w:tr>
        <w:tc>
          <w:tcPr>
            <w:tcW w:type="dxa" w:w="831"/>
            <w:vMerge/>
          </w:tcPr>
          <w:p/>
        </w:tc>
        <w:tc>
          <w:tcPr>
            <w:tcW w:type="dxa" w:w="1661"/>
          </w:tcPr>
          <w:p>
            <w:pPr>
              <w:pStyle w:val="null3"/>
            </w:pPr>
            <w:r>
              <w:rPr>
                <w:rFonts w:ascii="仿宋_GB2312" w:hAnsi="仿宋_GB2312" w:cs="仿宋_GB2312" w:eastAsia="仿宋_GB2312"/>
              </w:rPr>
              <w:t>企业 业绩</w:t>
            </w:r>
          </w:p>
        </w:tc>
        <w:tc>
          <w:tcPr>
            <w:tcW w:type="dxa" w:w="2492"/>
          </w:tcPr>
          <w:p>
            <w:pPr>
              <w:pStyle w:val="null3"/>
            </w:pPr>
            <w:r>
              <w:rPr>
                <w:rFonts w:ascii="仿宋_GB2312" w:hAnsi="仿宋_GB2312" w:cs="仿宋_GB2312" w:eastAsia="仿宋_GB2312"/>
              </w:rPr>
              <w:t>供应商应在响应文件中提供该供应商自2023年5月1日起至今的类似业绩证明材料，每提供一份有效类似业绩证明材料的得1分，满分5分。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详见附件：团队人员配备.docx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详见附件：安全要求.docx</w:t>
      </w:r>
    </w:p>
    <w:p>
      <w:pPr>
        <w:pStyle w:val="null3"/>
        <w:ind w:firstLine="960"/>
      </w:pPr>
      <w:r>
        <w:rPr>
          <w:rFonts w:ascii="仿宋_GB2312" w:hAnsi="仿宋_GB2312" w:cs="仿宋_GB2312" w:eastAsia="仿宋_GB2312"/>
        </w:rPr>
        <w:t>详见附件：安装调试方案.docx</w:t>
      </w:r>
    </w:p>
    <w:p>
      <w:pPr>
        <w:pStyle w:val="null3"/>
        <w:ind w:firstLine="960"/>
      </w:pPr>
      <w:r>
        <w:rPr>
          <w:rFonts w:ascii="仿宋_GB2312" w:hAnsi="仿宋_GB2312" w:cs="仿宋_GB2312" w:eastAsia="仿宋_GB2312"/>
        </w:rPr>
        <w:t>详见附件：搬迁车辆配备.docx</w:t>
      </w:r>
    </w:p>
    <w:p>
      <w:pPr>
        <w:pStyle w:val="null3"/>
        <w:ind w:firstLine="960"/>
      </w:pPr>
      <w:r>
        <w:rPr>
          <w:rFonts w:ascii="仿宋_GB2312" w:hAnsi="仿宋_GB2312" w:cs="仿宋_GB2312" w:eastAsia="仿宋_GB2312"/>
        </w:rPr>
        <w:t>详见附件：搬迁服务总负责人.docx</w:t>
      </w:r>
    </w:p>
    <w:p>
      <w:pPr>
        <w:pStyle w:val="null3"/>
        <w:ind w:firstLine="960"/>
      </w:pPr>
      <w:r>
        <w:rPr>
          <w:rFonts w:ascii="仿宋_GB2312" w:hAnsi="仿宋_GB2312" w:cs="仿宋_GB2312" w:eastAsia="仿宋_GB2312"/>
        </w:rPr>
        <w:t>详见附件：包装及材料要求.docx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详见附件：服务要求的响应.docx</w:t>
      </w:r>
    </w:p>
    <w:p>
      <w:pPr>
        <w:pStyle w:val="null3"/>
        <w:ind w:firstLine="960"/>
      </w:pPr>
      <w:r>
        <w:rPr>
          <w:rFonts w:ascii="仿宋_GB2312" w:hAnsi="仿宋_GB2312" w:cs="仿宋_GB2312" w:eastAsia="仿宋_GB2312"/>
        </w:rPr>
        <w:t>详见附件：拆卸安装方案.docx</w:t>
      </w:r>
    </w:p>
    <w:p>
      <w:pPr>
        <w:pStyle w:val="null3"/>
        <w:ind w:firstLine="960"/>
      </w:pPr>
      <w:r>
        <w:rPr>
          <w:rFonts w:ascii="仿宋_GB2312" w:hAnsi="仿宋_GB2312" w:cs="仿宋_GB2312" w:eastAsia="仿宋_GB2312"/>
        </w:rPr>
        <w:t>详见附件：售后服务保障方案.docx</w:t>
      </w:r>
    </w:p>
    <w:p>
      <w:pPr>
        <w:pStyle w:val="null3"/>
        <w:ind w:firstLine="960"/>
      </w:pPr>
      <w:r>
        <w:rPr>
          <w:rFonts w:ascii="仿宋_GB2312" w:hAnsi="仿宋_GB2312" w:cs="仿宋_GB2312" w:eastAsia="仿宋_GB2312"/>
        </w:rPr>
        <w:t>详见附件：进度保障措施.docx</w:t>
      </w:r>
    </w:p>
    <w:p>
      <w:pPr>
        <w:pStyle w:val="null3"/>
        <w:ind w:firstLine="960"/>
      </w:pPr>
      <w:r>
        <w:rPr>
          <w:rFonts w:ascii="仿宋_GB2312" w:hAnsi="仿宋_GB2312" w:cs="仿宋_GB2312" w:eastAsia="仿宋_GB2312"/>
        </w:rPr>
        <w:t>详见附件：商务条款响应偏离表.docx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