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B0C6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color w:val="0000FF"/>
          <w:sz w:val="36"/>
          <w:szCs w:val="36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36"/>
          <w:szCs w:val="36"/>
          <w:highlight w:val="none"/>
          <w:shd w:val="clear" w:color="auto" w:fill="FFFFFF"/>
        </w:rPr>
        <w:t>搬迁车辆</w:t>
      </w:r>
      <w:r>
        <w:rPr>
          <w:rFonts w:hint="eastAsia" w:ascii="宋体" w:hAnsi="宋体" w:eastAsia="宋体" w:cs="宋体"/>
          <w:color w:val="0000FF"/>
          <w:sz w:val="36"/>
          <w:szCs w:val="36"/>
          <w:highlight w:val="none"/>
          <w:shd w:val="clear" w:color="auto" w:fill="FFFFFF"/>
          <w:lang w:val="en-US" w:eastAsia="zh-CN"/>
        </w:rPr>
        <w:t>配备</w:t>
      </w:r>
    </w:p>
    <w:p w14:paraId="3893BEB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FF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zCs w:val="24"/>
          <w:highlight w:val="none"/>
          <w:lang w:val="en-US" w:eastAsia="zh-Hans" w:bidi="ar-SA"/>
        </w:rPr>
        <w:t>根据供应商提供的搬迁车辆配备进行评审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  <w:highlight w:val="none"/>
          <w:lang w:val="en-US" w:eastAsia="zh-CN" w:bidi="ar-SA"/>
        </w:rPr>
        <w:t>：</w:t>
      </w:r>
    </w:p>
    <w:p w14:paraId="1F60BE3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FF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zCs w:val="24"/>
          <w:highlight w:val="none"/>
          <w:lang w:val="en-US" w:eastAsia="zh-CN" w:bidi="ar-SA"/>
        </w:rPr>
        <w:t>供应商应具有符合交通管理条例的货物运输车辆，且具有通行许可、保险有效、年检合格，满足每天出车＞10辆的得5分</w:t>
      </w:r>
      <w:bookmarkStart w:id="0" w:name="_GoBack"/>
      <w:bookmarkEnd w:id="0"/>
      <w:r>
        <w:rPr>
          <w:rFonts w:hint="eastAsia" w:ascii="宋体" w:hAnsi="宋体" w:eastAsia="宋体" w:cs="宋体"/>
          <w:color w:val="0000FF"/>
          <w:kern w:val="0"/>
          <w:sz w:val="24"/>
          <w:szCs w:val="24"/>
          <w:highlight w:val="none"/>
          <w:lang w:val="en-US" w:eastAsia="zh-CN" w:bidi="ar-SA"/>
        </w:rPr>
        <w:t>；</w:t>
      </w:r>
    </w:p>
    <w:p w14:paraId="05D6064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FF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zCs w:val="24"/>
          <w:highlight w:val="none"/>
          <w:lang w:val="en-US" w:eastAsia="zh-CN" w:bidi="ar-SA"/>
        </w:rPr>
        <w:t>供应商应具有符合交通管理条例的货物运输车辆，且具有通行许可、保险有效、年检合格，每天出车8辆-10辆的得4分；</w:t>
      </w:r>
    </w:p>
    <w:p w14:paraId="66128A8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FF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zCs w:val="24"/>
          <w:highlight w:val="none"/>
          <w:lang w:val="en-US" w:eastAsia="zh-CN" w:bidi="ar-SA"/>
        </w:rPr>
        <w:t>供应商应具有符合交通管理条例的货物运输车辆，且具有通行许可、保险有效、年检合格，每天出车5辆-7辆的得3分；</w:t>
      </w:r>
    </w:p>
    <w:p w14:paraId="46300FA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FF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zCs w:val="24"/>
          <w:highlight w:val="none"/>
          <w:lang w:val="en-US" w:eastAsia="zh-CN" w:bidi="ar-SA"/>
        </w:rPr>
        <w:t>供应商应具有符合交通管理条例的货物运输车辆，且具有通行许可、保险有效、年检合格，每天出车3辆-4辆的得2分；</w:t>
      </w:r>
    </w:p>
    <w:p w14:paraId="333439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FF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zCs w:val="24"/>
          <w:highlight w:val="none"/>
          <w:lang w:val="en-US" w:eastAsia="zh-CN" w:bidi="ar-SA"/>
        </w:rPr>
        <w:t>供应商应具有符合交通管理条例的货物运输车辆，且具有通行许可、保险有效、年检合格，每天出车1辆-2辆的得1分；</w:t>
      </w:r>
    </w:p>
    <w:p w14:paraId="377980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FF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default" w:ascii="宋体" w:hAnsi="宋体" w:eastAsia="宋体" w:cs="宋体"/>
          <w:color w:val="0000FF"/>
          <w:kern w:val="0"/>
          <w:sz w:val="24"/>
          <w:szCs w:val="24"/>
          <w:highlight w:val="none"/>
          <w:lang w:val="en-US" w:eastAsia="zh-CN" w:bidi="ar-SA"/>
        </w:rPr>
        <w:t>未提供不计分。</w:t>
      </w:r>
    </w:p>
    <w:p w14:paraId="43BD06C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zCs w:val="24"/>
          <w:highlight w:val="none"/>
          <w:lang w:val="en-US" w:eastAsia="zh-CN" w:bidi="ar-SA"/>
        </w:rPr>
        <w:t>注：供应商提供配备车辆清单明细，并 提供相关证明材料（包括但不限于行驶证、保险材料、年检材料等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  <w:lang w:val="en-US" w:eastAsia="zh-CN"/>
        </w:rPr>
        <w:t>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341E23"/>
    <w:rsid w:val="7E34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2026-05-18T09:19:00Z</dcterms:created>
  <dc:creator>M</dc:creator>
  <cp:lastModifiedBy>M</cp:lastModifiedBy>
  <dcterms:modified xsi:type="dcterms:W3CDTF">2026-05-18T09:20:17Z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2AEEDA7D38AB4FABA6ED5EABF5990543_11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