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版本号：JXZB2026-06-0720260814001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陕西省内水泥产品生产许可证审查工作项目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JXZB2026-06-07</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陕西省内水泥产品生产许可证审查工作项目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JXZB2026-06-07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陕西省内水泥产品生产许可证审查工作项目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组织完成省内水泥产品生产许可证申请企业的实地核查、汇总审核工作以及提出许可与否建议；负责省内水泥产品生产许可证技术专家培训、考核、聘用、换证等资格审查、派遣使用、队伍建设的管理工作；负责省内水泥产品已获证企业的政策宣贯和技术支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 企业法人提供营业执照、组织机构代码证、税务登记证（或统一社会信用代码的营业执照）；事业法人应提供事业单位法人证；其他组织应提供合法证明文件； 自然人提供身份证</w:t>
      </w:r>
    </w:p>
    <w:p>
      <w:pPr>
        <w:pStyle w:val="null3"/>
      </w:pPr>
      <w:r>
        <w:rPr>
          <w:rFonts w:ascii="仿宋_GB2312" w:hAnsi="仿宋_GB2312" w:cs="仿宋_GB2312" w:eastAsia="仿宋_GB2312"/>
        </w:rPr>
        <w:t>2、授权委托书：提供法定代表人授权书及被授权人身份证原件（法定代表人直接参加投标，须提供法定代表人身份证明及身份证原件）</w:t>
      </w:r>
    </w:p>
    <w:p>
      <w:pPr>
        <w:pStyle w:val="null3"/>
      </w:pPr>
      <w:r>
        <w:rPr>
          <w:rFonts w:ascii="仿宋_GB2312" w:hAnsi="仿宋_GB2312" w:cs="仿宋_GB2312" w:eastAsia="仿宋_GB2312"/>
        </w:rPr>
        <w:t>3、财务报告：须提供经会计师事务所或审计机构出具的 2024 年或 2025 年完整的财务审计报告（注：带二维码清晰可查验，提供的财务审计报告需在注册会计师行业统一监管平台（http:// acc.mof.gov.cn/）可查询并提供网站查询截图）公司成立不足一年的提供成立以来的财务报表，至少包括资产负债表、利润表、现金流量表或开标前三个月内基本账户银行出具的资信证明（资信证明的开具内容至少包含主体信息、资信状况和证明说明）及基本账户开户许可证（或开户行基本信息）。事业单位或其他机构只需提供本单位相关财务报表（至少包括资产负债表、利润表、现金流量表）</w:t>
      </w:r>
    </w:p>
    <w:p>
      <w:pPr>
        <w:pStyle w:val="null3"/>
      </w:pPr>
      <w:r>
        <w:rPr>
          <w:rFonts w:ascii="仿宋_GB2312" w:hAnsi="仿宋_GB2312" w:cs="仿宋_GB2312" w:eastAsia="仿宋_GB2312"/>
        </w:rPr>
        <w:t>4、纳税证明：提供 2025 年 8 月至今任意一个月的纳税证明或完税证明（任意税种），依法免税的单位应提供相关证明材料</w:t>
      </w:r>
    </w:p>
    <w:p>
      <w:pPr>
        <w:pStyle w:val="null3"/>
      </w:pPr>
      <w:r>
        <w:rPr>
          <w:rFonts w:ascii="仿宋_GB2312" w:hAnsi="仿宋_GB2312" w:cs="仿宋_GB2312" w:eastAsia="仿宋_GB2312"/>
        </w:rPr>
        <w:t>5、社保缴纳证明：提供 2025 年 8月至今任意一个月的社会保障资金缴存单据或社保机构开具的社会保险参保缴费情况证明，依法不需要缴纳社会保障资金的单位应提供相关证明材料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6、企业信用：供应商未被“信用中国 ”网站列入“重大税收违法失信主体名单 ”；未被“ 中国执行信息公开网 ”列入“失信被执行人 ”；未被“ 中国政府采购网 ”网站列入“政府采购严重违法失信行为记录名单 ”；未被“ 国家企业信用信息公示系统 ”网站“列入严重违法失信名单（黑名单）信息 ”</w:t>
      </w:r>
    </w:p>
    <w:p>
      <w:pPr>
        <w:pStyle w:val="null3"/>
      </w:pPr>
      <w:r>
        <w:rPr>
          <w:rFonts w:ascii="仿宋_GB2312" w:hAnsi="仿宋_GB2312" w:cs="仿宋_GB2312" w:eastAsia="仿宋_GB2312"/>
        </w:rPr>
        <w:t>7、书面声明：参加本次政府采购活动前三年内在经营活动中没有重大违纪的书面声明</w:t>
      </w:r>
    </w:p>
    <w:p>
      <w:pPr>
        <w:pStyle w:val="null3"/>
      </w:pPr>
      <w:r>
        <w:rPr>
          <w:rFonts w:ascii="仿宋_GB2312" w:hAnsi="仿宋_GB2312" w:cs="仿宋_GB2312" w:eastAsia="仿宋_GB2312"/>
        </w:rPr>
        <w:t>8、承诺：提供具有履行合同所必需的设备和专业技术能力的承诺；</w:t>
      </w:r>
    </w:p>
    <w:p>
      <w:pPr>
        <w:pStyle w:val="null3"/>
      </w:pPr>
      <w:r>
        <w:rPr>
          <w:rFonts w:ascii="仿宋_GB2312" w:hAnsi="仿宋_GB2312" w:cs="仿宋_GB2312" w:eastAsia="仿宋_GB2312"/>
        </w:rPr>
        <w:t>9、控股关系：单位负责人为同一人或者存在直接控股、管理关系的不同投标人，不得参加同一合同项下的政府采购活动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10、非联合体：本项目不接受联合体磋商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02986138230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陕西省西安市碑林区陕西省西安市碑林区南二环路79号广丰国际大厦II区906室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雷芳娟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18802907639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采购包1：144,900.00元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采购包1保证金金额：2,800.00元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开户名称：建信众诚工程咨询有限公司</w:t>
            </w:r>
          </w:p>
          <w:p>
            <w:pPr>
              <w:pStyle w:val="null3"/>
            </w:pPr>
            <w:r>
              <w:rPr>
                <w:rFonts w:ascii="仿宋_GB2312" w:hAnsi="仿宋_GB2312" w:cs="仿宋_GB2312" w:eastAsia="仿宋_GB2312"/>
              </w:rPr>
              <w:t>开户银行：西安银行股份有限公司东二环南段支行</w:t>
            </w:r>
          </w:p>
          <w:p>
            <w:pPr>
              <w:pStyle w:val="null3"/>
            </w:pPr>
            <w:r>
              <w:rPr>
                <w:rFonts w:ascii="仿宋_GB2312" w:hAnsi="仿宋_GB2312" w:cs="仿宋_GB2312" w:eastAsia="仿宋_GB2312"/>
              </w:rPr>
              <w:t>银行账号：209011580000085788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代理服务费收费标准：代理服务费收费标准：1、成交服务费按约定由成交供应商支付。 2、成交供应商应依据成交金额向采购代理机构交纳成交服务费，交费金额参照《招标代理服务收费管理暂行办法》（计价格（2002）1980号）附件规定的收费标准收取，不足伍仟元按伍仟元收取。 3、本项目代理服务费按服务计取。 由成交供应商在领取中标（成交）通知书时向代理机构缴纳代理服务费。招标代理服务费采用现金、电汇或银行转账方式交纳，不得采用投标保证金抵扣。 服务费交纳账户： 开户行：西安银行股份有限公司东二环南段支行； 开户名称：建信众诚工程咨询有限公司； 账号：209011580000085788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服务内容全部完成，经采购人确认合格，确定项目完成</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联系人：雷芳娟</w:t>
      </w:r>
    </w:p>
    <w:p>
      <w:pPr>
        <w:pStyle w:val="null3"/>
      </w:pPr>
      <w:r>
        <w:rPr>
          <w:rFonts w:ascii="仿宋_GB2312" w:hAnsi="仿宋_GB2312" w:cs="仿宋_GB2312" w:eastAsia="仿宋_GB2312"/>
        </w:rPr>
        <w:t>联系电话：18802907639</w:t>
      </w:r>
    </w:p>
    <w:p>
      <w:pPr>
        <w:pStyle w:val="null3"/>
      </w:pPr>
      <w:r>
        <w:rPr>
          <w:rFonts w:ascii="仿宋_GB2312" w:hAnsi="仿宋_GB2312" w:cs="仿宋_GB2312" w:eastAsia="仿宋_GB2312"/>
        </w:rPr>
        <w:t>地址：陕西省西安市雁塔区南二环西段208号捷瑞智能大厦东区9楼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组织完成省内水泥产品生产许可证申请企业的实地核查、汇总审核工作以及提出许可与否建议；负责省内水泥产品生产许可证技术专家培训、考核、聘用、换证等资格审查、派遣使用、队伍建设的管理工作；负责省内水泥产品已获证企业的政策宣贯和技术支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144,900.00</w:t>
      </w:r>
    </w:p>
    <w:p>
      <w:pPr>
        <w:pStyle w:val="null3"/>
      </w:pPr>
      <w:r>
        <w:rPr>
          <w:rFonts w:ascii="仿宋_GB2312" w:hAnsi="仿宋_GB2312" w:cs="仿宋_GB2312" w:eastAsia="仿宋_GB2312"/>
        </w:rPr>
        <w:t>采购包最高限价（元）: 144,900.00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陕西省内水泥产品生产许可证审查工作项目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144,900.00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标的名称：陕西省内水泥产品生产许可证审查工作项目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ind w:left="120" w:right="120"/>
              <w:jc w:val="both"/>
            </w:pPr>
            <w:r>
              <w:rPr>
                <w:rFonts w:ascii="仿宋_GB2312" w:hAnsi="仿宋_GB2312" w:cs="仿宋_GB2312" w:eastAsia="仿宋_GB2312"/>
                <w:sz w:val="24"/>
                <w:color w:val="000000"/>
              </w:rPr>
              <w:t>服务方（供应商）接受委托后，应依据《中华人民共和国产品质量法》、《中华人民共和国行政许可法》、《中华人民共和国工业产品生产许可证管理条例》、《中华人民共</w:t>
            </w:r>
            <w:r>
              <w:rPr>
                <w:rFonts w:ascii="仿宋_GB2312" w:hAnsi="仿宋_GB2312" w:cs="仿宋_GB2312" w:eastAsia="仿宋_GB2312"/>
                <w:sz w:val="24"/>
                <w:color w:val="000000"/>
              </w:rPr>
              <w:t>和国工业产品生产许可证管理条例实施办</w:t>
            </w:r>
            <w:r>
              <w:rPr>
                <w:rFonts w:ascii="仿宋_GB2312" w:hAnsi="仿宋_GB2312" w:cs="仿宋_GB2312" w:eastAsia="仿宋_GB2312"/>
                <w:sz w:val="24"/>
                <w:color w:val="000000"/>
              </w:rPr>
              <w:t>法》、《质量监督检验检疫行政许可实施办</w:t>
            </w:r>
          </w:p>
          <w:p>
            <w:pPr>
              <w:pStyle w:val="null3"/>
              <w:ind w:left="120" w:right="120" w:firstLine="1"/>
              <w:jc w:val="both"/>
            </w:pPr>
            <w:r>
              <w:rPr>
                <w:rFonts w:ascii="仿宋_GB2312" w:hAnsi="仿宋_GB2312" w:cs="仿宋_GB2312" w:eastAsia="仿宋_GB2312"/>
                <w:sz w:val="24"/>
                <w:color w:val="000000"/>
              </w:rPr>
              <w:t>法》、《关于公布工业产品生产许可证规范性文件的公告》、《工业产品生产许可证实施细则通则》、《水泥产品生产许可实施细则》、《陕西省工业产品生产许可证审批程序工作细则》、《陕西省工业产品生产许可证技术机构管理规定》等法规和文件的要求</w:t>
            </w:r>
            <w:r>
              <w:rPr>
                <w:rFonts w:ascii="仿宋_GB2312" w:hAnsi="仿宋_GB2312" w:cs="仿宋_GB2312" w:eastAsia="仿宋_GB2312"/>
                <w:sz w:val="24"/>
                <w:color w:val="000000"/>
              </w:rPr>
              <w:t>开展如下工作：</w:t>
            </w:r>
          </w:p>
          <w:p>
            <w:pPr>
              <w:pStyle w:val="null3"/>
            </w:pPr>
            <w:r>
              <w:rPr>
                <w:rFonts w:ascii="仿宋_GB2312" w:hAnsi="仿宋_GB2312" w:cs="仿宋_GB2312" w:eastAsia="仿宋_GB2312"/>
                <w:sz w:val="21"/>
                <w:color w:val="000000"/>
              </w:rPr>
              <w:t>1.组织完成省内水泥产品生产许可证申请</w:t>
            </w:r>
            <w:r>
              <w:rPr>
                <w:rFonts w:ascii="仿宋_GB2312" w:hAnsi="仿宋_GB2312" w:cs="仿宋_GB2312" w:eastAsia="仿宋_GB2312"/>
                <w:sz w:val="21"/>
                <w:color w:val="000000"/>
              </w:rPr>
              <w:t>企业的实地核查、汇总审核工作以及提出许</w:t>
            </w:r>
            <w:r>
              <w:rPr>
                <w:rFonts w:ascii="仿宋_GB2312" w:hAnsi="仿宋_GB2312" w:cs="仿宋_GB2312" w:eastAsia="仿宋_GB2312"/>
                <w:sz w:val="21"/>
                <w:color w:val="000000"/>
              </w:rPr>
              <w:t>可与否建议；</w:t>
            </w:r>
          </w:p>
          <w:p>
            <w:pPr>
              <w:pStyle w:val="null3"/>
              <w:spacing w:before="120"/>
              <w:ind w:left="120" w:right="120" w:firstLine="1"/>
            </w:pPr>
            <w:r>
              <w:rPr>
                <w:rFonts w:ascii="仿宋_GB2312" w:hAnsi="仿宋_GB2312" w:cs="仿宋_GB2312" w:eastAsia="仿宋_GB2312"/>
                <w:sz w:val="24"/>
                <w:color w:val="000000"/>
              </w:rPr>
              <w:t>2.负责省内水泥产品生产许可证技术专家</w:t>
            </w:r>
            <w:r>
              <w:rPr>
                <w:rFonts w:ascii="仿宋_GB2312" w:hAnsi="仿宋_GB2312" w:cs="仿宋_GB2312" w:eastAsia="仿宋_GB2312"/>
                <w:sz w:val="24"/>
                <w:color w:val="000000"/>
              </w:rPr>
              <w:t>培训、考核、聘用、换证等资格审查、派遣</w:t>
            </w:r>
            <w:r>
              <w:rPr>
                <w:rFonts w:ascii="仿宋_GB2312" w:hAnsi="仿宋_GB2312" w:cs="仿宋_GB2312" w:eastAsia="仿宋_GB2312"/>
                <w:sz w:val="24"/>
                <w:color w:val="000000"/>
              </w:rPr>
              <w:t>使用、队伍建设的管理工作；</w:t>
            </w:r>
          </w:p>
          <w:p>
            <w:pPr>
              <w:pStyle w:val="null3"/>
            </w:pPr>
            <w:r>
              <w:rPr>
                <w:rFonts w:ascii="仿宋_GB2312" w:hAnsi="仿宋_GB2312" w:cs="仿宋_GB2312" w:eastAsia="仿宋_GB2312"/>
                <w:sz w:val="21"/>
                <w:color w:val="000000"/>
              </w:rPr>
              <w:t>3.负责省内水泥产品已获证企业的政策宣</w:t>
            </w:r>
            <w:r>
              <w:rPr>
                <w:rFonts w:ascii="仿宋_GB2312" w:hAnsi="仿宋_GB2312" w:cs="仿宋_GB2312" w:eastAsia="仿宋_GB2312"/>
                <w:sz w:val="21"/>
                <w:color w:val="000000"/>
              </w:rPr>
              <w:t>贯和技术支撑。</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1 年，具体服务起止日期按照合同约定执行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服务内容全部完成，经采购人确认合格，确定项目完成</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进度款，合同履行完，达到付款条件起30个工作日内，支付合同总金额的10.0%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保证金注意事项：（1）磋商保证金须从供应商户名支付，如从个人户名或非供应商户名支付，将被拒绝，视为自动放弃投标权利（该个人是供应商的情形除外）；（2）磋商保证金的提交金额、时间不满足磋商文件要求的，投标无效；（3）磋商保证金以采购代理机构到账凭证为准，供应商无需更换交纳凭证，由采购代理机构统一提供。（4）未按指定账户提交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 企业法人提供营业执照、组织机构代码证、税务登记证（或统一社会信用代码的营业执照）；事业法人应提供事业单位法人证；其他组织应提供合法证明文件； 自然人提供身份证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提供法定代表人授权书及被授权人身份证原件（法定代表人直接参加投标，须提供法定代表人身份证明及身份证原件）</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须提供经会计师事务所或审计机构出具的 2024 年或 2025 年完整的财务审计报告（注：带二维码清晰可查验，提供的财务审计报告需在注册会计师行业统一监管平台（http:// acc.mof.gov.cn/）可查询并提供网站查询截图）公司成立不足一年的提供成立以来的财务报表，至少包括资产负债表、利润表、现金流量表或开标前三个月内基本账户银行出具的资信证明（资信证明的开具内容至少包含主体信息、资信状况和证明说明）及基本账户开户许可证（或开户行基本信息）。事业单位或其他机构只需提供本单位相关财务报表（至少包括资产负债表、利润表、现金流量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 2025 年 8 月至今任意一个月的纳税证明或完税证明（任意税种），依法免税的单位应提供相关证明材料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 2025 年 8月至今任意一个月的社会保障资金缴存单据或社保机构开具的社会保险参保缴费情况证明，依法不需要缴纳社会保障资金的单位应提供相关证明材料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供应商未被“信用中国 ”网站列入“重大税收违法失信主体名单 ”；未被“ 中国执行信息公开网 ”列入“失信被执行人 ”；未被“ 中国政府采购网 ”网站列入“政府采购严重违法失信行为记录名单 ”；未被“ 国家企业信用信息公示系统 ”网站“列入严重违法失信名单（黑名单）信息 ”</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供应商名称与营业执照、资质证书一致</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响应文件的语言、计量单位、报价货币是否满足磋商文件要求</w:t>
            </w:r>
          </w:p>
        </w:tc>
        <w:tc>
          <w:tcPr>
            <w:tcW w:type="dxa" w:w="3322"/>
          </w:tcPr>
          <w:p>
            <w:pPr>
              <w:pStyle w:val="null3"/>
            </w:pPr>
            <w:r>
              <w:rPr>
                <w:rFonts w:ascii="仿宋_GB2312" w:hAnsi="仿宋_GB2312" w:cs="仿宋_GB2312" w:eastAsia="仿宋_GB2312"/>
              </w:rPr>
              <w:t>响应文件的语言、计量单位、报价货币是否满足磋商文件要求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磋商有效期是否达到磋商文件要求</w:t>
            </w:r>
          </w:p>
        </w:tc>
        <w:tc>
          <w:tcPr>
            <w:tcW w:type="dxa" w:w="3322"/>
          </w:tcPr>
          <w:p>
            <w:pPr>
              <w:pStyle w:val="null3"/>
            </w:pPr>
            <w:r>
              <w:rPr>
                <w:rFonts w:ascii="仿宋_GB2312" w:hAnsi="仿宋_GB2312" w:cs="仿宋_GB2312" w:eastAsia="仿宋_GB2312"/>
              </w:rPr>
              <w:t>磋商有效期是否达到磋商文件要求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是否符合法律、法规和磋商文件中规定的其他实质性要求</w:t>
            </w:r>
          </w:p>
        </w:tc>
        <w:tc>
          <w:tcPr>
            <w:tcW w:type="dxa" w:w="3322"/>
          </w:tcPr>
          <w:p>
            <w:pPr>
              <w:pStyle w:val="null3"/>
            </w:pPr>
            <w:r>
              <w:rPr>
                <w:rFonts w:ascii="仿宋_GB2312" w:hAnsi="仿宋_GB2312" w:cs="仿宋_GB2312" w:eastAsia="仿宋_GB2312"/>
              </w:rPr>
              <w:t>是否符合法律、法规和磋商文件中规定的其他实质性要求</w:t>
            </w:r>
          </w:p>
        </w:tc>
        <w:tc>
          <w:tcPr>
            <w:tcW w:type="dxa" w:w="1661"/>
          </w:tcPr>
          <w:p>
            <w:pPr>
              <w:pStyle w:val="null3"/>
            </w:pPr>
            <w:r>
              <w:rPr>
                <w:rFonts w:ascii="仿宋_GB2312" w:hAnsi="仿宋_GB2312" w:cs="仿宋_GB2312" w:eastAsia="仿宋_GB2312"/>
              </w:rPr>
              <w:t>商务应答表 服务内容及服务要求应答表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评审内容：①专家队伍建设与人员资格审查；②实地核查与许可建议；③获证企业后续服务；④质量与风险管控。 评审标准：以上内容专门针对本项目且阐述明确、详细、全面、合理得10分，评审内容每缺一项扣2.5分，评审内容每出现一处缺陷（缺陷指内容明显错误，或内容表述前后矛盾、内容不完整、表达简单笼统、缺少关键点，或不适用本项目特性等）的扣0.5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工作流程方案</w:t>
            </w:r>
          </w:p>
        </w:tc>
        <w:tc>
          <w:tcPr>
            <w:tcW w:type="dxa" w:w="2492"/>
          </w:tcPr>
          <w:p>
            <w:pPr>
              <w:pStyle w:val="null3"/>
            </w:pPr>
            <w:r>
              <w:rPr>
                <w:rFonts w:ascii="仿宋_GB2312" w:hAnsi="仿宋_GB2312" w:cs="仿宋_GB2312" w:eastAsia="仿宋_GB2312"/>
              </w:rPr>
              <w:t>评审内容：①企业申请资料复审方案；②实地核查实施方案；③实地核查资料汇总审核工作方案；④提出许可与否建议方案。评审标准：以上内容专门针对本项目且阐述明确、详细、全面、合理得10分，评审内容每缺一项扣2.5分，评审内容每出现一处缺陷（缺陷指内容明显错误，或内容表述前后矛盾、内容不完整、表达简单笼统、缺少关键点，或不适用本项目特性等）的扣0.5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工作开展方案</w:t>
            </w:r>
          </w:p>
        </w:tc>
        <w:tc>
          <w:tcPr>
            <w:tcW w:type="dxa" w:w="2492"/>
          </w:tcPr>
          <w:p>
            <w:pPr>
              <w:pStyle w:val="null3"/>
            </w:pPr>
            <w:r>
              <w:rPr>
                <w:rFonts w:ascii="仿宋_GB2312" w:hAnsi="仿宋_GB2312" w:cs="仿宋_GB2312" w:eastAsia="仿宋_GB2312"/>
              </w:rPr>
              <w:t>评审内容：①技术专家培训、考核方案； ②技术专家聘用、换证等资格审查方案； ③技术专家派遣使用方案；④技术专家队伍建设的管理工作方案；⑤政策宣贯和技术支撑方案。评审标准：以上内容专门针对本项目且阐述明确、详细、全面、合理得 5 分，评审内容每缺一项扣 1 分,评审内容每出现一处缺陷（缺陷指内容明显错误，或内容表述前后矛盾、内容不完整、表达简单笼统、缺少关键点，或不适用本项目特性等）的扣0.5 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 计划 安排 及时 效保 证措 施</w:t>
            </w:r>
          </w:p>
        </w:tc>
        <w:tc>
          <w:tcPr>
            <w:tcW w:type="dxa" w:w="2492"/>
          </w:tcPr>
          <w:p>
            <w:pPr>
              <w:pStyle w:val="null3"/>
            </w:pPr>
            <w:r>
              <w:rPr>
                <w:rFonts w:ascii="仿宋_GB2312" w:hAnsi="仿宋_GB2312" w:cs="仿宋_GB2312" w:eastAsia="仿宋_GB2312"/>
              </w:rPr>
              <w:t>评审内容①进度计划安排②时效保证措 施。评审标准：以上内容专门针对本项目且阐述明细、全面、合理得4 分，评审内容每缺一项扣 2分,评审内容每出现一 处缺陷（缺陷指内容明显错误，或内容表述前后矛盾、内容不完整、表达简单笼统、缺少关键点，或不适用本项目特性等）的扣 1 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评审内容： ①组织机构设置方案；②团队的职能分工及职责划分方案；③配置人员经验；④团队管理制度建设方案。 评审标准： 机构设置合理、团队人员职责划分明确、分工合理、团队配置满足项目需要，人员经验丰富，专业能力能有效保障项目服务质量，内容描述详细，架构清晰的得5分。评审内容每缺一项扣2分；评审内容每出现一处缺陷（缺陷是指：内容粗略、组织结构设置不合理、人员配置不合理、职责划分不明确、人员经验不足、与项目特点不匹配或只有标题没有实质性内容等）扣0.5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w:t>
            </w:r>
          </w:p>
        </w:tc>
        <w:tc>
          <w:tcPr>
            <w:tcW w:type="dxa" w:w="2492"/>
          </w:tcPr>
          <w:p>
            <w:pPr>
              <w:pStyle w:val="null3"/>
            </w:pPr>
            <w:r>
              <w:rPr>
                <w:rFonts w:ascii="仿宋_GB2312" w:hAnsi="仿宋_GB2312" w:cs="仿宋_GB2312" w:eastAsia="仿宋_GB2312"/>
              </w:rPr>
              <w:t>评审内容： ①完成服务要求中的各项内容质量保障方案；②检查结果质量保障方案；③重大事项处理保障方案。 评审标准： 以上内容专门针对本项目且阐述明确、详细、全面、合理得6分，评审内容每缺一项扣2分，扣完为止。评审内容每出现一处缺陷（缺陷指内容明显错误，或内容表述前后矛盾、内容不完整、表达简单笼统、缺少关键点，或不适用本项目特性等）的扣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拟派团队人员</w:t>
            </w:r>
          </w:p>
        </w:tc>
        <w:tc>
          <w:tcPr>
            <w:tcW w:type="dxa" w:w="2492"/>
          </w:tcPr>
          <w:p>
            <w:pPr>
              <w:pStyle w:val="null3"/>
            </w:pPr>
            <w:r>
              <w:rPr>
                <w:rFonts w:ascii="仿宋_GB2312" w:hAnsi="仿宋_GB2312" w:cs="仿宋_GB2312" w:eastAsia="仿宋_GB2312"/>
              </w:rPr>
              <w:t>拟投入项目的项目负责人具备高级专业技术职称的得3分；具备中级职称的得2分。除项目负责人外，团队成员中每提供1名具备中级及以上职称的人员得1分，最高得7分。 客观认定标准：须提供有效证书复印件及近三个月社保缴纳证明。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供应商自2021年1月至响应文件提交截止日类似项目业绩（以合同复印件为准），每提供一份业绩得4分，最高得20分。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 30 分。 （3）磋商报价得分=（磋商基准价/最终磋商报价） ×30。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