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版本号：ZYGL-2026-HZ-21320260724001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西乡县杨河镇黄池社区“千万工程”示范村基础设施提升项目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ZYGL-2026-HZ-213</w:t>
      </w:r>
      <w:r>
        <w:br/>
      </w:r>
      <w:r>
        <w:br/>
      </w:r>
      <w:r>
        <w:br/>
      </w:r>
    </w:p>
    <w:p>
      <w:pPr>
        <w:pStyle w:val="null3"/>
        <w:jc w:val="center"/>
        <w:outlineLvl w:val="2"/>
      </w:pPr>
      <w:r>
        <w:rPr>
          <w:rFonts w:ascii="仿宋_GB2312" w:hAnsi="仿宋_GB2312" w:cs="仿宋_GB2312" w:eastAsia="仿宋_GB2312"/>
          <w:sz w:val="28"/>
          <w:b/>
        </w:rPr>
        <w:t>西乡县杨河镇人民政府</w:t>
      </w:r>
    </w:p>
    <w:p>
      <w:pPr>
        <w:pStyle w:val="null3"/>
        <w:jc w:val="center"/>
        <w:outlineLvl w:val="2"/>
      </w:pPr>
      <w:r>
        <w:rPr>
          <w:rFonts w:ascii="仿宋_GB2312" w:hAnsi="仿宋_GB2312" w:cs="仿宋_GB2312" w:eastAsia="仿宋_GB2312"/>
          <w:sz w:val="28"/>
          <w:b/>
        </w:rPr>
        <w:t>陕西众依项目管理有限公司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陕西众依项目管理有限公司</w:t>
      </w:r>
      <w:r>
        <w:rPr>
          <w:rFonts w:ascii="仿宋_GB2312" w:hAnsi="仿宋_GB2312" w:cs="仿宋_GB2312" w:eastAsia="仿宋_GB2312"/>
        </w:rPr>
        <w:t>（以下简称“代理机构”）受</w:t>
      </w:r>
      <w:r>
        <w:rPr>
          <w:rFonts w:ascii="仿宋_GB2312" w:hAnsi="仿宋_GB2312" w:cs="仿宋_GB2312" w:eastAsia="仿宋_GB2312"/>
        </w:rPr>
        <w:t>西乡县杨河镇人民政府</w:t>
      </w:r>
      <w:r>
        <w:rPr>
          <w:rFonts w:ascii="仿宋_GB2312" w:hAnsi="仿宋_GB2312" w:cs="仿宋_GB2312" w:eastAsia="仿宋_GB2312"/>
        </w:rPr>
        <w:t>委托，拟对</w:t>
      </w:r>
      <w:r>
        <w:rPr>
          <w:rFonts w:ascii="仿宋_GB2312" w:hAnsi="仿宋_GB2312" w:cs="仿宋_GB2312" w:eastAsia="仿宋_GB2312"/>
        </w:rPr>
        <w:t>西乡县杨河镇黄池社区“千万工程”示范村基础设施提升项目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ZYGL-2026-HZ-213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西乡县杨河镇黄池社区“千万工程”示范村基础设施提升项目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杨河镇黄池社区“千万工程”示范村基础设施提升项目位于西乡县杨河镇黄池社区，路线全长1.730KM，其中线路一新建3.5m宽混凝土路面长687m，路肩浆砌片石挡墙1处15m;线路二新建3.5m宽混凝土路面长872m，D800mm管涵一座;线路三新建3.5m宽混凝土路面长171m。路面结构均采用16cm厚水泥稳定石渣基层+18cm厚C30水泥混凝土面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采购包1（西乡县杨河镇黄池社区“千万工程”示范村基础设施提升项目）：属于专门面向中小企业采购。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3、供应商资质和专业要求：供应商须具备行政主管部门颁发的公路工程施工总承包或市政公用工程施工总承包三级(含三级)及以上资质，并具有行政主管部门颁发的安全生产许可证;</w:t>
      </w:r>
    </w:p>
    <w:p>
      <w:pPr>
        <w:pStyle w:val="null3"/>
      </w:pPr>
      <w:r>
        <w:rPr>
          <w:rFonts w:ascii="仿宋_GB2312" w:hAnsi="仿宋_GB2312" w:cs="仿宋_GB2312" w:eastAsia="仿宋_GB2312"/>
        </w:rPr>
        <w:t>4、项目经理资质和专业要求：拟派项目经理须具备在本单位注册的公路工程或市政公用工程专业二级及以上注册建造师证书和有效的安全考核合格B证，且无在建项目承诺；</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6、非联合体磋商：本项目不接受联合体磋商，单位负责人为同一人或者存在控股、管理关系的不同单位不得同时参与本项目磋商响应。注:供应商需提供“非联合体磋商声明函”(格式自拟)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西乡县杨河镇人民政府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西乡县杨河镇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西乡县杨河镇人民政府经办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0916-6461306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陕西省西安市雁塔区汉华曲江中心T1楼11223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西乡县政府采购管理股经办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采购包1：755,645.00元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开户名称：陕西众依项⽬管理有限公司</w:t>
            </w:r>
          </w:p>
          <w:p>
            <w:pPr>
              <w:pStyle w:val="null3"/>
            </w:pPr>
            <w:r>
              <w:rPr>
                <w:rFonts w:ascii="仿宋_GB2312" w:hAnsi="仿宋_GB2312" w:cs="仿宋_GB2312" w:eastAsia="仿宋_GB2312"/>
              </w:rPr>
              <w:t>开户银行：西安银⾏纺织城⽀⾏</w:t>
            </w:r>
          </w:p>
          <w:p>
            <w:pPr>
              <w:pStyle w:val="null3"/>
            </w:pPr>
            <w:r>
              <w:rPr>
                <w:rFonts w:ascii="仿宋_GB2312" w:hAnsi="仿宋_GB2312" w:cs="仿宋_GB2312" w:eastAsia="仿宋_GB2312"/>
              </w:rPr>
              <w:t>银行账号：381011580000304215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办法》(计价格〔2002〕1980号)、发展改⾰委员会办公厅颁发的《关于招标代理服务费收费有关问题的通知》（发改办价格[2003]857号）及《调整后的招标代理服务收费标准》(发改价格〔2011〕534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西乡县杨河镇人民政府</w:t>
      </w:r>
      <w:r>
        <w:rPr>
          <w:rFonts w:ascii="仿宋_GB2312" w:hAnsi="仿宋_GB2312" w:cs="仿宋_GB2312" w:eastAsia="仿宋_GB2312"/>
        </w:rPr>
        <w:t>和</w:t>
      </w:r>
      <w:r>
        <w:rPr>
          <w:rFonts w:ascii="仿宋_GB2312" w:hAnsi="仿宋_GB2312" w:cs="仿宋_GB2312" w:eastAsia="仿宋_GB2312"/>
        </w:rPr>
        <w:t>陕西众依项目管理有限公司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西乡县杨河镇人民政府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西乡县杨河镇人民政府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地址：陕西省西安市雁塔区汉华曲江中⼼T1楼11223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755,645.00</w:t>
      </w:r>
    </w:p>
    <w:p>
      <w:pPr>
        <w:pStyle w:val="null3"/>
      </w:pPr>
      <w:r>
        <w:rPr>
          <w:rFonts w:ascii="仿宋_GB2312" w:hAnsi="仿宋_GB2312" w:cs="仿宋_GB2312" w:eastAsia="仿宋_GB2312"/>
        </w:rPr>
        <w:t>采购包最高限价（元）: 755,645.00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西乡县杨河镇黄池社区“千万工程”示范村基础设施提升项目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755,645.00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标的名称：西乡县杨河镇黄池社区“千万工程”示范村基础设施提升项目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 xml:space="preserve">1. 工期：合同签订后45个日历天。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3. 缺陷责任期：2年，自合同工程完工验收合格之日起计算；</w:t>
                  </w:r>
                </w:p>
                <w:p>
                  <w:pPr>
                    <w:pStyle w:val="null3"/>
                  </w:pPr>
                  <w:r>
                    <w:rPr>
                      <w:rFonts w:ascii="仿宋_GB2312" w:hAnsi="仿宋_GB2312" w:cs="仿宋_GB2312" w:eastAsia="仿宋_GB2312"/>
                    </w:rPr>
                    <w:t>4.质量保修期：5年，自合同工程完工验收合格之日起计算；</w:t>
                  </w:r>
                </w:p>
                <w:p>
                  <w:pPr>
                    <w:pStyle w:val="null3"/>
                  </w:pPr>
                  <w:r>
                    <w:rPr>
                      <w:rFonts w:ascii="仿宋_GB2312" w:hAnsi="仿宋_GB2312" w:cs="仿宋_GB2312" w:eastAsia="仿宋_GB2312"/>
                    </w:rPr>
                    <w:t>5.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6. 施工要求： 6.1 遵守国家相关法律、法规，遵守国家相关技术规范； 6.2 所选材料必须保证质 量可靠、进货渠道正常，符合国家环保等相关标准，满足施工要求； 6.3 工程质量符合国家有关规范 ，确保达到合格； 6.4 遵守有关施工规范和安全操作规程，采取有效的安全保障措施，确保施工安全 ，包括悬挂警示标牌、装设围栏 、配备安全人员等，并承担事故的全部费用和责任； 6.5 施工单位 必须服从当地对治安、卫生、环保、 社会保险等工程建设的统一管理，并按有关规定交纳费用以及因违反相关规定而造成的罚款； 6.6 本工程不允许转包； 6.7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7.质量 验收标准或规范 ： 7.1 国家现行有关法律、法规、环保和技术指标； 7.2 本项目施工合同；7.3 经批准的设计文件及工程变更文件； 7.4 有关部政府部门的规定。 </w:t>
                  </w:r>
                </w:p>
                <w:p>
                  <w:pPr>
                    <w:pStyle w:val="null3"/>
                  </w:pPr>
                  <w:r>
                    <w:rPr>
                      <w:rFonts w:ascii="仿宋_GB2312" w:hAnsi="仿宋_GB2312" w:cs="仿宋_GB2312" w:eastAsia="仿宋_GB2312"/>
                    </w:rPr>
                    <w:t xml:space="preserve">8.项目检验与验收： 8.1 成交供应商向采购人提交项目实施过程中的所有资料； 8.2 验收须以合同、磋商文件及响应文件、澄清、及国家相应的标准、规范等为依据。 8.3合同的变更、中止、终止：合同一经签订，不得擅自变更、中止或者终止合同。对确需变更、调整或者中止、终止合同的，由双方协商解决。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9.合同争议的处理：合同在履行过程中发生的争议，当事人双方应协商解决，协商达不成一致时，可向采购方所在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10.违约责任： 10.1 按《中华人民共和国政府采购法》《中华人民共和 国民法典》中的相关条款执行； 10.2 未按要求提供货物、质量、环保标准不能满足技术要求的，施工方必须无条件更换，否则，采购单位有权终 止 合同，并对施工方的违约行为报监管机构进行相应的处罚。</w:t>
                  </w:r>
                </w:p>
                <w:p>
                  <w:pPr>
                    <w:pStyle w:val="null3"/>
                  </w:pPr>
                  <w:r>
                    <w:rPr>
                      <w:rFonts w:ascii="仿宋_GB2312" w:hAnsi="仿宋_GB2312" w:cs="仿宋_GB2312" w:eastAsia="仿宋_GB2312"/>
                    </w:rPr>
                    <w:t>11.付款方式：</w:t>
                  </w:r>
                </w:p>
                <w:p>
                  <w:pPr>
                    <w:pStyle w:val="null3"/>
                  </w:pPr>
                  <w:r>
                    <w:rPr>
                      <w:rFonts w:ascii="仿宋_GB2312" w:hAnsi="仿宋_GB2312" w:cs="仿宋_GB2312" w:eastAsia="仿宋_GB2312"/>
                    </w:rPr>
                    <w:t>11.1合同签订，设备进场后，达到付款条件起7个工作日内，支付合同总金额的40%；</w:t>
                  </w:r>
                </w:p>
                <w:p>
                  <w:pPr>
                    <w:pStyle w:val="null3"/>
                  </w:pPr>
                  <w:r>
                    <w:rPr>
                      <w:rFonts w:ascii="仿宋_GB2312" w:hAnsi="仿宋_GB2312" w:cs="仿宋_GB2312" w:eastAsia="仿宋_GB2312"/>
                    </w:rPr>
                    <w:t>11.2 工程竣工、验收合格后，达到付款条件起7个工作日内，支付合同总金额的50%；</w:t>
                  </w:r>
                </w:p>
                <w:p>
                  <w:pPr>
                    <w:pStyle w:val="null3"/>
                  </w:pPr>
                  <w:r>
                    <w:rPr>
                      <w:rFonts w:ascii="仿宋_GB2312" w:hAnsi="仿宋_GB2312" w:cs="仿宋_GB2312" w:eastAsia="仿宋_GB2312"/>
                    </w:rPr>
                    <w:t>11.3工程审计结束后，达到付款条件起7个工作日内，支付合同总金额的10%。</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1、所有⼯程须符合⾏业标准及相关规定； 2、所有⼯程须符合国家有关规范和执⾏标准。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 项⽬的磋商响应⽂件。 2.成交供应商在采购结果发布后3个⼯作⽇内向代理机构提交纸质版响应⽂件以便于存档，响应⽂件正 本1份，副本1份（可以使⽤签章⽂件直接打印），电⼦版⽂件1份（以U盘为载体，PDF格式）。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供应商须具备行政主管部门颁发的公路工程施工总承包或市政公用工程施工总承包三级(含三级)及以上资质，并具有行政主管部门颁发的安全生产许可证;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拟派项目经理须具备在本单位注册的公路工程或市政公用工程专业二级及以上注册建造师证书和有效的安全考核合格B证，且无在建项目承诺；</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本项目不接受联合体磋商，单位负责人为同一人或者存在控股、管理关系的不同单位不得同时参与本项目磋商响应。注:供应商需提供“非联合体磋商声明函”(格式自拟)</w:t>
            </w:r>
          </w:p>
        </w:tc>
        <w:tc>
          <w:tcPr>
            <w:tcW w:type="dxa" w:w="1661"/>
          </w:tcPr>
          <w:p>
            <w:pPr>
              <w:pStyle w:val="null3"/>
            </w:pPr>
            <w:r>
              <w:rPr>
                <w:rFonts w:ascii="仿宋_GB2312" w:hAnsi="仿宋_GB2312" w:cs="仿宋_GB2312" w:eastAsia="仿宋_GB2312"/>
              </w:rPr>
              <w:t>供应商提供的相关资格证明文件.docx 企业控股关联关系说明.docx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企业控股关联关系说明.docx 项目组织管理机构及人员配置情况.docx 施工总进度计划.docx 新材料、新工艺.docx 供应商提供的相关资格证明文件.docx 商务响应偏离表.docx 安全施工要求及措施.docx 标的清单 质量技术措施.docx 环境保护措施.docx 监狱企业的证明文件 施工部署.docx 已标价工程量清单 中小企业声明函 文明施工措施.docx 响应文件封面 验收保修方案.docx 项目管理机构组成表 资源配置.docx 类似项目业绩.docx 残疾人福利性单位声明函 报价函 其他承诺.docx 应急措施.docx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2、可实施性：切合本项目实际情况，实施步骤清晰、合理；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三、赋分标准（满分6分）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施工总进度计划.docx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三、赋分标准（满分4.5分） ①质量管理目标：每完全满足一个评审标准得0.5分，满分1.5分； ②施工质量保障措施：每完全满足一个评审标准得0.5分，满分1.5分； ③施工质量检验制度：每完全满足一个评审标准得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供应商针对本项目提供①新技术和新工艺②新产品和新材料的应用情况。 二、评审标准 1、完整性：方案必须全面，对评审内容中的各项要求有详细描述； 2、可实施性：切合本项目实际情况，实施步骤清晰、合理； 3、针对性：方案能够紧扣项目实际情况，内容科学合理。 三、赋分标准（满分 3 分） ①新技术和新工艺：每完全满足一个评审标准得 0.5 分，满分 1.5分； ②新产品和新材料：每完全满足一个评审标准得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新材料、新工艺.docx</w:t>
            </w:r>
          </w:p>
        </w:tc>
      </w:tr>
      <w:tr>
        <w:tc>
          <w:tcPr>
            <w:tcW w:type="dxa" w:w="831"/>
            <w:vMerge/>
          </w:tcPr>
          <w:p/>
        </w:tc>
        <w:tc>
          <w:tcPr>
            <w:tcW w:type="dxa" w:w="1661"/>
          </w:tcPr>
          <w:p>
            <w:pPr>
              <w:pStyle w:val="null3"/>
            </w:pPr>
            <w:r>
              <w:rPr>
                <w:rFonts w:ascii="仿宋_GB2312" w:hAnsi="仿宋_GB2312" w:cs="仿宋_GB2312" w:eastAsia="仿宋_GB2312"/>
              </w:rPr>
              <w:t>安全施工要求及措施</w:t>
            </w:r>
          </w:p>
        </w:tc>
        <w:tc>
          <w:tcPr>
            <w:tcW w:type="dxa" w:w="2492"/>
          </w:tcPr>
          <w:p>
            <w:pPr>
              <w:pStyle w:val="null3"/>
            </w:pPr>
            <w:r>
              <w:rPr>
                <w:rFonts w:ascii="仿宋_GB2312" w:hAnsi="仿宋_GB2312" w:cs="仿宋_GB2312" w:eastAsia="仿宋_GB2312"/>
              </w:rPr>
              <w:t>一、评审内容 供应商编制完善的安全施工要求及措施，内容包含：①安全管理制度②安全责任归属划分③安全标识：安全警戒标语、施工人员安全警示服和安全帽穿配要求④安全教育培训。 二、评审标准 1、完整性：方案须全面，对评审内容中的各项要求有详细描述； 2、可实施性：切合本项目实际情况，实施步骤清晰、合理； 3、针对性：方案能够紧扣项目实际情况，内容科学合理。 三、赋分标准（满分 6 分） ①安全管理制度：每完全满足一个评审标准得 0.5 分，满分 1.5 分； ②安全责任归属划分：每完全满足一个评审标准得 0.5 分，满 1.5分； ③安全标识：每完全满足一个评审标准得 0.5 分，满分 1.5 分； ④安全教育培训：每完全满足一个评审标准得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安全施工要求及措施.docx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供应商编制完善的文明施工措施，内容包含：①文明施工管理制度②材料、机具的堆放管理③文明施工检查措施。 二、评审标准 1、完整性：方案须全面，对评审内容中的各项要求有详细描述； 2、可实施性：切合本项目实际情况，实施步骤清晰、合理； 3、针对性：方案能够紧扣项目实际情况，内容科学合理。 三、赋分标准（满分 6 分） ①文明施工管理制度：每完全满足一个评审标准得 1 分，满分 3 分； ②材料、机具的堆放管理：每完全满足一个评审标准得 0.5 分，满分 1.5 分； ③文明施工检查措施：每完全满足一个评审标准得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供应商针对本项目编制主要管理措施，内容包含：①施工材料保护措施②季节性施工措施③工程重难点及解决措施④施工质量通病防治措施。 二、评审标准 1、完整性：方案须全面，对评审内容中的各项要求有详细描述； 2、可实施性：切合本项目实际情况，实施步骤清晰、合理； 3、针对性：方案能够紧扣项目实际情况，内容科学合理。 三、赋分标准（满分 6 分） ①施工材料保护措施：每完全满足一个评审标准得 0.5 分，满分 1.5分； ②季节性施工措施：每完全满足一个评审标准得 0.5 分，满 1.5 分； ③工程重难点及解决措施：每完全满足一个评审标准得 0.5 分，满分 1.5 分； ④施工质量通病防治措施：每完全满足一个评审标准得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主要管理措施.docx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突发事件的应急措施②安全事故应急措施：高空坠落伤害应急措施、触电应急措施、人员伤亡应急措施。 二、评审标准 1、完整性：方案须全面，对评审内容中的各项要求有详细描述； 2、可实施性：切合本项目实际情况，实施步骤清晰、合理； 3、针对性：方案能够紧扣项目实际情况，内容科学合理。 三、赋分标准（满分 3 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 1分，满分 3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资源配置.docx</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结合本项目的实际，供应商应依据国家相关规定提出工程验收保修方案，内容包含：①验收方案②维修措施③保修责任及保修承诺④响应时间。 二、评审标准 1、完整性：内容必须全面，对评审内容中的各项要求有详细描述； 2、可实施性：切合本项目实际情况，实施步骤清晰、合理； 3、针对性：内容能够紧扣项目实际情况，内容科学合理。 三、赋分标准（满分 6 分） ①验收方案：每完全满足一个评审标准得 0.5 分，满分 1.5 分； ②维修措施：每完全满足一个评审标准得 0.5 分，满分 1.5 分； ③保修责任及保修承诺：每完全满足一个评审标准得 0.5 分，满分1.5 分； ④响应时间：每完全满足一个评审标准得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验收保修方案.docx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2.项目人员配备（5分）：需配备技术负责人、专职安全员（需C证）、质检员（需质量员证书）等岗位，需提供岗位证书、社保缴纳凭证。每配备一人得1分，最高得5分。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项目组织管理机构及人员配置情况.docx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 2024年 01月01 日至今类似项目业绩（以合同签订日期为准），每份合格业绩合同计 1.5 分，满分 3分。 赋分依据：需同时提供完整合同业绩及对应中标通知书复印件。不提供或缺项不得分。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 赋分依据：以加盖供应商公章的承诺为计分依据，每提供一条得 0.5分，满分 1 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详见附件：新材料、新工艺.docx</w:t>
      </w:r>
    </w:p>
    <w:p>
      <w:pPr>
        <w:pStyle w:val="null3"/>
        <w:ind w:firstLine="960"/>
      </w:pPr>
      <w:r>
        <w:rPr>
          <w:rFonts w:ascii="仿宋_GB2312" w:hAnsi="仿宋_GB2312" w:cs="仿宋_GB2312" w:eastAsia="仿宋_GB2312"/>
        </w:rPr>
        <w:t>详见附件：资源配置.docx</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详见附件：企业控股关联关系说明.docx</w:t>
      </w:r>
    </w:p>
    <w:p>
      <w:pPr>
        <w:pStyle w:val="null3"/>
        <w:ind w:firstLine="960"/>
      </w:pPr>
      <w:r>
        <w:rPr>
          <w:rFonts w:ascii="仿宋_GB2312" w:hAnsi="仿宋_GB2312" w:cs="仿宋_GB2312" w:eastAsia="仿宋_GB2312"/>
        </w:rPr>
        <w:t>详见附件：安全施工要求及措施.docx</w:t>
      </w:r>
    </w:p>
    <w:p>
      <w:pPr>
        <w:pStyle w:val="null3"/>
        <w:ind w:firstLine="960"/>
      </w:pPr>
      <w:r>
        <w:rPr>
          <w:rFonts w:ascii="仿宋_GB2312" w:hAnsi="仿宋_GB2312" w:cs="仿宋_GB2312" w:eastAsia="仿宋_GB2312"/>
        </w:rPr>
        <w:t>详见附件：环境保护措施.docx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详见附件：其他承诺.docx</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详见附件：施工总进度计划.docx</w:t>
      </w:r>
    </w:p>
    <w:p>
      <w:pPr>
        <w:pStyle w:val="null3"/>
        <w:ind w:firstLine="960"/>
      </w:pPr>
      <w:r>
        <w:rPr>
          <w:rFonts w:ascii="仿宋_GB2312" w:hAnsi="仿宋_GB2312" w:cs="仿宋_GB2312" w:eastAsia="仿宋_GB2312"/>
        </w:rPr>
        <w:t>详见附件：项目组织管理机构及人员配置情况.docx</w:t>
      </w:r>
    </w:p>
    <w:p>
      <w:pPr>
        <w:pStyle w:val="null3"/>
        <w:ind w:firstLine="960"/>
      </w:pPr>
      <w:r>
        <w:rPr>
          <w:rFonts w:ascii="仿宋_GB2312" w:hAnsi="仿宋_GB2312" w:cs="仿宋_GB2312" w:eastAsia="仿宋_GB2312"/>
        </w:rPr>
        <w:t>详见附件：验收保修方案.docx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详见附件：质量技术措施.docx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详见附件：主要管理措施.docx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