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D5FBEE">
      <w:pPr>
        <w:pStyle w:val="12"/>
        <w:jc w:val="center"/>
        <w:outlineLvl w:val="0"/>
        <w:rPr>
          <w:rFonts w:ascii="仿宋_GB2312" w:hAnsi="仿宋_GB2312" w:eastAsia="仿宋_GB2312" w:cs="仿宋_GB2312"/>
          <w:b/>
          <w:color w:val="auto"/>
          <w:sz w:val="36"/>
          <w:highlight w:val="none"/>
        </w:rPr>
      </w:pPr>
      <w:r>
        <w:rPr>
          <w:rFonts w:ascii="仿宋_GB2312" w:hAnsi="仿宋_GB2312" w:eastAsia="仿宋_GB2312" w:cs="仿宋_GB2312"/>
          <w:b/>
          <w:color w:val="auto"/>
          <w:sz w:val="36"/>
          <w:highlight w:val="none"/>
        </w:rPr>
        <w:t>拟签订采购合同文本</w:t>
      </w:r>
    </w:p>
    <w:p w14:paraId="362C1511">
      <w:pPr>
        <w:pStyle w:val="12"/>
        <w:jc w:val="center"/>
        <w:outlineLvl w:val="1"/>
        <w:rPr>
          <w:rFonts w:ascii="仿宋_GB2312" w:hAnsi="仿宋_GB2312" w:eastAsia="仿宋_GB2312" w:cs="仿宋_GB2312"/>
          <w:b/>
          <w:color w:val="auto"/>
          <w:sz w:val="36"/>
          <w:highlight w:val="none"/>
        </w:rPr>
      </w:pPr>
      <w:r>
        <w:rPr>
          <w:rFonts w:hint="eastAsia" w:ascii="仿宋_GB2312" w:hAnsi="仿宋_GB2312" w:eastAsia="仿宋_GB2312" w:cs="仿宋_GB2312"/>
          <w:b/>
          <w:color w:val="auto"/>
          <w:sz w:val="36"/>
          <w:highlight w:val="none"/>
          <w:lang w:eastAsia="zh-CN"/>
        </w:rPr>
        <w:t>（</w:t>
      </w:r>
      <w:r>
        <w:rPr>
          <w:rFonts w:hint="eastAsia" w:ascii="仿宋_GB2312" w:hAnsi="仿宋_GB2312" w:eastAsia="仿宋_GB2312" w:cs="仿宋_GB2312"/>
          <w:b/>
          <w:color w:val="auto"/>
          <w:sz w:val="36"/>
          <w:highlight w:val="none"/>
          <w:lang w:val="en-US" w:eastAsia="zh-CN"/>
        </w:rPr>
        <w:t>仅供参考</w:t>
      </w:r>
      <w:r>
        <w:rPr>
          <w:rFonts w:hint="eastAsia" w:ascii="仿宋_GB2312" w:hAnsi="仿宋_GB2312" w:eastAsia="仿宋_GB2312" w:cs="仿宋_GB2312"/>
          <w:b/>
          <w:color w:val="auto"/>
          <w:sz w:val="36"/>
          <w:highlight w:val="none"/>
          <w:lang w:eastAsia="zh-CN"/>
        </w:rPr>
        <w:t>）</w:t>
      </w:r>
    </w:p>
    <w:p w14:paraId="2590CA20">
      <w:pPr>
        <w:pStyle w:val="12"/>
        <w:rPr>
          <w:color w:val="auto"/>
          <w:highlight w:val="none"/>
        </w:rPr>
      </w:pPr>
    </w:p>
    <w:p w14:paraId="3145FF83">
      <w:pPr>
        <w:pStyle w:val="12"/>
        <w:rPr>
          <w:color w:val="auto"/>
          <w:highlight w:val="none"/>
        </w:rPr>
      </w:pPr>
    </w:p>
    <w:p w14:paraId="065684A9">
      <w:pPr>
        <w:jc w:val="center"/>
        <w:rPr>
          <w:rFonts w:hint="eastAsia" w:ascii="仿宋" w:hAnsi="仿宋" w:eastAsia="仿宋" w:cs="仿宋"/>
          <w:color w:val="auto"/>
          <w:sz w:val="36"/>
          <w:szCs w:val="36"/>
          <w:highlight w:val="none"/>
        </w:rPr>
      </w:pPr>
      <w:r>
        <w:rPr>
          <w:rFonts w:hint="eastAsia" w:ascii="仿宋" w:hAnsi="仿宋" w:eastAsia="仿宋" w:cs="仿宋"/>
          <w:color w:val="auto"/>
          <w:sz w:val="36"/>
          <w:szCs w:val="36"/>
          <w:highlight w:val="none"/>
          <w:u w:val="single"/>
          <w:lang w:val="en-US" w:eastAsia="zh-CN"/>
        </w:rPr>
        <w:t xml:space="preserve">            </w:t>
      </w:r>
      <w:r>
        <w:rPr>
          <w:rFonts w:hint="eastAsia" w:ascii="仿宋" w:hAnsi="仿宋" w:eastAsia="仿宋" w:cs="仿宋"/>
          <w:color w:val="auto"/>
          <w:sz w:val="36"/>
          <w:szCs w:val="36"/>
          <w:highlight w:val="none"/>
        </w:rPr>
        <w:t>项目</w:t>
      </w:r>
    </w:p>
    <w:p w14:paraId="706028BE">
      <w:pPr>
        <w:pStyle w:val="3"/>
        <w:ind w:firstLine="720" w:firstLineChars="200"/>
        <w:jc w:val="center"/>
        <w:rPr>
          <w:rFonts w:hint="eastAsia" w:ascii="仿宋" w:hAnsi="仿宋" w:eastAsia="仿宋" w:cs="仿宋"/>
          <w:color w:val="auto"/>
          <w:sz w:val="36"/>
          <w:szCs w:val="36"/>
          <w:highlight w:val="none"/>
        </w:rPr>
      </w:pPr>
    </w:p>
    <w:p w14:paraId="01BF49DC">
      <w:pPr>
        <w:pStyle w:val="3"/>
        <w:ind w:firstLine="720" w:firstLineChars="200"/>
        <w:jc w:val="center"/>
        <w:rPr>
          <w:rFonts w:hint="eastAsia" w:ascii="仿宋" w:hAnsi="仿宋" w:eastAsia="仿宋" w:cs="仿宋"/>
          <w:color w:val="auto"/>
          <w:sz w:val="36"/>
          <w:szCs w:val="36"/>
          <w:highlight w:val="none"/>
        </w:rPr>
      </w:pPr>
    </w:p>
    <w:p w14:paraId="3A7805AF">
      <w:pPr>
        <w:pStyle w:val="3"/>
        <w:ind w:firstLine="720" w:firstLineChars="200"/>
        <w:rPr>
          <w:rFonts w:hint="eastAsia" w:ascii="仿宋" w:hAnsi="仿宋" w:eastAsia="仿宋" w:cs="仿宋"/>
          <w:color w:val="auto"/>
          <w:sz w:val="36"/>
          <w:szCs w:val="36"/>
          <w:highlight w:val="none"/>
        </w:rPr>
      </w:pPr>
    </w:p>
    <w:p w14:paraId="5C6C1BBE">
      <w:pPr>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合　　同</w:t>
      </w:r>
    </w:p>
    <w:p w14:paraId="222A40C5">
      <w:pPr>
        <w:pStyle w:val="3"/>
        <w:ind w:firstLine="720" w:firstLineChars="200"/>
        <w:rPr>
          <w:rFonts w:hint="eastAsia" w:ascii="仿宋" w:hAnsi="仿宋" w:eastAsia="仿宋" w:cs="仿宋"/>
          <w:color w:val="auto"/>
          <w:sz w:val="36"/>
          <w:szCs w:val="36"/>
          <w:highlight w:val="none"/>
        </w:rPr>
      </w:pPr>
    </w:p>
    <w:p w14:paraId="0B2D01E2">
      <w:pPr>
        <w:pStyle w:val="3"/>
        <w:ind w:firstLine="720" w:firstLineChars="200"/>
        <w:rPr>
          <w:rFonts w:hint="eastAsia" w:ascii="仿宋" w:hAnsi="仿宋" w:eastAsia="仿宋" w:cs="仿宋"/>
          <w:color w:val="auto"/>
          <w:sz w:val="36"/>
          <w:szCs w:val="36"/>
          <w:highlight w:val="none"/>
        </w:rPr>
      </w:pPr>
    </w:p>
    <w:p w14:paraId="151796F2">
      <w:pPr>
        <w:ind w:firstLine="720" w:firstLineChars="200"/>
        <w:rPr>
          <w:rFonts w:hint="eastAsia" w:ascii="仿宋" w:hAnsi="仿宋" w:eastAsia="仿宋" w:cs="仿宋"/>
          <w:color w:val="auto"/>
          <w:sz w:val="36"/>
          <w:szCs w:val="36"/>
          <w:highlight w:val="none"/>
        </w:rPr>
      </w:pPr>
      <w:r>
        <w:rPr>
          <w:rFonts w:hint="eastAsia" w:ascii="仿宋" w:hAnsi="仿宋" w:eastAsia="仿宋" w:cs="仿宋"/>
          <w:color w:val="auto"/>
          <w:sz w:val="36"/>
          <w:szCs w:val="36"/>
          <w:highlight w:val="none"/>
        </w:rPr>
        <w:t>合同编号：</w:t>
      </w:r>
      <w:r>
        <w:rPr>
          <w:rFonts w:hint="eastAsia" w:ascii="仿宋" w:hAnsi="仿宋" w:eastAsia="仿宋" w:cs="仿宋"/>
          <w:color w:val="auto"/>
          <w:sz w:val="36"/>
          <w:szCs w:val="36"/>
          <w:highlight w:val="none"/>
          <w:u w:val="single"/>
          <w:lang w:val="en-US" w:eastAsia="zh-CN"/>
        </w:rPr>
        <w:t xml:space="preserve">            </w:t>
      </w:r>
    </w:p>
    <w:p w14:paraId="1A6E2127">
      <w:pPr>
        <w:rPr>
          <w:rFonts w:hint="eastAsia" w:ascii="仿宋" w:hAnsi="仿宋" w:eastAsia="仿宋" w:cs="仿宋"/>
          <w:color w:val="auto"/>
          <w:sz w:val="36"/>
          <w:szCs w:val="36"/>
          <w:highlight w:val="none"/>
        </w:rPr>
      </w:pPr>
    </w:p>
    <w:p w14:paraId="545D5510">
      <w:pPr>
        <w:rPr>
          <w:rFonts w:hint="eastAsia" w:ascii="仿宋" w:hAnsi="仿宋" w:eastAsia="仿宋" w:cs="仿宋"/>
          <w:color w:val="auto"/>
          <w:sz w:val="36"/>
          <w:szCs w:val="36"/>
          <w:highlight w:val="none"/>
        </w:rPr>
      </w:pPr>
    </w:p>
    <w:p w14:paraId="7442006E">
      <w:pPr>
        <w:ind w:firstLine="720" w:firstLineChars="200"/>
        <w:rPr>
          <w:rFonts w:hint="eastAsia" w:ascii="仿宋" w:hAnsi="仿宋" w:eastAsia="仿宋" w:cs="仿宋"/>
          <w:color w:val="auto"/>
          <w:sz w:val="36"/>
          <w:szCs w:val="36"/>
          <w:highlight w:val="none"/>
        </w:rPr>
      </w:pPr>
      <w:r>
        <w:rPr>
          <w:rFonts w:hint="eastAsia" w:ascii="仿宋" w:hAnsi="仿宋" w:eastAsia="仿宋" w:cs="仿宋"/>
          <w:color w:val="auto"/>
          <w:sz w:val="36"/>
          <w:szCs w:val="36"/>
          <w:highlight w:val="none"/>
        </w:rPr>
        <w:t>甲　　方：</w:t>
      </w:r>
      <w:r>
        <w:rPr>
          <w:rFonts w:hint="eastAsia" w:ascii="仿宋" w:hAnsi="仿宋" w:eastAsia="仿宋" w:cs="仿宋"/>
          <w:color w:val="auto"/>
          <w:sz w:val="36"/>
          <w:szCs w:val="36"/>
          <w:highlight w:val="none"/>
          <w:u w:val="single"/>
          <w:lang w:val="en-US" w:eastAsia="zh-CN"/>
        </w:rPr>
        <w:t xml:space="preserve">                </w:t>
      </w:r>
      <w:r>
        <w:rPr>
          <w:rFonts w:hint="eastAsia" w:ascii="仿宋" w:hAnsi="仿宋" w:eastAsia="仿宋" w:cs="仿宋"/>
          <w:color w:val="auto"/>
          <w:sz w:val="36"/>
          <w:szCs w:val="36"/>
          <w:highlight w:val="none"/>
          <w:lang w:eastAsia="zh-CN"/>
        </w:rPr>
        <w:t>（</w:t>
      </w:r>
      <w:r>
        <w:rPr>
          <w:rFonts w:hint="eastAsia" w:ascii="仿宋" w:hAnsi="仿宋" w:eastAsia="仿宋" w:cs="仿宋"/>
          <w:color w:val="auto"/>
          <w:sz w:val="36"/>
          <w:szCs w:val="36"/>
          <w:highlight w:val="none"/>
        </w:rPr>
        <w:t>采购人名称</w:t>
      </w:r>
      <w:r>
        <w:rPr>
          <w:rFonts w:hint="eastAsia" w:ascii="仿宋" w:hAnsi="仿宋" w:eastAsia="仿宋" w:cs="仿宋"/>
          <w:color w:val="auto"/>
          <w:sz w:val="36"/>
          <w:szCs w:val="36"/>
          <w:highlight w:val="none"/>
          <w:lang w:eastAsia="zh-CN"/>
        </w:rPr>
        <w:t>）</w:t>
      </w:r>
    </w:p>
    <w:p w14:paraId="6C94AC60">
      <w:pPr>
        <w:rPr>
          <w:rFonts w:hint="eastAsia" w:ascii="仿宋" w:hAnsi="仿宋" w:eastAsia="仿宋" w:cs="仿宋"/>
          <w:color w:val="auto"/>
          <w:sz w:val="36"/>
          <w:szCs w:val="36"/>
          <w:highlight w:val="none"/>
        </w:rPr>
      </w:pPr>
    </w:p>
    <w:p w14:paraId="033B501A">
      <w:pPr>
        <w:rPr>
          <w:rFonts w:hint="eastAsia" w:ascii="仿宋" w:hAnsi="仿宋" w:eastAsia="仿宋" w:cs="仿宋"/>
          <w:color w:val="auto"/>
          <w:sz w:val="36"/>
          <w:szCs w:val="36"/>
          <w:highlight w:val="none"/>
        </w:rPr>
      </w:pPr>
    </w:p>
    <w:p w14:paraId="380ABB37">
      <w:pPr>
        <w:rPr>
          <w:rFonts w:hint="eastAsia" w:ascii="仿宋" w:hAnsi="仿宋" w:eastAsia="仿宋" w:cs="仿宋"/>
          <w:color w:val="auto"/>
          <w:sz w:val="36"/>
          <w:szCs w:val="36"/>
          <w:highlight w:val="none"/>
        </w:rPr>
      </w:pPr>
      <w:r>
        <w:rPr>
          <w:rFonts w:hint="eastAsia" w:ascii="仿宋" w:hAnsi="仿宋" w:eastAsia="仿宋" w:cs="仿宋"/>
          <w:color w:val="auto"/>
          <w:sz w:val="36"/>
          <w:szCs w:val="36"/>
          <w:highlight w:val="none"/>
        </w:rPr>
        <w:t xml:space="preserve"> </w:t>
      </w:r>
      <w:r>
        <w:rPr>
          <w:rFonts w:hint="eastAsia" w:ascii="仿宋" w:hAnsi="仿宋" w:eastAsia="仿宋" w:cs="仿宋"/>
          <w:color w:val="auto"/>
          <w:sz w:val="36"/>
          <w:szCs w:val="36"/>
          <w:highlight w:val="none"/>
          <w:lang w:val="en-US" w:eastAsia="zh-CN"/>
        </w:rPr>
        <w:t xml:space="preserve">   </w:t>
      </w:r>
      <w:r>
        <w:rPr>
          <w:rFonts w:hint="eastAsia" w:ascii="仿宋" w:hAnsi="仿宋" w:eastAsia="仿宋" w:cs="仿宋"/>
          <w:color w:val="auto"/>
          <w:sz w:val="36"/>
          <w:szCs w:val="36"/>
          <w:highlight w:val="none"/>
        </w:rPr>
        <w:t>乙　　方：</w:t>
      </w:r>
      <w:r>
        <w:rPr>
          <w:rFonts w:hint="eastAsia" w:ascii="仿宋" w:hAnsi="仿宋" w:eastAsia="仿宋" w:cs="仿宋"/>
          <w:color w:val="auto"/>
          <w:sz w:val="36"/>
          <w:szCs w:val="36"/>
          <w:highlight w:val="none"/>
          <w:u w:val="single"/>
          <w:lang w:val="en-US" w:eastAsia="zh-CN"/>
        </w:rPr>
        <w:t xml:space="preserve">                </w:t>
      </w:r>
      <w:r>
        <w:rPr>
          <w:rFonts w:hint="eastAsia" w:ascii="仿宋" w:hAnsi="仿宋" w:eastAsia="仿宋" w:cs="仿宋"/>
          <w:color w:val="auto"/>
          <w:sz w:val="36"/>
          <w:szCs w:val="36"/>
          <w:highlight w:val="none"/>
          <w:lang w:eastAsia="zh-CN"/>
        </w:rPr>
        <w:t>（</w:t>
      </w:r>
      <w:r>
        <w:rPr>
          <w:rFonts w:hint="eastAsia" w:ascii="仿宋" w:hAnsi="仿宋" w:eastAsia="仿宋" w:cs="仿宋"/>
          <w:color w:val="auto"/>
          <w:sz w:val="36"/>
          <w:szCs w:val="36"/>
          <w:highlight w:val="none"/>
        </w:rPr>
        <w:t>中标人名称</w:t>
      </w:r>
      <w:r>
        <w:rPr>
          <w:rFonts w:hint="eastAsia" w:ascii="仿宋" w:hAnsi="仿宋" w:eastAsia="仿宋" w:cs="仿宋"/>
          <w:color w:val="auto"/>
          <w:sz w:val="36"/>
          <w:szCs w:val="36"/>
          <w:highlight w:val="none"/>
          <w:lang w:eastAsia="zh-CN"/>
        </w:rPr>
        <w:t>）</w:t>
      </w:r>
    </w:p>
    <w:p w14:paraId="197221E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color w:val="auto"/>
          <w:sz w:val="24"/>
          <w:szCs w:val="24"/>
          <w:highlight w:val="none"/>
        </w:rPr>
        <w:t>根据《中华人民共和国政府采购法</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中华人民共和国民法典》等有关法律法规规定，____________</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采购人名称</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以下简称：“甲方”</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通过______采购</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采购方式</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确定______</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中标人名称</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以下简称：“乙方”</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为______项目</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项目名称</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的______</w:t>
      </w:r>
      <w:r>
        <w:rPr>
          <w:rFonts w:hint="eastAsia" w:ascii="仿宋" w:hAnsi="仿宋" w:eastAsia="仿宋" w:cs="仿宋"/>
          <w:color w:val="auto"/>
          <w:kern w:val="0"/>
          <w:sz w:val="24"/>
          <w:szCs w:val="24"/>
          <w:highlight w:val="none"/>
        </w:rPr>
        <w:t>投标人</w:t>
      </w:r>
      <w:r>
        <w:rPr>
          <w:rFonts w:hint="eastAsia" w:ascii="仿宋" w:hAnsi="仿宋" w:eastAsia="仿宋" w:cs="仿宋"/>
          <w:color w:val="auto"/>
          <w:sz w:val="24"/>
          <w:szCs w:val="24"/>
          <w:highlight w:val="none"/>
        </w:rPr>
        <w:t>。甲乙双方同意签署《______项目</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项目名称</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合同》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合同编号：______，以下简称：“合同”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p w14:paraId="367F8CE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1.合同文件</w:t>
      </w:r>
    </w:p>
    <w:p w14:paraId="5AF6E90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下列文件是构成本合同不可分割的部分：</w:t>
      </w:r>
    </w:p>
    <w:p w14:paraId="6EFFE39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rPr>
        <w:t xml:space="preserve"> 合同条款；</w:t>
      </w:r>
    </w:p>
    <w:p w14:paraId="3FDB1C8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（2）</w:t>
      </w:r>
      <w:r>
        <w:rPr>
          <w:rFonts w:hint="eastAsia" w:ascii="仿宋" w:hAnsi="仿宋" w:eastAsia="仿宋" w:cs="仿宋"/>
          <w:color w:val="auto"/>
          <w:sz w:val="24"/>
          <w:szCs w:val="24"/>
          <w:highlight w:val="none"/>
        </w:rPr>
        <w:t xml:space="preserve"> 中标通知书；</w:t>
      </w:r>
    </w:p>
    <w:p w14:paraId="790129E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 xml:space="preserve"> 招标文件；</w:t>
      </w:r>
    </w:p>
    <w:p w14:paraId="62922FC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（4）</w:t>
      </w:r>
      <w:r>
        <w:rPr>
          <w:rFonts w:hint="eastAsia" w:ascii="仿宋" w:hAnsi="仿宋" w:eastAsia="仿宋" w:cs="仿宋"/>
          <w:color w:val="auto"/>
          <w:sz w:val="24"/>
          <w:szCs w:val="24"/>
          <w:highlight w:val="none"/>
        </w:rPr>
        <w:t xml:space="preserve"> 投标文件；</w:t>
      </w:r>
    </w:p>
    <w:p w14:paraId="5D2D4AE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（5）</w:t>
      </w:r>
      <w:r>
        <w:rPr>
          <w:rFonts w:hint="eastAsia" w:ascii="仿宋" w:hAnsi="仿宋" w:eastAsia="仿宋" w:cs="仿宋"/>
          <w:color w:val="auto"/>
          <w:sz w:val="24"/>
          <w:szCs w:val="24"/>
          <w:highlight w:val="none"/>
        </w:rPr>
        <w:t xml:space="preserve"> 其他</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根据实际情况需要增加的内容</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p w14:paraId="4ACBD95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组成合同的各项文件应互相解释，互为说明。合同文件的解释优先顺序以上述文件先后顺序为准。</w:t>
      </w:r>
    </w:p>
    <w:p w14:paraId="523E7A3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2.合同主要标的及数量</w:t>
      </w:r>
    </w:p>
    <w:p w14:paraId="26FBFF3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乙方应按照合同的规定，提供本项目《招标</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采购</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文件》中有关要求的产品及服务，包括但不限于以下内容：</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656"/>
        <w:gridCol w:w="996"/>
        <w:gridCol w:w="1656"/>
        <w:gridCol w:w="996"/>
        <w:gridCol w:w="996"/>
        <w:gridCol w:w="995"/>
        <w:gridCol w:w="995"/>
      </w:tblGrid>
      <w:tr w14:paraId="76206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7502CD8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1656" w:type="dxa"/>
            <w:noWrap w:val="0"/>
            <w:vAlign w:val="center"/>
          </w:tcPr>
          <w:p w14:paraId="57F46E5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货物名称</w:t>
            </w:r>
          </w:p>
        </w:tc>
        <w:tc>
          <w:tcPr>
            <w:tcW w:w="996" w:type="dxa"/>
            <w:noWrap w:val="0"/>
            <w:vAlign w:val="center"/>
          </w:tcPr>
          <w:p w14:paraId="6FE9BE3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品牌</w:t>
            </w:r>
          </w:p>
        </w:tc>
        <w:tc>
          <w:tcPr>
            <w:tcW w:w="1656" w:type="dxa"/>
            <w:noWrap w:val="0"/>
            <w:vAlign w:val="center"/>
          </w:tcPr>
          <w:p w14:paraId="6186117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型号规格</w:t>
            </w:r>
          </w:p>
        </w:tc>
        <w:tc>
          <w:tcPr>
            <w:tcW w:w="996" w:type="dxa"/>
            <w:noWrap w:val="0"/>
            <w:vAlign w:val="center"/>
          </w:tcPr>
          <w:p w14:paraId="7080698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单价</w:t>
            </w:r>
          </w:p>
        </w:tc>
        <w:tc>
          <w:tcPr>
            <w:tcW w:w="996" w:type="dxa"/>
            <w:noWrap w:val="0"/>
            <w:vAlign w:val="center"/>
          </w:tcPr>
          <w:p w14:paraId="69ADFDB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p>
        </w:tc>
        <w:tc>
          <w:tcPr>
            <w:tcW w:w="995" w:type="dxa"/>
            <w:noWrap w:val="0"/>
            <w:vAlign w:val="center"/>
          </w:tcPr>
          <w:p w14:paraId="2884F1E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小计</w:t>
            </w:r>
          </w:p>
        </w:tc>
        <w:tc>
          <w:tcPr>
            <w:tcW w:w="995" w:type="dxa"/>
            <w:noWrap w:val="0"/>
            <w:vAlign w:val="center"/>
          </w:tcPr>
          <w:p w14:paraId="0B4CDDD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14:paraId="01F73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16FFF62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1656" w:type="dxa"/>
            <w:noWrap w:val="0"/>
            <w:vAlign w:val="center"/>
          </w:tcPr>
          <w:p w14:paraId="3F0CA72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996" w:type="dxa"/>
            <w:noWrap w:val="0"/>
            <w:vAlign w:val="center"/>
          </w:tcPr>
          <w:p w14:paraId="5CC1939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1656" w:type="dxa"/>
            <w:noWrap w:val="0"/>
            <w:vAlign w:val="center"/>
          </w:tcPr>
          <w:p w14:paraId="1025E61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996" w:type="dxa"/>
            <w:noWrap w:val="0"/>
            <w:vAlign w:val="center"/>
          </w:tcPr>
          <w:p w14:paraId="3880A9A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996" w:type="dxa"/>
            <w:noWrap w:val="0"/>
            <w:vAlign w:val="center"/>
          </w:tcPr>
          <w:p w14:paraId="30AFA1D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995" w:type="dxa"/>
            <w:noWrap w:val="0"/>
            <w:vAlign w:val="center"/>
          </w:tcPr>
          <w:p w14:paraId="1A66461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995" w:type="dxa"/>
            <w:noWrap w:val="0"/>
            <w:vAlign w:val="center"/>
          </w:tcPr>
          <w:p w14:paraId="6A679A2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r>
      <w:tr w14:paraId="2F7F5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4D189D3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1656" w:type="dxa"/>
            <w:noWrap w:val="0"/>
            <w:vAlign w:val="center"/>
          </w:tcPr>
          <w:p w14:paraId="7C81E5D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996" w:type="dxa"/>
            <w:noWrap w:val="0"/>
            <w:vAlign w:val="center"/>
          </w:tcPr>
          <w:p w14:paraId="1F8B8F8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1656" w:type="dxa"/>
            <w:noWrap w:val="0"/>
            <w:vAlign w:val="center"/>
          </w:tcPr>
          <w:p w14:paraId="0235C93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996" w:type="dxa"/>
            <w:noWrap w:val="0"/>
            <w:vAlign w:val="center"/>
          </w:tcPr>
          <w:p w14:paraId="7F0AC59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996" w:type="dxa"/>
            <w:noWrap w:val="0"/>
            <w:vAlign w:val="center"/>
          </w:tcPr>
          <w:p w14:paraId="3E4636C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995" w:type="dxa"/>
            <w:noWrap w:val="0"/>
            <w:vAlign w:val="center"/>
          </w:tcPr>
          <w:p w14:paraId="36BBF4B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995" w:type="dxa"/>
            <w:noWrap w:val="0"/>
            <w:vAlign w:val="center"/>
          </w:tcPr>
          <w:p w14:paraId="08FA6AC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r>
      <w:tr w14:paraId="7EC5F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48993C0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1656" w:type="dxa"/>
            <w:noWrap w:val="0"/>
            <w:vAlign w:val="center"/>
          </w:tcPr>
          <w:p w14:paraId="61A804A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996" w:type="dxa"/>
            <w:noWrap w:val="0"/>
            <w:vAlign w:val="center"/>
          </w:tcPr>
          <w:p w14:paraId="4F27390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1656" w:type="dxa"/>
            <w:noWrap w:val="0"/>
            <w:vAlign w:val="center"/>
          </w:tcPr>
          <w:p w14:paraId="3209462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996" w:type="dxa"/>
            <w:noWrap w:val="0"/>
            <w:vAlign w:val="center"/>
          </w:tcPr>
          <w:p w14:paraId="7E57F69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996" w:type="dxa"/>
            <w:noWrap w:val="0"/>
            <w:vAlign w:val="center"/>
          </w:tcPr>
          <w:p w14:paraId="0F758D1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995" w:type="dxa"/>
            <w:noWrap w:val="0"/>
            <w:vAlign w:val="center"/>
          </w:tcPr>
          <w:p w14:paraId="43C7918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995" w:type="dxa"/>
            <w:noWrap w:val="0"/>
            <w:vAlign w:val="center"/>
          </w:tcPr>
          <w:p w14:paraId="073B31D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r>
      <w:tr w14:paraId="5B876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62D6200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1656" w:type="dxa"/>
            <w:noWrap w:val="0"/>
            <w:vAlign w:val="center"/>
          </w:tcPr>
          <w:p w14:paraId="7AA8EE5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996" w:type="dxa"/>
            <w:noWrap w:val="0"/>
            <w:vAlign w:val="center"/>
          </w:tcPr>
          <w:p w14:paraId="3FB842A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1656" w:type="dxa"/>
            <w:noWrap w:val="0"/>
            <w:vAlign w:val="center"/>
          </w:tcPr>
          <w:p w14:paraId="6BB77BA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996" w:type="dxa"/>
            <w:noWrap w:val="0"/>
            <w:vAlign w:val="center"/>
          </w:tcPr>
          <w:p w14:paraId="137AD0A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996" w:type="dxa"/>
            <w:noWrap w:val="0"/>
            <w:vAlign w:val="center"/>
          </w:tcPr>
          <w:p w14:paraId="0778886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995" w:type="dxa"/>
            <w:noWrap w:val="0"/>
            <w:vAlign w:val="center"/>
          </w:tcPr>
          <w:p w14:paraId="068726C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995" w:type="dxa"/>
            <w:noWrap w:val="0"/>
            <w:vAlign w:val="center"/>
          </w:tcPr>
          <w:p w14:paraId="0F7F6BA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r>
      <w:tr w14:paraId="0C9A7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02E6DC6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1656" w:type="dxa"/>
            <w:noWrap w:val="0"/>
            <w:vAlign w:val="center"/>
          </w:tcPr>
          <w:p w14:paraId="4BB4E54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996" w:type="dxa"/>
            <w:noWrap w:val="0"/>
            <w:vAlign w:val="center"/>
          </w:tcPr>
          <w:p w14:paraId="6F1DD13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1656" w:type="dxa"/>
            <w:noWrap w:val="0"/>
            <w:vAlign w:val="center"/>
          </w:tcPr>
          <w:p w14:paraId="22FF126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996" w:type="dxa"/>
            <w:noWrap w:val="0"/>
            <w:vAlign w:val="center"/>
          </w:tcPr>
          <w:p w14:paraId="19271CD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996" w:type="dxa"/>
            <w:noWrap w:val="0"/>
            <w:vAlign w:val="center"/>
          </w:tcPr>
          <w:p w14:paraId="66B803A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995" w:type="dxa"/>
            <w:noWrap w:val="0"/>
            <w:vAlign w:val="center"/>
          </w:tcPr>
          <w:p w14:paraId="3377382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995" w:type="dxa"/>
            <w:noWrap w:val="0"/>
            <w:vAlign w:val="center"/>
          </w:tcPr>
          <w:p w14:paraId="043C853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r>
      <w:tr w14:paraId="5A14D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5C6EB82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1656" w:type="dxa"/>
            <w:noWrap w:val="0"/>
            <w:vAlign w:val="center"/>
          </w:tcPr>
          <w:p w14:paraId="4B6CDF2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996" w:type="dxa"/>
            <w:noWrap w:val="0"/>
            <w:vAlign w:val="center"/>
          </w:tcPr>
          <w:p w14:paraId="54D8A72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1656" w:type="dxa"/>
            <w:noWrap w:val="0"/>
            <w:vAlign w:val="center"/>
          </w:tcPr>
          <w:p w14:paraId="10FBA54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996" w:type="dxa"/>
            <w:noWrap w:val="0"/>
            <w:vAlign w:val="center"/>
          </w:tcPr>
          <w:p w14:paraId="5284119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996" w:type="dxa"/>
            <w:noWrap w:val="0"/>
            <w:vAlign w:val="center"/>
          </w:tcPr>
          <w:p w14:paraId="37C80D9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995" w:type="dxa"/>
            <w:noWrap w:val="0"/>
            <w:vAlign w:val="center"/>
          </w:tcPr>
          <w:p w14:paraId="1280CC5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c>
          <w:tcPr>
            <w:tcW w:w="995" w:type="dxa"/>
            <w:noWrap w:val="0"/>
            <w:vAlign w:val="center"/>
          </w:tcPr>
          <w:p w14:paraId="64B04BE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szCs w:val="24"/>
                <w:highlight w:val="none"/>
              </w:rPr>
            </w:pPr>
          </w:p>
        </w:tc>
      </w:tr>
      <w:tr w14:paraId="295F8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4" w:type="dxa"/>
            <w:gridSpan w:val="4"/>
            <w:noWrap w:val="0"/>
            <w:vAlign w:val="center"/>
          </w:tcPr>
          <w:p w14:paraId="60C3E78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合计</w:t>
            </w:r>
          </w:p>
        </w:tc>
        <w:tc>
          <w:tcPr>
            <w:tcW w:w="996" w:type="dxa"/>
            <w:noWrap w:val="0"/>
            <w:vAlign w:val="center"/>
          </w:tcPr>
          <w:p w14:paraId="64A291D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color w:val="auto"/>
                <w:sz w:val="24"/>
                <w:szCs w:val="24"/>
                <w:highlight w:val="none"/>
              </w:rPr>
            </w:pPr>
          </w:p>
        </w:tc>
        <w:tc>
          <w:tcPr>
            <w:tcW w:w="996" w:type="dxa"/>
            <w:noWrap w:val="0"/>
            <w:vAlign w:val="center"/>
          </w:tcPr>
          <w:p w14:paraId="6916E38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color w:val="auto"/>
                <w:sz w:val="24"/>
                <w:szCs w:val="24"/>
                <w:highlight w:val="none"/>
              </w:rPr>
            </w:pPr>
          </w:p>
        </w:tc>
        <w:tc>
          <w:tcPr>
            <w:tcW w:w="995" w:type="dxa"/>
            <w:noWrap w:val="0"/>
            <w:vAlign w:val="center"/>
          </w:tcPr>
          <w:p w14:paraId="27A00BA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color w:val="auto"/>
                <w:sz w:val="24"/>
                <w:szCs w:val="24"/>
                <w:highlight w:val="none"/>
              </w:rPr>
            </w:pPr>
          </w:p>
        </w:tc>
        <w:tc>
          <w:tcPr>
            <w:tcW w:w="995" w:type="dxa"/>
            <w:noWrap w:val="0"/>
            <w:vAlign w:val="center"/>
          </w:tcPr>
          <w:p w14:paraId="2498B5C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color w:val="auto"/>
                <w:sz w:val="24"/>
                <w:szCs w:val="24"/>
                <w:highlight w:val="none"/>
              </w:rPr>
            </w:pPr>
          </w:p>
        </w:tc>
      </w:tr>
    </w:tbl>
    <w:p w14:paraId="24A4D56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3.合同总金额及付款方式</w:t>
      </w:r>
    </w:p>
    <w:p w14:paraId="7F15964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3.1合同总金额</w:t>
      </w:r>
    </w:p>
    <w:p w14:paraId="1B567A7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本合同总金额为人民币______元</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¥______</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。本项目包括但不限于税费、运输、保险、安装、调试、技术支持、质量保障、售后服务、培训和合同中规定乙方应承担的其他义务的费用已由乙方计入本合同总金额中。</w:t>
      </w:r>
    </w:p>
    <w:p w14:paraId="61779DE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3.2付款方式</w:t>
      </w:r>
    </w:p>
    <w:p w14:paraId="0A406BC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3.3履约保证金</w:t>
      </w:r>
    </w:p>
    <w:p w14:paraId="6F65AD5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4.合同签订地：______</w:t>
      </w:r>
    </w:p>
    <w:p w14:paraId="76DEC78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5.合同生效</w:t>
      </w:r>
    </w:p>
    <w:p w14:paraId="4197579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本合同一式肆份，甲方执贰份、乙方执壹份、采购代理机构（见证方）执壹份。在甲、乙及见证方签字盖章，</w:t>
      </w:r>
      <w:r>
        <w:rPr>
          <w:rFonts w:hint="eastAsia" w:ascii="仿宋" w:hAnsi="仿宋" w:eastAsia="仿宋" w:cs="仿宋"/>
          <w:color w:val="auto"/>
          <w:sz w:val="24"/>
          <w:szCs w:val="24"/>
          <w:highlight w:val="none"/>
          <w:lang w:eastAsia="zh-CN"/>
        </w:rPr>
        <w:t>并在</w:t>
      </w:r>
      <w:r>
        <w:rPr>
          <w:rFonts w:hint="eastAsia" w:ascii="仿宋" w:hAnsi="仿宋" w:eastAsia="仿宋" w:cs="仿宋"/>
          <w:color w:val="auto"/>
          <w:sz w:val="24"/>
          <w:szCs w:val="24"/>
          <w:highlight w:val="none"/>
        </w:rPr>
        <w:t>甲方收到乙方提交的履约保证金后生效。</w:t>
      </w:r>
    </w:p>
    <w:p w14:paraId="01AA0C5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6.其他约定：见证方只见证合同金额。</w:t>
      </w:r>
    </w:p>
    <w:p w14:paraId="087032E6">
      <w:pPr>
        <w:spacing w:line="33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tbl>
      <w:tblPr>
        <w:tblStyle w:val="7"/>
        <w:tblW w:w="0" w:type="auto"/>
        <w:tblInd w:w="93" w:type="dxa"/>
        <w:tblLayout w:type="fixed"/>
        <w:tblCellMar>
          <w:top w:w="0" w:type="dxa"/>
          <w:left w:w="108" w:type="dxa"/>
          <w:bottom w:w="0" w:type="dxa"/>
          <w:right w:w="108" w:type="dxa"/>
        </w:tblCellMar>
      </w:tblPr>
      <w:tblGrid>
        <w:gridCol w:w="4551"/>
        <w:gridCol w:w="4253"/>
      </w:tblGrid>
      <w:tr w14:paraId="45638DAB">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34D7B494">
            <w:pP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甲  方</w:t>
            </w:r>
          </w:p>
        </w:tc>
        <w:tc>
          <w:tcPr>
            <w:tcW w:w="4253" w:type="dxa"/>
            <w:tcBorders>
              <w:top w:val="single" w:color="auto" w:sz="8" w:space="0"/>
              <w:left w:val="nil"/>
              <w:bottom w:val="single" w:color="auto" w:sz="8" w:space="0"/>
              <w:right w:val="single" w:color="auto" w:sz="8" w:space="0"/>
            </w:tcBorders>
            <w:noWrap w:val="0"/>
            <w:vAlign w:val="center"/>
          </w:tcPr>
          <w:p w14:paraId="50C27760">
            <w:pP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乙  方</w:t>
            </w:r>
          </w:p>
        </w:tc>
      </w:tr>
      <w:tr w14:paraId="79D470CF">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7397C692">
            <w:pP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（盖章）</w:t>
            </w:r>
          </w:p>
        </w:tc>
        <w:tc>
          <w:tcPr>
            <w:tcW w:w="4253" w:type="dxa"/>
            <w:tcBorders>
              <w:top w:val="nil"/>
              <w:left w:val="nil"/>
              <w:bottom w:val="nil"/>
              <w:right w:val="single" w:color="auto" w:sz="8" w:space="0"/>
            </w:tcBorders>
            <w:noWrap w:val="0"/>
            <w:vAlign w:val="center"/>
          </w:tcPr>
          <w:p w14:paraId="0566DD48">
            <w:pP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（盖章）</w:t>
            </w:r>
          </w:p>
        </w:tc>
      </w:tr>
      <w:tr w14:paraId="6ADA91EB">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76B28B66">
            <w:pPr>
              <w:rPr>
                <w:rFonts w:hint="eastAsia" w:ascii="仿宋" w:hAnsi="仿宋" w:eastAsia="仿宋" w:cs="仿宋"/>
                <w:color w:val="auto"/>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3CCE2A6A">
            <w:pPr>
              <w:rPr>
                <w:rFonts w:hint="eastAsia" w:ascii="仿宋" w:hAnsi="仿宋" w:eastAsia="仿宋" w:cs="仿宋"/>
                <w:color w:val="auto"/>
                <w:kern w:val="0"/>
                <w:sz w:val="24"/>
                <w:szCs w:val="24"/>
                <w:highlight w:val="none"/>
              </w:rPr>
            </w:pPr>
          </w:p>
        </w:tc>
      </w:tr>
      <w:tr w14:paraId="0ACB00E4">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32EB13E3">
            <w:pP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地址：</w:t>
            </w:r>
          </w:p>
        </w:tc>
        <w:tc>
          <w:tcPr>
            <w:tcW w:w="4253" w:type="dxa"/>
            <w:tcBorders>
              <w:top w:val="nil"/>
              <w:left w:val="nil"/>
              <w:bottom w:val="single" w:color="auto" w:sz="8" w:space="0"/>
              <w:right w:val="single" w:color="auto" w:sz="8" w:space="0"/>
            </w:tcBorders>
            <w:noWrap w:val="0"/>
            <w:vAlign w:val="center"/>
          </w:tcPr>
          <w:p w14:paraId="3B040877">
            <w:pP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地址：</w:t>
            </w:r>
          </w:p>
        </w:tc>
      </w:tr>
      <w:tr w14:paraId="5BAC4C2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6E8719BE">
            <w:pP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邮编：</w:t>
            </w:r>
          </w:p>
        </w:tc>
        <w:tc>
          <w:tcPr>
            <w:tcW w:w="4253" w:type="dxa"/>
            <w:tcBorders>
              <w:top w:val="nil"/>
              <w:left w:val="nil"/>
              <w:bottom w:val="single" w:color="auto" w:sz="8" w:space="0"/>
              <w:right w:val="single" w:color="auto" w:sz="8" w:space="0"/>
            </w:tcBorders>
            <w:noWrap w:val="0"/>
            <w:vAlign w:val="center"/>
          </w:tcPr>
          <w:p w14:paraId="2C1EB6CD">
            <w:pP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邮编：</w:t>
            </w:r>
          </w:p>
        </w:tc>
      </w:tr>
      <w:tr w14:paraId="6583212F">
        <w:tblPrEx>
          <w:tblCellMar>
            <w:top w:w="0" w:type="dxa"/>
            <w:left w:w="108" w:type="dxa"/>
            <w:bottom w:w="0" w:type="dxa"/>
            <w:right w:w="108" w:type="dxa"/>
          </w:tblCellMar>
        </w:tblPrEx>
        <w:trPr>
          <w:trHeight w:val="576" w:hRule="atLeast"/>
        </w:trPr>
        <w:tc>
          <w:tcPr>
            <w:tcW w:w="4551" w:type="dxa"/>
            <w:tcBorders>
              <w:top w:val="nil"/>
              <w:left w:val="single" w:color="auto" w:sz="8" w:space="0"/>
              <w:bottom w:val="single" w:color="000000" w:sz="8" w:space="0"/>
              <w:right w:val="single" w:color="auto" w:sz="8" w:space="0"/>
            </w:tcBorders>
            <w:noWrap w:val="0"/>
            <w:vAlign w:val="center"/>
          </w:tcPr>
          <w:p w14:paraId="63FEE9E7">
            <w:pP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法定代表人：</w:t>
            </w:r>
          </w:p>
        </w:tc>
        <w:tc>
          <w:tcPr>
            <w:tcW w:w="4253" w:type="dxa"/>
            <w:tcBorders>
              <w:top w:val="nil"/>
              <w:left w:val="nil"/>
              <w:bottom w:val="single" w:color="auto" w:sz="8" w:space="0"/>
              <w:right w:val="single" w:color="auto" w:sz="8" w:space="0"/>
            </w:tcBorders>
            <w:noWrap w:val="0"/>
            <w:vAlign w:val="center"/>
          </w:tcPr>
          <w:p w14:paraId="0FCE5A03">
            <w:pP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法定代表人：</w:t>
            </w:r>
          </w:p>
        </w:tc>
      </w:tr>
      <w:tr w14:paraId="13D5A7EE">
        <w:tblPrEx>
          <w:tblCellMar>
            <w:top w:w="0" w:type="dxa"/>
            <w:left w:w="108" w:type="dxa"/>
            <w:bottom w:w="0" w:type="dxa"/>
            <w:right w:w="108" w:type="dxa"/>
          </w:tblCellMar>
        </w:tblPrEx>
        <w:trPr>
          <w:trHeight w:val="502" w:hRule="atLeast"/>
        </w:trPr>
        <w:tc>
          <w:tcPr>
            <w:tcW w:w="4551" w:type="dxa"/>
            <w:tcBorders>
              <w:top w:val="nil"/>
              <w:left w:val="single" w:color="auto" w:sz="8" w:space="0"/>
              <w:bottom w:val="single" w:color="000000" w:sz="8" w:space="0"/>
              <w:right w:val="single" w:color="auto" w:sz="8" w:space="0"/>
            </w:tcBorders>
            <w:noWrap w:val="0"/>
            <w:vAlign w:val="center"/>
          </w:tcPr>
          <w:p w14:paraId="39F64CBA">
            <w:pP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被授权代表：（签字）</w:t>
            </w:r>
          </w:p>
        </w:tc>
        <w:tc>
          <w:tcPr>
            <w:tcW w:w="4253" w:type="dxa"/>
            <w:tcBorders>
              <w:top w:val="nil"/>
              <w:left w:val="nil"/>
              <w:bottom w:val="single" w:color="auto" w:sz="8" w:space="0"/>
              <w:right w:val="single" w:color="auto" w:sz="8" w:space="0"/>
            </w:tcBorders>
            <w:noWrap w:val="0"/>
            <w:vAlign w:val="center"/>
          </w:tcPr>
          <w:p w14:paraId="54F725AA">
            <w:pP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被授权代表：（签字）</w:t>
            </w:r>
          </w:p>
        </w:tc>
      </w:tr>
      <w:tr w14:paraId="7221B6CA">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3B90FE1A">
            <w:pP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电话：</w:t>
            </w:r>
          </w:p>
        </w:tc>
        <w:tc>
          <w:tcPr>
            <w:tcW w:w="4253" w:type="dxa"/>
            <w:tcBorders>
              <w:top w:val="nil"/>
              <w:left w:val="nil"/>
              <w:bottom w:val="single" w:color="auto" w:sz="8" w:space="0"/>
              <w:right w:val="single" w:color="auto" w:sz="8" w:space="0"/>
            </w:tcBorders>
            <w:noWrap w:val="0"/>
            <w:vAlign w:val="center"/>
          </w:tcPr>
          <w:p w14:paraId="12ACC6F6">
            <w:pP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电话：</w:t>
            </w:r>
          </w:p>
        </w:tc>
      </w:tr>
      <w:tr w14:paraId="7F4120C0">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79D8731D">
            <w:pP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传真：</w:t>
            </w:r>
          </w:p>
        </w:tc>
        <w:tc>
          <w:tcPr>
            <w:tcW w:w="4253" w:type="dxa"/>
            <w:tcBorders>
              <w:top w:val="nil"/>
              <w:left w:val="nil"/>
              <w:bottom w:val="single" w:color="auto" w:sz="8" w:space="0"/>
              <w:right w:val="single" w:color="auto" w:sz="8" w:space="0"/>
            </w:tcBorders>
            <w:noWrap w:val="0"/>
            <w:vAlign w:val="center"/>
          </w:tcPr>
          <w:p w14:paraId="293532AB">
            <w:pP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传真：</w:t>
            </w:r>
          </w:p>
        </w:tc>
      </w:tr>
      <w:tr w14:paraId="45285161">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5AEB493A">
            <w:pPr>
              <w:rPr>
                <w:rFonts w:hint="eastAsia" w:ascii="仿宋" w:hAnsi="仿宋" w:eastAsia="仿宋" w:cs="仿宋"/>
                <w:color w:val="auto"/>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3C4930A6">
            <w:pP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开户银行：</w:t>
            </w:r>
          </w:p>
        </w:tc>
      </w:tr>
      <w:tr w14:paraId="2A09886F">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43298889">
            <w:pPr>
              <w:rPr>
                <w:rFonts w:hint="eastAsia" w:ascii="仿宋" w:hAnsi="仿宋" w:eastAsia="仿宋" w:cs="仿宋"/>
                <w:color w:val="auto"/>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22BA2AC0">
            <w:pP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账号</w:t>
            </w:r>
            <w:r>
              <w:rPr>
                <w:rFonts w:hint="eastAsia" w:ascii="仿宋" w:hAnsi="仿宋" w:eastAsia="仿宋" w:cs="仿宋"/>
                <w:color w:val="auto"/>
                <w:kern w:val="0"/>
                <w:sz w:val="24"/>
                <w:szCs w:val="24"/>
                <w:highlight w:val="none"/>
                <w:lang w:eastAsia="zh-CN"/>
              </w:rPr>
              <w:t>：</w:t>
            </w:r>
          </w:p>
        </w:tc>
      </w:tr>
      <w:tr w14:paraId="0915383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3440BF05">
            <w:pP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日期：     年   月   日</w:t>
            </w:r>
          </w:p>
        </w:tc>
        <w:tc>
          <w:tcPr>
            <w:tcW w:w="4253" w:type="dxa"/>
            <w:tcBorders>
              <w:top w:val="nil"/>
              <w:left w:val="nil"/>
              <w:bottom w:val="single" w:color="auto" w:sz="8" w:space="0"/>
              <w:right w:val="single" w:color="auto" w:sz="8" w:space="0"/>
            </w:tcBorders>
            <w:noWrap w:val="0"/>
            <w:vAlign w:val="center"/>
          </w:tcPr>
          <w:p w14:paraId="4A68DD0B">
            <w:pP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日期：     年   月   日</w:t>
            </w:r>
          </w:p>
        </w:tc>
      </w:tr>
      <w:tr w14:paraId="3183CBBB">
        <w:tblPrEx>
          <w:tblCellMar>
            <w:top w:w="0" w:type="dxa"/>
            <w:left w:w="108" w:type="dxa"/>
            <w:bottom w:w="0" w:type="dxa"/>
            <w:right w:w="108" w:type="dxa"/>
          </w:tblCellMar>
        </w:tblPrEx>
        <w:trPr>
          <w:trHeight w:val="381" w:hRule="atLeast"/>
        </w:trPr>
        <w:tc>
          <w:tcPr>
            <w:tcW w:w="4551" w:type="dxa"/>
            <w:tcBorders>
              <w:top w:val="nil"/>
              <w:left w:val="single" w:color="auto" w:sz="8" w:space="0"/>
              <w:bottom w:val="nil"/>
              <w:right w:val="single" w:color="auto" w:sz="8" w:space="0"/>
            </w:tcBorders>
            <w:noWrap w:val="0"/>
            <w:vAlign w:val="center"/>
          </w:tcPr>
          <w:p w14:paraId="6838807F">
            <w:pP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见证方</w:t>
            </w:r>
          </w:p>
        </w:tc>
        <w:tc>
          <w:tcPr>
            <w:tcW w:w="4253" w:type="dxa"/>
            <w:tcBorders>
              <w:top w:val="nil"/>
              <w:left w:val="nil"/>
              <w:bottom w:val="nil"/>
              <w:right w:val="nil"/>
            </w:tcBorders>
            <w:noWrap w:val="0"/>
            <w:vAlign w:val="center"/>
          </w:tcPr>
          <w:p w14:paraId="6B73747D">
            <w:pPr>
              <w:rPr>
                <w:rFonts w:hint="eastAsia" w:ascii="仿宋" w:hAnsi="仿宋" w:eastAsia="仿宋" w:cs="仿宋"/>
                <w:color w:val="auto"/>
                <w:kern w:val="0"/>
                <w:sz w:val="24"/>
                <w:szCs w:val="24"/>
                <w:highlight w:val="none"/>
              </w:rPr>
            </w:pPr>
          </w:p>
        </w:tc>
      </w:tr>
      <w:tr w14:paraId="6DE35161">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noWrap w:val="0"/>
            <w:vAlign w:val="center"/>
          </w:tcPr>
          <w:p w14:paraId="3A270EA3">
            <w:pP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（盖章）</w:t>
            </w:r>
          </w:p>
        </w:tc>
        <w:tc>
          <w:tcPr>
            <w:tcW w:w="4253" w:type="dxa"/>
            <w:tcBorders>
              <w:top w:val="nil"/>
              <w:left w:val="nil"/>
              <w:bottom w:val="nil"/>
              <w:right w:val="nil"/>
            </w:tcBorders>
            <w:noWrap w:val="0"/>
            <w:vAlign w:val="center"/>
          </w:tcPr>
          <w:p w14:paraId="49E5131E">
            <w:pPr>
              <w:rPr>
                <w:rFonts w:hint="eastAsia" w:ascii="仿宋" w:hAnsi="仿宋" w:eastAsia="仿宋" w:cs="仿宋"/>
                <w:color w:val="auto"/>
                <w:kern w:val="0"/>
                <w:sz w:val="24"/>
                <w:szCs w:val="24"/>
                <w:highlight w:val="none"/>
              </w:rPr>
            </w:pPr>
          </w:p>
        </w:tc>
      </w:tr>
      <w:tr w14:paraId="66B811CA">
        <w:tblPrEx>
          <w:tblCellMar>
            <w:top w:w="0" w:type="dxa"/>
            <w:left w:w="108" w:type="dxa"/>
            <w:bottom w:w="0" w:type="dxa"/>
            <w:right w:w="108" w:type="dxa"/>
          </w:tblCellMar>
        </w:tblPrEx>
        <w:trPr>
          <w:trHeight w:val="299" w:hRule="atLeast"/>
        </w:trPr>
        <w:tc>
          <w:tcPr>
            <w:tcW w:w="4551" w:type="dxa"/>
            <w:vMerge w:val="continue"/>
            <w:tcBorders>
              <w:left w:val="single" w:color="auto" w:sz="8" w:space="0"/>
              <w:right w:val="single" w:color="auto" w:sz="8" w:space="0"/>
            </w:tcBorders>
            <w:noWrap w:val="0"/>
            <w:vAlign w:val="center"/>
          </w:tcPr>
          <w:p w14:paraId="6FE0D011">
            <w:pPr>
              <w:rPr>
                <w:rFonts w:hint="eastAsia" w:ascii="仿宋" w:hAnsi="仿宋" w:eastAsia="仿宋" w:cs="仿宋"/>
                <w:color w:val="auto"/>
                <w:kern w:val="0"/>
                <w:sz w:val="24"/>
                <w:szCs w:val="24"/>
                <w:highlight w:val="none"/>
              </w:rPr>
            </w:pPr>
          </w:p>
        </w:tc>
        <w:tc>
          <w:tcPr>
            <w:tcW w:w="4253" w:type="dxa"/>
            <w:tcBorders>
              <w:top w:val="nil"/>
              <w:left w:val="nil"/>
              <w:bottom w:val="nil"/>
              <w:right w:val="nil"/>
            </w:tcBorders>
            <w:noWrap w:val="0"/>
            <w:vAlign w:val="center"/>
          </w:tcPr>
          <w:p w14:paraId="55DF2737">
            <w:pPr>
              <w:rPr>
                <w:rFonts w:hint="eastAsia" w:ascii="仿宋" w:hAnsi="仿宋" w:eastAsia="仿宋" w:cs="仿宋"/>
                <w:color w:val="auto"/>
                <w:kern w:val="0"/>
                <w:sz w:val="24"/>
                <w:szCs w:val="24"/>
                <w:highlight w:val="none"/>
              </w:rPr>
            </w:pPr>
          </w:p>
        </w:tc>
      </w:tr>
      <w:tr w14:paraId="669072D8">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noWrap w:val="0"/>
            <w:vAlign w:val="center"/>
          </w:tcPr>
          <w:p w14:paraId="01A17E09">
            <w:pPr>
              <w:rPr>
                <w:rFonts w:hint="eastAsia" w:ascii="仿宋" w:hAnsi="仿宋" w:eastAsia="仿宋" w:cs="仿宋"/>
                <w:color w:val="auto"/>
                <w:kern w:val="0"/>
                <w:sz w:val="24"/>
                <w:szCs w:val="24"/>
                <w:highlight w:val="none"/>
              </w:rPr>
            </w:pPr>
          </w:p>
        </w:tc>
        <w:tc>
          <w:tcPr>
            <w:tcW w:w="4253" w:type="dxa"/>
            <w:tcBorders>
              <w:top w:val="nil"/>
              <w:left w:val="nil"/>
              <w:bottom w:val="nil"/>
              <w:right w:val="nil"/>
            </w:tcBorders>
            <w:noWrap w:val="0"/>
            <w:vAlign w:val="center"/>
          </w:tcPr>
          <w:p w14:paraId="2D9F74C4">
            <w:pPr>
              <w:rPr>
                <w:rFonts w:hint="eastAsia" w:ascii="仿宋" w:hAnsi="仿宋" w:eastAsia="仿宋" w:cs="仿宋"/>
                <w:color w:val="auto"/>
                <w:kern w:val="0"/>
                <w:sz w:val="24"/>
                <w:szCs w:val="24"/>
                <w:highlight w:val="none"/>
              </w:rPr>
            </w:pPr>
          </w:p>
        </w:tc>
      </w:tr>
      <w:tr w14:paraId="2B41F633">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noWrap w:val="0"/>
            <w:vAlign w:val="center"/>
          </w:tcPr>
          <w:p w14:paraId="00A7D8D6">
            <w:pPr>
              <w:rPr>
                <w:rFonts w:hint="eastAsia" w:ascii="仿宋" w:hAnsi="仿宋" w:eastAsia="仿宋" w:cs="仿宋"/>
                <w:color w:val="auto"/>
                <w:kern w:val="0"/>
                <w:sz w:val="24"/>
                <w:szCs w:val="24"/>
                <w:highlight w:val="none"/>
              </w:rPr>
            </w:pPr>
          </w:p>
        </w:tc>
        <w:tc>
          <w:tcPr>
            <w:tcW w:w="4253" w:type="dxa"/>
            <w:tcBorders>
              <w:top w:val="nil"/>
              <w:left w:val="nil"/>
              <w:bottom w:val="nil"/>
              <w:right w:val="nil"/>
            </w:tcBorders>
            <w:noWrap w:val="0"/>
            <w:vAlign w:val="center"/>
          </w:tcPr>
          <w:p w14:paraId="035BD05C">
            <w:pPr>
              <w:rPr>
                <w:rFonts w:hint="eastAsia" w:ascii="仿宋" w:hAnsi="仿宋" w:eastAsia="仿宋" w:cs="仿宋"/>
                <w:color w:val="auto"/>
                <w:kern w:val="0"/>
                <w:sz w:val="24"/>
                <w:szCs w:val="24"/>
                <w:highlight w:val="none"/>
              </w:rPr>
            </w:pPr>
          </w:p>
        </w:tc>
      </w:tr>
      <w:tr w14:paraId="7E663603">
        <w:tblPrEx>
          <w:tblCellMar>
            <w:top w:w="0" w:type="dxa"/>
            <w:left w:w="108" w:type="dxa"/>
            <w:bottom w:w="0" w:type="dxa"/>
            <w:right w:w="108" w:type="dxa"/>
          </w:tblCellMar>
        </w:tblPrEx>
        <w:trPr>
          <w:trHeight w:val="512" w:hRule="atLeast"/>
        </w:trPr>
        <w:tc>
          <w:tcPr>
            <w:tcW w:w="4551" w:type="dxa"/>
            <w:tcBorders>
              <w:top w:val="nil"/>
              <w:left w:val="single" w:color="auto" w:sz="8" w:space="0"/>
              <w:bottom w:val="single" w:color="auto" w:sz="8" w:space="0"/>
              <w:right w:val="single" w:color="auto" w:sz="8" w:space="0"/>
            </w:tcBorders>
            <w:noWrap w:val="0"/>
            <w:vAlign w:val="center"/>
          </w:tcPr>
          <w:p w14:paraId="461848BD">
            <w:pP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日期：     年   月   日</w:t>
            </w:r>
          </w:p>
        </w:tc>
        <w:tc>
          <w:tcPr>
            <w:tcW w:w="4253" w:type="dxa"/>
            <w:tcBorders>
              <w:top w:val="nil"/>
              <w:left w:val="nil"/>
              <w:bottom w:val="nil"/>
              <w:right w:val="nil"/>
            </w:tcBorders>
            <w:noWrap w:val="0"/>
            <w:vAlign w:val="center"/>
          </w:tcPr>
          <w:p w14:paraId="6D64E22D">
            <w:pPr>
              <w:rPr>
                <w:rFonts w:hint="eastAsia" w:ascii="仿宋" w:hAnsi="仿宋" w:eastAsia="仿宋" w:cs="仿宋"/>
                <w:color w:val="auto"/>
                <w:kern w:val="0"/>
                <w:sz w:val="24"/>
                <w:szCs w:val="24"/>
                <w:highlight w:val="none"/>
              </w:rPr>
            </w:pPr>
          </w:p>
        </w:tc>
      </w:tr>
    </w:tbl>
    <w:p w14:paraId="0BD475C1">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w:t>
      </w:r>
    </w:p>
    <w:p w14:paraId="512E3CF5">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color w:val="auto"/>
          <w:sz w:val="24"/>
          <w:szCs w:val="24"/>
          <w:highlight w:val="none"/>
        </w:rPr>
        <w:t>一、合同条款</w:t>
      </w:r>
    </w:p>
    <w:p w14:paraId="5DD8C98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合同条款前附表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58ABC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B00942A">
            <w:pPr>
              <w:pStyle w:val="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8558" w:type="dxa"/>
            <w:noWrap w:val="0"/>
            <w:vAlign w:val="center"/>
          </w:tcPr>
          <w:p w14:paraId="0BD073F8">
            <w:pPr>
              <w:pStyle w:val="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内容</w:t>
            </w:r>
          </w:p>
        </w:tc>
      </w:tr>
      <w:tr w14:paraId="5FB12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4" w:hRule="atLeast"/>
          <w:jc w:val="center"/>
        </w:trPr>
        <w:tc>
          <w:tcPr>
            <w:tcW w:w="728" w:type="dxa"/>
            <w:noWrap w:val="0"/>
            <w:vAlign w:val="center"/>
          </w:tcPr>
          <w:p w14:paraId="046ED671">
            <w:pPr>
              <w:pStyle w:val="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8558" w:type="dxa"/>
            <w:noWrap w:val="0"/>
            <w:vAlign w:val="center"/>
          </w:tcPr>
          <w:p w14:paraId="6FE285A3">
            <w:pPr>
              <w:pStyle w:val="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合同名称：</w:t>
            </w:r>
          </w:p>
          <w:p w14:paraId="42F5A9BA">
            <w:pPr>
              <w:pStyle w:val="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合同编号：</w:t>
            </w:r>
          </w:p>
        </w:tc>
      </w:tr>
      <w:tr w14:paraId="41E5D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7AEAE9D5">
            <w:pPr>
              <w:pStyle w:val="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8558" w:type="dxa"/>
            <w:noWrap w:val="0"/>
            <w:vAlign w:val="center"/>
          </w:tcPr>
          <w:p w14:paraId="5DC61DA8">
            <w:pPr>
              <w:pStyle w:val="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甲方名称：</w:t>
            </w:r>
          </w:p>
        </w:tc>
      </w:tr>
      <w:tr w14:paraId="3D5C4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8" w:type="dxa"/>
            <w:vMerge w:val="continue"/>
            <w:noWrap w:val="0"/>
            <w:vAlign w:val="center"/>
          </w:tcPr>
          <w:p w14:paraId="2E01A876">
            <w:pPr>
              <w:pStyle w:val="3"/>
              <w:jc w:val="center"/>
              <w:rPr>
                <w:rFonts w:hint="eastAsia" w:ascii="仿宋" w:hAnsi="仿宋" w:eastAsia="仿宋" w:cs="仿宋"/>
                <w:color w:val="auto"/>
                <w:sz w:val="24"/>
                <w:szCs w:val="24"/>
                <w:highlight w:val="none"/>
              </w:rPr>
            </w:pPr>
          </w:p>
        </w:tc>
        <w:tc>
          <w:tcPr>
            <w:tcW w:w="8558" w:type="dxa"/>
            <w:noWrap w:val="0"/>
            <w:vAlign w:val="center"/>
          </w:tcPr>
          <w:p w14:paraId="64784CC9">
            <w:pPr>
              <w:pStyle w:val="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甲方地址：</w:t>
            </w:r>
          </w:p>
        </w:tc>
      </w:tr>
      <w:tr w14:paraId="282D3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263E2A8E">
            <w:pPr>
              <w:pStyle w:val="3"/>
              <w:jc w:val="center"/>
              <w:rPr>
                <w:rFonts w:hint="eastAsia" w:ascii="仿宋" w:hAnsi="仿宋" w:eastAsia="仿宋" w:cs="仿宋"/>
                <w:color w:val="auto"/>
                <w:sz w:val="24"/>
                <w:szCs w:val="24"/>
                <w:highlight w:val="none"/>
              </w:rPr>
            </w:pPr>
          </w:p>
        </w:tc>
        <w:tc>
          <w:tcPr>
            <w:tcW w:w="8558" w:type="dxa"/>
            <w:noWrap w:val="0"/>
            <w:vAlign w:val="center"/>
          </w:tcPr>
          <w:p w14:paraId="07AABB21">
            <w:pPr>
              <w:pStyle w:val="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甲方联系人：　　　　电话：</w:t>
            </w:r>
          </w:p>
        </w:tc>
      </w:tr>
      <w:tr w14:paraId="5BE80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7AA767E9">
            <w:pPr>
              <w:pStyle w:val="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8558" w:type="dxa"/>
            <w:noWrap w:val="0"/>
            <w:vAlign w:val="center"/>
          </w:tcPr>
          <w:p w14:paraId="70BB0297">
            <w:pPr>
              <w:pStyle w:val="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乙方名称：</w:t>
            </w:r>
          </w:p>
        </w:tc>
      </w:tr>
      <w:tr w14:paraId="45DF2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32974FC4">
            <w:pPr>
              <w:pStyle w:val="3"/>
              <w:jc w:val="center"/>
              <w:rPr>
                <w:rFonts w:hint="eastAsia" w:ascii="仿宋" w:hAnsi="仿宋" w:eastAsia="仿宋" w:cs="仿宋"/>
                <w:color w:val="auto"/>
                <w:sz w:val="24"/>
                <w:szCs w:val="24"/>
                <w:highlight w:val="none"/>
              </w:rPr>
            </w:pPr>
          </w:p>
        </w:tc>
        <w:tc>
          <w:tcPr>
            <w:tcW w:w="8558" w:type="dxa"/>
            <w:noWrap w:val="0"/>
            <w:vAlign w:val="center"/>
          </w:tcPr>
          <w:p w14:paraId="721745D6">
            <w:pPr>
              <w:pStyle w:val="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乙方地址：</w:t>
            </w:r>
          </w:p>
        </w:tc>
      </w:tr>
      <w:tr w14:paraId="60B14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5FA4BD0A">
            <w:pPr>
              <w:pStyle w:val="3"/>
              <w:jc w:val="center"/>
              <w:rPr>
                <w:rFonts w:hint="eastAsia" w:ascii="仿宋" w:hAnsi="仿宋" w:eastAsia="仿宋" w:cs="仿宋"/>
                <w:color w:val="auto"/>
                <w:sz w:val="24"/>
                <w:szCs w:val="24"/>
                <w:highlight w:val="none"/>
              </w:rPr>
            </w:pPr>
          </w:p>
        </w:tc>
        <w:tc>
          <w:tcPr>
            <w:tcW w:w="8558" w:type="dxa"/>
            <w:noWrap w:val="0"/>
            <w:vAlign w:val="center"/>
          </w:tcPr>
          <w:p w14:paraId="758F518F">
            <w:pPr>
              <w:pStyle w:val="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乙方联系人：　　　　电话：</w:t>
            </w:r>
          </w:p>
        </w:tc>
      </w:tr>
      <w:tr w14:paraId="332D8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158C1D8C">
            <w:pPr>
              <w:pStyle w:val="3"/>
              <w:jc w:val="center"/>
              <w:rPr>
                <w:rFonts w:hint="eastAsia" w:ascii="仿宋" w:hAnsi="仿宋" w:eastAsia="仿宋" w:cs="仿宋"/>
                <w:color w:val="auto"/>
                <w:sz w:val="24"/>
                <w:szCs w:val="24"/>
                <w:highlight w:val="none"/>
              </w:rPr>
            </w:pPr>
          </w:p>
        </w:tc>
        <w:tc>
          <w:tcPr>
            <w:tcW w:w="8558" w:type="dxa"/>
            <w:noWrap w:val="0"/>
            <w:vAlign w:val="center"/>
          </w:tcPr>
          <w:p w14:paraId="4AC8FB7D">
            <w:pPr>
              <w:pStyle w:val="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乙方开户银行名称：</w:t>
            </w:r>
          </w:p>
          <w:p w14:paraId="0CD2C0A3">
            <w:pPr>
              <w:pStyle w:val="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p>
        </w:tc>
      </w:tr>
      <w:tr w14:paraId="0A488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0" w:hRule="atLeast"/>
          <w:jc w:val="center"/>
        </w:trPr>
        <w:tc>
          <w:tcPr>
            <w:tcW w:w="728" w:type="dxa"/>
            <w:vMerge w:val="restart"/>
            <w:noWrap w:val="0"/>
            <w:vAlign w:val="center"/>
          </w:tcPr>
          <w:p w14:paraId="1266F948">
            <w:pPr>
              <w:pStyle w:val="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8558" w:type="dxa"/>
            <w:noWrap w:val="0"/>
            <w:vAlign w:val="center"/>
          </w:tcPr>
          <w:p w14:paraId="0F127F16">
            <w:pPr>
              <w:pStyle w:val="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见证方名称：陕西正信招标有限公司</w:t>
            </w:r>
          </w:p>
        </w:tc>
      </w:tr>
      <w:tr w14:paraId="33B62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0" w:hRule="atLeast"/>
          <w:jc w:val="center"/>
        </w:trPr>
        <w:tc>
          <w:tcPr>
            <w:tcW w:w="728" w:type="dxa"/>
            <w:vMerge w:val="continue"/>
            <w:noWrap w:val="0"/>
            <w:vAlign w:val="center"/>
          </w:tcPr>
          <w:p w14:paraId="7B306BAF">
            <w:pPr>
              <w:pStyle w:val="3"/>
              <w:jc w:val="center"/>
              <w:rPr>
                <w:rFonts w:hint="eastAsia" w:ascii="仿宋" w:hAnsi="仿宋" w:eastAsia="仿宋" w:cs="仿宋"/>
                <w:color w:val="auto"/>
                <w:sz w:val="24"/>
                <w:szCs w:val="24"/>
                <w:highlight w:val="none"/>
              </w:rPr>
            </w:pPr>
          </w:p>
        </w:tc>
        <w:tc>
          <w:tcPr>
            <w:tcW w:w="8558" w:type="dxa"/>
            <w:noWrap w:val="0"/>
            <w:vAlign w:val="center"/>
          </w:tcPr>
          <w:p w14:paraId="22159F6A">
            <w:pPr>
              <w:pStyle w:val="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单位地址：西安市莲湖区环城西路南段元晟合中心6层</w:t>
            </w:r>
          </w:p>
        </w:tc>
      </w:tr>
      <w:tr w14:paraId="7F015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728" w:type="dxa"/>
            <w:vMerge w:val="continue"/>
            <w:noWrap w:val="0"/>
            <w:vAlign w:val="center"/>
          </w:tcPr>
          <w:p w14:paraId="2C034F0B">
            <w:pPr>
              <w:pStyle w:val="3"/>
              <w:jc w:val="center"/>
              <w:rPr>
                <w:rFonts w:hint="eastAsia" w:ascii="仿宋" w:hAnsi="仿宋" w:eastAsia="仿宋" w:cs="仿宋"/>
                <w:color w:val="auto"/>
                <w:sz w:val="24"/>
                <w:szCs w:val="24"/>
                <w:highlight w:val="none"/>
              </w:rPr>
            </w:pPr>
          </w:p>
        </w:tc>
        <w:tc>
          <w:tcPr>
            <w:tcW w:w="8558" w:type="dxa"/>
            <w:noWrap w:val="0"/>
            <w:vAlign w:val="center"/>
          </w:tcPr>
          <w:p w14:paraId="08204693">
            <w:pPr>
              <w:pStyle w:val="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联系人：行政部       电话：029-88</w:t>
            </w:r>
            <w:r>
              <w:rPr>
                <w:rFonts w:hint="eastAsia" w:ascii="仿宋" w:hAnsi="仿宋" w:eastAsia="仿宋" w:cs="仿宋"/>
                <w:color w:val="auto"/>
                <w:sz w:val="24"/>
                <w:szCs w:val="24"/>
                <w:highlight w:val="none"/>
                <w:lang w:val="en-US" w:eastAsia="zh-CN"/>
              </w:rPr>
              <w:t>110800</w:t>
            </w:r>
            <w:r>
              <w:rPr>
                <w:rFonts w:hint="eastAsia" w:ascii="仿宋" w:hAnsi="仿宋" w:eastAsia="仿宋" w:cs="仿宋"/>
                <w:color w:val="auto"/>
                <w:sz w:val="24"/>
                <w:szCs w:val="24"/>
                <w:highlight w:val="none"/>
              </w:rPr>
              <w:t>-8008</w:t>
            </w:r>
          </w:p>
        </w:tc>
      </w:tr>
      <w:tr w14:paraId="33946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485D6F4">
            <w:pPr>
              <w:pStyle w:val="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8558" w:type="dxa"/>
            <w:noWrap w:val="0"/>
            <w:vAlign w:val="center"/>
          </w:tcPr>
          <w:p w14:paraId="4900EBD5">
            <w:pPr>
              <w:pStyle w:val="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合同金额：</w:t>
            </w:r>
          </w:p>
        </w:tc>
      </w:tr>
      <w:tr w14:paraId="29CFF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793ED80">
            <w:pPr>
              <w:pStyle w:val="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8558" w:type="dxa"/>
            <w:noWrap w:val="0"/>
            <w:vAlign w:val="center"/>
          </w:tcPr>
          <w:p w14:paraId="4156AFDA">
            <w:pPr>
              <w:pStyle w:val="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包装要求：落实《关于印发〈商品包装政府采购需求标准（试行）〉〈快递包装政府采购需求标准（试行）〉》（财办库〔2020〕123号）</w:t>
            </w:r>
          </w:p>
        </w:tc>
      </w:tr>
      <w:tr w14:paraId="1E9D1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06EEBE5">
            <w:pPr>
              <w:pStyle w:val="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8558" w:type="dxa"/>
            <w:noWrap w:val="0"/>
            <w:vAlign w:val="center"/>
          </w:tcPr>
          <w:p w14:paraId="45D57035">
            <w:pPr>
              <w:pStyle w:val="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交货时间及地点：</w:t>
            </w:r>
          </w:p>
        </w:tc>
      </w:tr>
      <w:tr w14:paraId="6752A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8" w:type="dxa"/>
            <w:noWrap w:val="0"/>
            <w:vAlign w:val="center"/>
          </w:tcPr>
          <w:p w14:paraId="7886F4EA">
            <w:pPr>
              <w:pStyle w:val="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8558" w:type="dxa"/>
            <w:noWrap w:val="0"/>
            <w:vAlign w:val="center"/>
          </w:tcPr>
          <w:p w14:paraId="13BAF918">
            <w:pPr>
              <w:pStyle w:val="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质量保证期：</w:t>
            </w:r>
          </w:p>
        </w:tc>
      </w:tr>
      <w:tr w14:paraId="3B569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DF6B5F0">
            <w:pPr>
              <w:pStyle w:val="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p>
        </w:tc>
        <w:tc>
          <w:tcPr>
            <w:tcW w:w="8558" w:type="dxa"/>
            <w:noWrap w:val="0"/>
            <w:vAlign w:val="center"/>
          </w:tcPr>
          <w:p w14:paraId="612C2DA9">
            <w:pPr>
              <w:pStyle w:val="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验收方式及标准：</w:t>
            </w:r>
          </w:p>
        </w:tc>
      </w:tr>
      <w:tr w14:paraId="6B186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9D5809F">
            <w:pPr>
              <w:pStyle w:val="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c>
          <w:tcPr>
            <w:tcW w:w="8558" w:type="dxa"/>
            <w:noWrap w:val="0"/>
            <w:vAlign w:val="center"/>
          </w:tcPr>
          <w:p w14:paraId="32D4B17F">
            <w:pPr>
              <w:pStyle w:val="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付款方式：</w:t>
            </w:r>
          </w:p>
        </w:tc>
      </w:tr>
      <w:tr w14:paraId="2C679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B668982">
            <w:pPr>
              <w:pStyle w:val="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8558" w:type="dxa"/>
            <w:noWrap w:val="0"/>
            <w:vAlign w:val="center"/>
          </w:tcPr>
          <w:p w14:paraId="572A6E32">
            <w:pPr>
              <w:pStyle w:val="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履约保证金及其返还：</w:t>
            </w:r>
          </w:p>
        </w:tc>
      </w:tr>
      <w:tr w14:paraId="512C8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7C78038E">
            <w:pPr>
              <w:pStyle w:val="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w:t>
            </w:r>
          </w:p>
        </w:tc>
        <w:tc>
          <w:tcPr>
            <w:tcW w:w="8558" w:type="dxa"/>
            <w:noWrap w:val="0"/>
            <w:vAlign w:val="center"/>
          </w:tcPr>
          <w:p w14:paraId="3468012A">
            <w:pPr>
              <w:pStyle w:val="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□违约金约定：</w:t>
            </w:r>
          </w:p>
          <w:p w14:paraId="0255E1A7">
            <w:pPr>
              <w:pStyle w:val="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□损失赔偿约定：</w:t>
            </w:r>
          </w:p>
        </w:tc>
      </w:tr>
      <w:tr w14:paraId="14191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B28701D">
            <w:pPr>
              <w:pStyle w:val="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w:t>
            </w:r>
          </w:p>
        </w:tc>
        <w:tc>
          <w:tcPr>
            <w:tcW w:w="8558" w:type="dxa"/>
            <w:noWrap w:val="0"/>
            <w:vAlign w:val="center"/>
          </w:tcPr>
          <w:p w14:paraId="083EFF66">
            <w:pPr>
              <w:pStyle w:val="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误期赔偿费约定：如果乙方没有按照合同规定的时间交货和提供服务，甲方有权从货款或履约保证金中扣除误期赔偿费而不影响合同项下的其他补救方法。赔偿费按每日加收合同金额的0.5%</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各单位可根据实际情况重新设定</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计收，直至交货或提供服务为止。但误期赔偿费的最高限额不超过合同价的15%</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各单位可根据实际情况重新设定</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tc>
      </w:tr>
      <w:tr w14:paraId="230AE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8CD59B3">
            <w:pPr>
              <w:pStyle w:val="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w:t>
            </w:r>
          </w:p>
        </w:tc>
        <w:tc>
          <w:tcPr>
            <w:tcW w:w="8558" w:type="dxa"/>
            <w:noWrap w:val="0"/>
            <w:vAlign w:val="center"/>
          </w:tcPr>
          <w:p w14:paraId="1E57BD55">
            <w:pPr>
              <w:pStyle w:val="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合同履行期限：自合同生效之日起至合同全部权利义务履行完毕之日止。</w:t>
            </w:r>
          </w:p>
        </w:tc>
      </w:tr>
      <w:tr w14:paraId="4D5DF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84" w:hRule="atLeast"/>
          <w:jc w:val="center"/>
        </w:trPr>
        <w:tc>
          <w:tcPr>
            <w:tcW w:w="728" w:type="dxa"/>
            <w:noWrap w:val="0"/>
            <w:vAlign w:val="center"/>
          </w:tcPr>
          <w:p w14:paraId="351A1133">
            <w:pPr>
              <w:pStyle w:val="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8558" w:type="dxa"/>
            <w:noWrap w:val="0"/>
            <w:vAlign w:val="center"/>
          </w:tcPr>
          <w:p w14:paraId="54195B03">
            <w:pPr>
              <w:pStyle w:val="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合同纠纷的解决方式：</w:t>
            </w:r>
          </w:p>
          <w:p w14:paraId="145EE16B">
            <w:pPr>
              <w:pStyle w:val="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首先通过双方协商解决，协商解决不成，则通过以下途径之一解决纠纷</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请在方框内画“√”选择</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p w14:paraId="23189A6E">
            <w:pPr>
              <w:pStyle w:val="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□提请______仲裁委员会按照仲裁程序在______</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仲裁地</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仲裁</w:t>
            </w:r>
          </w:p>
          <w:p w14:paraId="43F45499">
            <w:pPr>
              <w:pStyle w:val="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□向甲方所在地人民法院提起诉讼</w:t>
            </w:r>
          </w:p>
        </w:tc>
      </w:tr>
    </w:tbl>
    <w:p w14:paraId="63B0DE17">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1.定义</w:t>
      </w:r>
    </w:p>
    <w:p w14:paraId="02EEA8DB">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本合同下列术语应解释为：</w:t>
      </w:r>
    </w:p>
    <w:p w14:paraId="409BC8F5">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　“甲方”是指采购人。</w:t>
      </w:r>
    </w:p>
    <w:p w14:paraId="587F9DC8">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　“乙方”是指中标人。</w:t>
      </w:r>
    </w:p>
    <w:p w14:paraId="449BEED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  “见证方”是指采购代理机构。</w:t>
      </w:r>
    </w:p>
    <w:p w14:paraId="6115EA0A">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　“合同”系指甲乙双方签署的、合同中载明的甲乙双方所达成的协议，包括所有的附件、附录和上述文件所提到的构成合同的所有文件。</w:t>
      </w:r>
    </w:p>
    <w:p w14:paraId="6D6D8AEB">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　“货物”是指根据本合同规定，乙方按照招标</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采购</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、投标文件，向甲方提供符合要求的全部产品，包括一切设备、机械、仪器仪表、备品备件、工具及与信息处理和交流有关的硬件、软件以及所有有关的文件等。</w:t>
      </w:r>
    </w:p>
    <w:p w14:paraId="3BE3510E">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　“服务”是指根据本合同规定，乙方承担与货物有关的相关服务，包括但不限于运输、保险、安装、调试、技术支持、质量保障、售后服务、培训和合同中规定乙方应承担的其他义务。</w:t>
      </w:r>
    </w:p>
    <w:p w14:paraId="5D895903">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　除非特别指出，“天”均为自然天。</w:t>
      </w:r>
    </w:p>
    <w:p w14:paraId="237DE545">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　合同标的标准</w:t>
      </w:r>
    </w:p>
    <w:p w14:paraId="7FB36C89">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　乙方为甲方交付的货物及服务应符合招标文件所述的内容，如果没有提及适用标准，则应符合相应的国家标准。这些标准必须是有关机构发布的最新版本的标准。</w:t>
      </w:r>
    </w:p>
    <w:p w14:paraId="58F63E1B">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　除非技术要求中另有规定，计量单位均采用中华人民共和国法定计量单位。</w:t>
      </w:r>
    </w:p>
    <w:p w14:paraId="7C6E4173">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　货物还应符合国家有关安全、环保、卫生的相关规定。</w:t>
      </w:r>
    </w:p>
    <w:p w14:paraId="4B00DB9D">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　质量保证</w:t>
      </w:r>
    </w:p>
    <w:p w14:paraId="3108F696">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　乙方应保证所供货物是全新的、未使用过的，并完全符合或高于合同要求的质量、规格和技术性能的要求。</w:t>
      </w:r>
    </w:p>
    <w:p w14:paraId="1FCD1BDD">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　乙方应保证其货物在正确安装、正常使用和保养条件下，在其使用寿命期内具有满意的性能，或者没有因乙方的行为或疏忽而产生的缺陷。在货物最终交付验收后不少于合同规定或乙方承诺</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两者以较长的为准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的质量保证期内，本保证保持有效。</w:t>
      </w:r>
    </w:p>
    <w:p w14:paraId="1DE2EE2F">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50048BE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3.4在质量保证期内所发现的缺陷，甲方应尽快以书面形式通知乙方。</w:t>
      </w:r>
    </w:p>
    <w:p w14:paraId="34629B93">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3.5　乙方收到通知后应在本合同规定的响应时间内以合理的速度</w:t>
      </w:r>
      <w:r>
        <w:rPr>
          <w:rFonts w:hint="eastAsia" w:ascii="仿宋" w:hAnsi="仿宋" w:eastAsia="仿宋" w:cs="仿宋"/>
          <w:color w:val="auto"/>
          <w:sz w:val="24"/>
          <w:szCs w:val="24"/>
          <w:highlight w:val="none"/>
          <w:lang w:val="en-US" w:eastAsia="zh-CN"/>
        </w:rPr>
        <w:t>负责</w:t>
      </w:r>
      <w:r>
        <w:rPr>
          <w:rFonts w:hint="eastAsia" w:ascii="仿宋" w:hAnsi="仿宋" w:eastAsia="仿宋" w:cs="仿宋"/>
          <w:color w:val="auto"/>
          <w:sz w:val="24"/>
          <w:szCs w:val="24"/>
          <w:highlight w:val="none"/>
        </w:rPr>
        <w:t>维修或更换有缺陷的货物或部件。</w:t>
      </w:r>
    </w:p>
    <w:p w14:paraId="356C7E8E">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3.6　在质量保证期内，如果货物的质量或规格与合同不符，或证实货物是有缺陷的，包括潜在的缺陷或使用不符合要求的材料等，甲方可以根据本合同第10.1条规定以书面形式向乙方提出补救措施或索赔。</w:t>
      </w:r>
    </w:p>
    <w:p w14:paraId="4B5C8B0B">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3.7　乙方在约定的时间内未能弥补缺陷，甲方可采取必要的补救措施，但其风险和费用将由乙方承担，甲方根据合同规定对乙方行使的其他权利不受影响。</w:t>
      </w:r>
    </w:p>
    <w:p w14:paraId="3E35D0CE">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3.8　本合同的质量保证期见合同条款前附表。</w:t>
      </w:r>
    </w:p>
    <w:p w14:paraId="6C27BBAA">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4.包装要求</w:t>
      </w:r>
    </w:p>
    <w:p w14:paraId="17CCF4B4">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4.1　除合同另有规定外，乙方提供的全部货物均应按标准保护措施进行包装，这类包装应适应于远距离运输、防潮、防震、防锈和防野蛮装卸，以确保货物安全无损运抵指定现场。</w:t>
      </w:r>
    </w:p>
    <w:p w14:paraId="0C54F431">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4.2　乙方应承担由于其包装或防护措施不当而引起的货物损坏和丢失的任何损失责任和费用。</w:t>
      </w:r>
    </w:p>
    <w:p w14:paraId="07A7AA58">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4.3　每一个包装箱内应附一份详细装箱单和质量证书。</w:t>
      </w:r>
    </w:p>
    <w:p w14:paraId="032EFAC8">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5.知识产权</w:t>
      </w:r>
    </w:p>
    <w:p w14:paraId="02EFC148">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5.1　乙方应保证所提供的货物及服务免受第三方提出侵犯其知识产权</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专利权、商标权、版权等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的起诉。如果甲方在使用乙方货物或货物的任何一部分过程中，第三方提出货物侵犯其专利权、工业设计权、使用权等知识产权，乙方应当修正以避免侵权。</w:t>
      </w:r>
    </w:p>
    <w:p w14:paraId="1D8EF61D">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5.2　如果甲方在使用乙方货物或货物的任何一部分过程中，第三方指控侵犯其专利权、工业设计权、使用权等知识产权，乙方将自费为甲方、各采购人答辩，并支付法院最终判决的甲方应支付第三方的一切费用。</w:t>
      </w:r>
    </w:p>
    <w:p w14:paraId="49A94C1D">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5.3　有关本项目的所有设计、施工文件的著作权属于甲方。乙方有保护甲方著作权的义务，并对在设计过程中所</w:t>
      </w:r>
      <w:r>
        <w:rPr>
          <w:rFonts w:hint="eastAsia" w:ascii="仿宋" w:hAnsi="仿宋" w:eastAsia="仿宋" w:cs="仿宋"/>
          <w:color w:val="auto"/>
          <w:sz w:val="24"/>
          <w:szCs w:val="24"/>
          <w:highlight w:val="none"/>
          <w:lang w:eastAsia="zh-CN"/>
        </w:rPr>
        <w:t>接触</w:t>
      </w:r>
      <w:r>
        <w:rPr>
          <w:rFonts w:hint="eastAsia" w:ascii="仿宋" w:hAnsi="仿宋" w:eastAsia="仿宋" w:cs="仿宋"/>
          <w:color w:val="auto"/>
          <w:sz w:val="24"/>
          <w:szCs w:val="24"/>
          <w:highlight w:val="none"/>
        </w:rPr>
        <w:t>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14:paraId="321FAC96">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6.权利瑕疵担保</w:t>
      </w:r>
    </w:p>
    <w:p w14:paraId="1A45F6EF">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　乙方保证对其出售的货物享有合法的权利。</w:t>
      </w:r>
    </w:p>
    <w:p w14:paraId="7654F643">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6.2　乙方保证在其出售的货物上不存在任何未曾向甲方透露的担保物权，如抵押权、质押权、留置权等。</w:t>
      </w:r>
    </w:p>
    <w:p w14:paraId="2412FF64">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6.3　如甲方使用该货物构成上述侵权的，则由乙方承担全部责任。</w:t>
      </w:r>
    </w:p>
    <w:p w14:paraId="44C465C2">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7.保密义务</w:t>
      </w:r>
    </w:p>
    <w:p w14:paraId="6146AAB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7.1　甲乙双方在采购和履行合同过程中所获悉的对方属于保密的内容，双方均有保密义务。</w:t>
      </w:r>
    </w:p>
    <w:p w14:paraId="24F0A1F5">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8.履约保证金</w:t>
      </w:r>
    </w:p>
    <w:p w14:paraId="1CE4DF86">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8.1　乙方应以银行转账等非现金形式向甲方提供。乙方以银行、保险公司出具保函形式提交履约保证金的，甲方不得拒收。</w:t>
      </w:r>
    </w:p>
    <w:p w14:paraId="4ED369BB">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8.2　履约保证金具体金额及返还要求见合同条款前附表。</w:t>
      </w:r>
    </w:p>
    <w:p w14:paraId="6C46D3C5">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8.3　如乙方未能履行合同规定的义务，甲方有权按照本合同的约定从履约保证金中进行相应扣除。乙方应在甲方扣除履约保证金后15天内，及时补充扣除部分金额。</w:t>
      </w:r>
    </w:p>
    <w:p w14:paraId="004ABA5B">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8.4　乙方不履行合同，或者履行合同义务不符合约定使得合同目的不能实现，履约保证金不予退还，给甲方造成的损失超过履约保证金数额的，还应当对超过部分予以赔偿。</w:t>
      </w:r>
    </w:p>
    <w:p w14:paraId="5790ED01">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9.交货与验收</w:t>
      </w:r>
    </w:p>
    <w:p w14:paraId="311A86EA">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9.1　交货地点：合同条款前附表指定地点。</w:t>
      </w:r>
    </w:p>
    <w:p w14:paraId="5A8D5C19">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9.2　交货时间：合同条款前附表指定时间。</w:t>
      </w:r>
    </w:p>
    <w:p w14:paraId="43731307">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9.3　甲方在收到乙方交付的货物后应当及时组织验收。</w:t>
      </w:r>
    </w:p>
    <w:p w14:paraId="63777F83">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9.4　货物的包装：符合出厂规范及符合《商品包装政府采购需求标准（试行）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快递包装政府采购需求标准（试行）》，包装完整无破损，防雨、防潮等各种符号标识清楚，进口设备应具有原产国标识且标识清楚。货物的表面瑕疵，甲方应在验收时当面提出；对质量问题有异议的应在安装调试时进行记录。</w:t>
      </w:r>
    </w:p>
    <w:p w14:paraId="46B117FD">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9.5　在验收过程中发现数量不足或有质量、技术等问题，乙方应按照合同要求采取补足、更换或退货等处理措施，并承担由此发生的一切费用和损失。</w:t>
      </w:r>
    </w:p>
    <w:p w14:paraId="353FE268">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9.6　甲方对货物进行检查验收合格后，应当及时履行验收手续。</w:t>
      </w:r>
    </w:p>
    <w:p w14:paraId="512E7ACF">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9.7　大型或者复杂的货物采购项目，甲方可以邀请国家认可的质量检测机构参加验收工作，并由其出具验收报告。</w:t>
      </w:r>
    </w:p>
    <w:p w14:paraId="5B82566F">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9.8  在履约验收环节，乙方须按照《商品包装政府采购需求标准（试行）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《快递包装政府采购需求标准（试行）》的环保要求出具检测报告。</w:t>
      </w:r>
    </w:p>
    <w:p w14:paraId="25AAA155">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10.违约责任</w:t>
      </w:r>
    </w:p>
    <w:p w14:paraId="3EFD7FDD">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10.1　质量缺陷的补救措施和索赔</w:t>
      </w:r>
    </w:p>
    <w:p w14:paraId="7A8E44FA">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rPr>
        <w:t>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14:paraId="5D7FC53B">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①乙方同意退货并将货款退还给甲方，由此发生的一切费用和损失由乙方承担。如甲方以适当的条件和方法购买与未履约标的相类似的货物，乙方应负担新购买类似货物所超出的费用。</w:t>
      </w:r>
    </w:p>
    <w:p w14:paraId="4C07A9A4">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②根据货物的质量状况以及甲方所遭受的损失，经过甲乙双方商定降低货物的价格。</w:t>
      </w:r>
    </w:p>
    <w:p w14:paraId="285D6A59">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③乙方应在接到甲方通知后7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6C073229">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（2）</w:t>
      </w:r>
      <w:r>
        <w:rPr>
          <w:rFonts w:hint="eastAsia" w:ascii="仿宋" w:hAnsi="仿宋" w:eastAsia="仿宋" w:cs="仿宋"/>
          <w:color w:val="auto"/>
          <w:sz w:val="24"/>
          <w:szCs w:val="24"/>
          <w:highlight w:val="none"/>
        </w:rPr>
        <w:t>如果在甲方发出索赔通知后10日内乙方未作答复，上述索赔应视为已被乙方接受。如果乙方未能在甲方发出索赔通知后10日内或甲方同意延长的期限内，按照上述规定的任何一种方法采取补救措施，甲方有权从应付货款中扣除索赔金额或者没收履约保证金，如不足以弥补甲方损失的，甲方有权进一步要求乙方赔偿。</w:t>
      </w:r>
    </w:p>
    <w:p w14:paraId="01DF0DB1">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10.2　迟延交货的违约责任</w:t>
      </w:r>
    </w:p>
    <w:p w14:paraId="36FB6E2D">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rPr>
        <w:t>乙方应按照本合同规定的时间、地点交货和提供服务。</w:t>
      </w:r>
    </w:p>
    <w:p w14:paraId="4A0038BD">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（2）</w:t>
      </w:r>
      <w:r>
        <w:rPr>
          <w:rFonts w:hint="eastAsia" w:ascii="仿宋" w:hAnsi="仿宋" w:eastAsia="仿宋" w:cs="仿宋"/>
          <w:color w:val="auto"/>
          <w:sz w:val="24"/>
          <w:szCs w:val="24"/>
          <w:highlight w:val="none"/>
        </w:rPr>
        <w:t>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3AEBB04B">
      <w:pPr>
        <w:pStyle w:val="3"/>
        <w:keepNext w:val="0"/>
        <w:keepLines w:val="0"/>
        <w:pageBreakBefore w:val="0"/>
        <w:widowControl w:val="0"/>
        <w:kinsoku/>
        <w:wordWrap/>
        <w:overflowPunct/>
        <w:topLinePunct w:val="0"/>
        <w:autoSpaceDE/>
        <w:autoSpaceDN/>
        <w:bidi w:val="0"/>
        <w:adjustRightInd/>
        <w:snapToGrid/>
        <w:spacing w:line="520" w:lineRule="exact"/>
        <w:ind w:firstLine="456"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lang w:eastAsia="zh-CN"/>
        </w:rPr>
        <w:t>（3）</w:t>
      </w:r>
      <w:r>
        <w:rPr>
          <w:rFonts w:hint="eastAsia" w:ascii="仿宋" w:hAnsi="仿宋" w:eastAsia="仿宋" w:cs="仿宋"/>
          <w:color w:val="auto"/>
          <w:spacing w:val="-6"/>
          <w:sz w:val="24"/>
          <w:szCs w:val="24"/>
          <w:highlight w:val="none"/>
        </w:rPr>
        <w:t>除甲乙双方另有约定外，如果乙方没有按照合同规定的时间交货和提供服务，甲方有权从货款、履约保证金中扣除或要求乙方另行支付误期赔偿费而不影响合同项下的其他补救方法。赔偿费每日按合同金额的0.5%</w:t>
      </w: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rPr>
        <w:t>各单位可根据实际情况重新设定</w:t>
      </w: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rPr>
        <w:t>计收，直至交货或提供服务为止。但误期赔偿费的最高限额不超过合同价的15%</w:t>
      </w: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rPr>
        <w:t>各单位可根据实际情况</w:t>
      </w:r>
      <w:r>
        <w:rPr>
          <w:rFonts w:hint="eastAsia" w:ascii="仿宋" w:hAnsi="仿宋" w:eastAsia="仿宋" w:cs="仿宋"/>
          <w:color w:val="auto"/>
          <w:sz w:val="24"/>
          <w:szCs w:val="24"/>
          <w:highlight w:val="none"/>
        </w:rPr>
        <w:t>重新设定</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p w14:paraId="761BDDF3">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（4）</w:t>
      </w:r>
      <w:r>
        <w:rPr>
          <w:rFonts w:hint="eastAsia" w:ascii="仿宋" w:hAnsi="仿宋" w:eastAsia="仿宋" w:cs="仿宋"/>
          <w:color w:val="auto"/>
          <w:sz w:val="24"/>
          <w:szCs w:val="24"/>
          <w:highlight w:val="none"/>
        </w:rPr>
        <w:t>如果乙方迟延交货超过30日，甲方有权终止全部或部分合同，并依其认为适当的条件和方法购买与未交货物类似的货物，乙方应负担购买类似货物所超出的费用。但是，乙方应继续执行合同中未终止的部分。</w:t>
      </w:r>
    </w:p>
    <w:p w14:paraId="708458CD">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10.3　未履行合同义务的违约责任</w:t>
      </w:r>
    </w:p>
    <w:p w14:paraId="278F763E">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rPr>
        <w:t>守约方有权终止全部或部分合同。</w:t>
      </w:r>
    </w:p>
    <w:p w14:paraId="6758DB83">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（2）</w:t>
      </w:r>
      <w:r>
        <w:rPr>
          <w:rFonts w:hint="eastAsia" w:ascii="仿宋" w:hAnsi="仿宋" w:eastAsia="仿宋" w:cs="仿宋"/>
          <w:color w:val="auto"/>
          <w:sz w:val="24"/>
          <w:szCs w:val="24"/>
          <w:highlight w:val="none"/>
        </w:rPr>
        <w:t>乙方违约的，甲方有权没收全额履约保证金。</w:t>
      </w:r>
    </w:p>
    <w:p w14:paraId="1292A2C3">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由违约一方支付违约金，违约金标准见合同条款前附表</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各单位可根据实际情况自行约定</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p w14:paraId="02165EE2">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（4）</w:t>
      </w:r>
      <w:r>
        <w:rPr>
          <w:rFonts w:hint="eastAsia" w:ascii="仿宋" w:hAnsi="仿宋" w:eastAsia="仿宋" w:cs="仿宋"/>
          <w:color w:val="auto"/>
          <w:sz w:val="24"/>
          <w:szCs w:val="24"/>
          <w:highlight w:val="none"/>
        </w:rPr>
        <w:t>违约金不足以弥补守约方实际损失、可预见或者应当预见的损失，由违约方全额予以赔偿。</w:t>
      </w:r>
    </w:p>
    <w:p w14:paraId="1B0E49C7">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11.不可抗力</w:t>
      </w:r>
    </w:p>
    <w:p w14:paraId="6A518BAD">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　如果合同双方因不可抗力而导致合同实施延误或合同无法实施，不应该承担误期赔偿或不能履行合同义务的责任。</w:t>
      </w:r>
    </w:p>
    <w:p w14:paraId="13E58155">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11.2　本条所述的“不可抗力”系指那些双方不可预见、不可避免、不可克服的客观情况，但不包括双方的违约或疏忽。这些事件包括但不限于：战争、严重火灾、洪水、台风、地震等。</w:t>
      </w:r>
    </w:p>
    <w:p w14:paraId="593AF333">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62D60A13">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12.合同纠纷的解决方式</w:t>
      </w:r>
    </w:p>
    <w:p w14:paraId="21020972">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12.1　合同各方应通过友好协商，解决在执行合同过程中所发生的或与合同有关的一切争端。如协商30日内</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根据实际情况设定</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不能解决，可以按合同规定的方式提起仲裁或诉讼。</w:t>
      </w:r>
    </w:p>
    <w:p w14:paraId="349C98B7">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　仲裁裁决应为最终裁决，对双方均具有约束力。</w:t>
      </w:r>
    </w:p>
    <w:p w14:paraId="34FEF1C3">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　仲裁费除仲裁机关另有裁决外应由败诉方负担。</w:t>
      </w:r>
    </w:p>
    <w:p w14:paraId="72F39EC1">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12.4　诉讼应由甲方住所地人民法院管辖。财产保全担保保险费、财产保全申请费、律师代理费、差旅费、评估费、鉴定费及诉讼费等与仲裁或诉讼活动相关费用应由败诉方负担。</w:t>
      </w:r>
    </w:p>
    <w:p w14:paraId="6DBDF0EF">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12.5　如仲裁或诉讼事项不影响合同其他部分的履行，则在仲裁或诉讼期间，除正在进行仲裁或诉讼的部分外，合同的其他部分应继续执行。</w:t>
      </w:r>
    </w:p>
    <w:p w14:paraId="7692613B">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13.合同修改或变更</w:t>
      </w:r>
    </w:p>
    <w:p w14:paraId="79B26D0D">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13.1　如无重大变故，</w:t>
      </w:r>
      <w:r>
        <w:rPr>
          <w:rFonts w:hint="eastAsia" w:ascii="仿宋" w:hAnsi="仿宋" w:eastAsia="仿宋" w:cs="仿宋"/>
          <w:color w:val="auto"/>
          <w:sz w:val="24"/>
          <w:szCs w:val="24"/>
          <w:highlight w:val="none"/>
          <w:lang w:eastAsia="zh-CN"/>
        </w:rPr>
        <w:t>甲乙</w:t>
      </w:r>
      <w:r>
        <w:rPr>
          <w:rFonts w:hint="eastAsia" w:ascii="仿宋" w:hAnsi="仿宋" w:eastAsia="仿宋" w:cs="仿宋"/>
          <w:color w:val="auto"/>
          <w:sz w:val="24"/>
          <w:szCs w:val="24"/>
          <w:highlight w:val="none"/>
        </w:rPr>
        <w:t>双方不得擅自变更合同。</w:t>
      </w:r>
    </w:p>
    <w:p w14:paraId="1E770D83">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13.2　如确需变更合同，甲乙双方应签署书面变更协议。变更协议为本合同不可分割的一部分。</w:t>
      </w:r>
    </w:p>
    <w:p w14:paraId="0E000CF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13.3　在不改变合同其他条款的前提下，甲方有权在合同价款10%的范围内追加与合同标的相同的货物或服务，并就此与乙方签订补充合同，乙方不得拒绝。</w:t>
      </w:r>
    </w:p>
    <w:p w14:paraId="17162C7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14.合同中止</w:t>
      </w:r>
    </w:p>
    <w:p w14:paraId="3F64133D">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14.1　合同在履行过程中，因采购计划调整，甲方可以要求中止履行，待计划确定后继续履行；合同履行过程中因</w:t>
      </w:r>
      <w:r>
        <w:rPr>
          <w:rFonts w:hint="eastAsia" w:ascii="仿宋" w:hAnsi="仿宋" w:eastAsia="仿宋" w:cs="仿宋"/>
          <w:color w:val="auto"/>
          <w:kern w:val="0"/>
          <w:sz w:val="24"/>
          <w:szCs w:val="24"/>
          <w:highlight w:val="none"/>
        </w:rPr>
        <w:t>投标人</w:t>
      </w:r>
      <w:r>
        <w:rPr>
          <w:rFonts w:hint="eastAsia" w:ascii="仿宋" w:hAnsi="仿宋" w:eastAsia="仿宋" w:cs="仿宋"/>
          <w:color w:val="auto"/>
          <w:sz w:val="24"/>
          <w:szCs w:val="24"/>
          <w:highlight w:val="none"/>
        </w:rPr>
        <w:t>就采购过程或结果提起投诉的，甲方认为有必要或财政部门责令中止的，应当中止合同的履行。</w:t>
      </w:r>
    </w:p>
    <w:p w14:paraId="10D22967">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15.终止合同</w:t>
      </w:r>
    </w:p>
    <w:p w14:paraId="1735DF6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15.1　若出现如下情形，在甲方对乙方违约行为而采取的任何补救措施不受影响的情况下，甲方可向乙方发出书面通知书，提出终止部分或全部合同：</w:t>
      </w:r>
    </w:p>
    <w:p w14:paraId="426D1C9E">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rPr>
        <w:t>如果乙方未能在合同规定的期限或甲方同意延长的期限内提供货物或服务；</w:t>
      </w:r>
    </w:p>
    <w:p w14:paraId="0220362B">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（2）</w:t>
      </w:r>
      <w:r>
        <w:rPr>
          <w:rFonts w:hint="eastAsia" w:ascii="仿宋" w:hAnsi="仿宋" w:eastAsia="仿宋" w:cs="仿宋"/>
          <w:color w:val="auto"/>
          <w:sz w:val="24"/>
          <w:szCs w:val="24"/>
          <w:highlight w:val="none"/>
        </w:rPr>
        <w:t>如果乙方未能履行合同规定的其他任何义务，出现两次服务达不到承诺标准情况，甲方有权终止合同；</w:t>
      </w:r>
    </w:p>
    <w:p w14:paraId="7A058D6E">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如果甲方认为乙方在本合同的竞争或实施中有腐败和欺诈行为。</w:t>
      </w:r>
    </w:p>
    <w:p w14:paraId="59E6504B">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15.2　如果甲方根据上述第15.1条的规定，终止了全部或部分合同，甲方可以适当的条件和方法购买乙方未能提供的货物或服务，乙方应对甲方购买类似货物或服务所超出的费用负责。同时，乙方应继续执行合同中未终止的部分。</w:t>
      </w:r>
    </w:p>
    <w:p w14:paraId="334225B6">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16.破产终止合同</w:t>
      </w:r>
    </w:p>
    <w:p w14:paraId="39537FA9">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　如果乙方破产或无清偿能力，甲方可在任何时候以书面形式通知乙方终止合同而不给乙方补偿。</w:t>
      </w:r>
    </w:p>
    <w:p w14:paraId="0953EDB3">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16.2　该终止行为将不损害或影响甲方已经采取或将要采取的任何行动或补救措施的权利。</w:t>
      </w:r>
    </w:p>
    <w:p w14:paraId="6BADFD5A">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17.其他终止合同情况</w:t>
      </w:r>
    </w:p>
    <w:p w14:paraId="445B5D40">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17.1　若合同继续履行将给甲方造成重大损失的，甲方可以终止合同而不给予乙方任何补偿。</w:t>
      </w:r>
    </w:p>
    <w:p w14:paraId="4F5438B5">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17.2　乙方在执行合同的过程中发生重大事故，对履行合同有直接影响的，甲方可以终止合同而不给予乙方任何补偿。</w:t>
      </w:r>
    </w:p>
    <w:p w14:paraId="21208599">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17.3　甲方因重大变故取消或部分取消原来的采购任务，导致合同全部或部分内容无须继续履行的，可以终止合同而不给予乙方任何补偿。</w:t>
      </w:r>
    </w:p>
    <w:p w14:paraId="57C40068">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18.合同转让和分包</w:t>
      </w:r>
    </w:p>
    <w:p w14:paraId="0BF12FA1">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18.1　乙方不得以任何形式将合同转包，或部分或全部转让其应履行的合同义务。</w:t>
      </w:r>
    </w:p>
    <w:p w14:paraId="731FEEAF">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18.2　除经甲方事先书面同意外，乙方不得以任何形式将合同分包。</w:t>
      </w:r>
    </w:p>
    <w:p w14:paraId="1C437565">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19.适用法律</w:t>
      </w:r>
    </w:p>
    <w:p w14:paraId="1D9E591E">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19.1　本合同适用中华人民共和国现行法律、行政法规和规章，如合同条款与法律、行政法规和规章不一致的，按照法律、行政法规和规章修改本合同。</w:t>
      </w:r>
    </w:p>
    <w:p w14:paraId="0CA0F200">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20.合同语言</w:t>
      </w:r>
    </w:p>
    <w:p w14:paraId="38445FAF">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20.1　本合同语言为中文。</w:t>
      </w:r>
    </w:p>
    <w:p w14:paraId="18116773">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　双方交换的与合同有关的信件和其他文件应用合同语言书写。</w:t>
      </w:r>
    </w:p>
    <w:p w14:paraId="11E0115A">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21.合同生效</w:t>
      </w:r>
    </w:p>
    <w:p w14:paraId="221141D1">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21.1　本合同应在双方签字盖章和甲方收到乙方提供的履约保证金后生效。</w:t>
      </w:r>
    </w:p>
    <w:p w14:paraId="02C03CAD">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22.合同效力</w:t>
      </w:r>
    </w:p>
    <w:p w14:paraId="7E456980">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22.1　除本合同和甲乙双方书面签署的补充协议外，其他任何形式的双方约定和往来函件均不具有法律效力，对本项目无约束力。</w:t>
      </w:r>
    </w:p>
    <w:p w14:paraId="29BF8F6E">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23.检查和审计</w:t>
      </w:r>
    </w:p>
    <w:p w14:paraId="41DE239B">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23.1在本合同的履行过程中，甲方有权对乙方的合同履约情况进行阶段性检查，并对乙方投标时提供的相关资料进行复核。</w:t>
      </w:r>
    </w:p>
    <w:p w14:paraId="6DC5BE1F">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23.2　在本合同的履行过程中，如果甲乙双方发生争议或者乙方没有按照合同约定履行义务，乙方应允许甲方检查乙方与实施本合同有关的账户和记录，并由甲方指定的审计人员对其进行审计。</w:t>
      </w:r>
    </w:p>
    <w:p w14:paraId="49483550">
      <w:pPr>
        <w:rPr>
          <w:rFonts w:hint="eastAsia"/>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WNlMDZjMzNkNmFhYmMxMTExNDdhYjA3MmM1OTBiOTUifQ=="/>
  </w:docVars>
  <w:rsids>
    <w:rsidRoot w:val="00557FB6"/>
    <w:rsid w:val="00142EA8"/>
    <w:rsid w:val="00263520"/>
    <w:rsid w:val="002B3606"/>
    <w:rsid w:val="002C2299"/>
    <w:rsid w:val="00364DE4"/>
    <w:rsid w:val="003905EB"/>
    <w:rsid w:val="003A5407"/>
    <w:rsid w:val="00482B40"/>
    <w:rsid w:val="004C08DC"/>
    <w:rsid w:val="004D47E3"/>
    <w:rsid w:val="00557FB6"/>
    <w:rsid w:val="00603266"/>
    <w:rsid w:val="0064619E"/>
    <w:rsid w:val="006E0C10"/>
    <w:rsid w:val="007D4B86"/>
    <w:rsid w:val="008332E1"/>
    <w:rsid w:val="00842182"/>
    <w:rsid w:val="00860A81"/>
    <w:rsid w:val="008903DD"/>
    <w:rsid w:val="008D330C"/>
    <w:rsid w:val="00903678"/>
    <w:rsid w:val="00911137"/>
    <w:rsid w:val="00936F22"/>
    <w:rsid w:val="009817F0"/>
    <w:rsid w:val="00986681"/>
    <w:rsid w:val="00A8471A"/>
    <w:rsid w:val="00AA4B3E"/>
    <w:rsid w:val="00AB501A"/>
    <w:rsid w:val="00B057A4"/>
    <w:rsid w:val="00B95912"/>
    <w:rsid w:val="00BB236D"/>
    <w:rsid w:val="00BF1F87"/>
    <w:rsid w:val="00E24583"/>
    <w:rsid w:val="00E2508E"/>
    <w:rsid w:val="00E4611D"/>
    <w:rsid w:val="00EB18EF"/>
    <w:rsid w:val="00F22D4C"/>
    <w:rsid w:val="00F5358B"/>
    <w:rsid w:val="00FA7C9B"/>
    <w:rsid w:val="00FB1DF6"/>
    <w:rsid w:val="081F4440"/>
    <w:rsid w:val="0A6D2DFC"/>
    <w:rsid w:val="0BB71511"/>
    <w:rsid w:val="17B60A4A"/>
    <w:rsid w:val="1BED6A38"/>
    <w:rsid w:val="1EB66348"/>
    <w:rsid w:val="1F080FF5"/>
    <w:rsid w:val="24BF75D6"/>
    <w:rsid w:val="27741719"/>
    <w:rsid w:val="2D902BB8"/>
    <w:rsid w:val="30002781"/>
    <w:rsid w:val="389E52D4"/>
    <w:rsid w:val="3A8E12EF"/>
    <w:rsid w:val="40DC0B82"/>
    <w:rsid w:val="43AF03B2"/>
    <w:rsid w:val="44CA47E8"/>
    <w:rsid w:val="480E5284"/>
    <w:rsid w:val="517B4897"/>
    <w:rsid w:val="528125D9"/>
    <w:rsid w:val="538400C8"/>
    <w:rsid w:val="53A90B96"/>
    <w:rsid w:val="56113377"/>
    <w:rsid w:val="5D3477C3"/>
    <w:rsid w:val="5FC4468B"/>
    <w:rsid w:val="624B1296"/>
    <w:rsid w:val="69BB6FFA"/>
    <w:rsid w:val="72DA4C29"/>
    <w:rsid w:val="73F1491F"/>
    <w:rsid w:val="78201ABD"/>
    <w:rsid w:val="78E356DE"/>
    <w:rsid w:val="79F4156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99"/>
    <w:rPr>
      <w:rFonts w:ascii="宋体" w:hAnsi="Courier New"/>
      <w:szCs w:val="21"/>
    </w:rPr>
  </w:style>
  <w:style w:type="paragraph" w:styleId="4">
    <w:name w:val="Body Text Indent 2"/>
    <w:basedOn w:val="1"/>
    <w:qFormat/>
    <w:uiPriority w:val="0"/>
    <w:pPr>
      <w:ind w:left="555"/>
    </w:pPr>
    <w:rPr>
      <w:sz w:val="28"/>
      <w:szCs w:val="20"/>
    </w:r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脚 Char"/>
    <w:basedOn w:val="9"/>
    <w:link w:val="5"/>
    <w:qFormat/>
    <w:uiPriority w:val="0"/>
    <w:rPr>
      <w:kern w:val="2"/>
      <w:sz w:val="18"/>
      <w:szCs w:val="18"/>
    </w:rPr>
  </w:style>
  <w:style w:type="character" w:customStyle="1" w:styleId="11">
    <w:name w:val="页眉 Char"/>
    <w:basedOn w:val="9"/>
    <w:link w:val="6"/>
    <w:uiPriority w:val="0"/>
    <w:rPr>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14</Pages>
  <Words>1983</Words>
  <Characters>2010</Characters>
  <Lines>16</Lines>
  <Paragraphs>4</Paragraphs>
  <TotalTime>0</TotalTime>
  <ScaleCrop>false</ScaleCrop>
  <LinksUpToDate>false</LinksUpToDate>
  <CharactersWithSpaces>2325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2007-04-09T01:20:00Z</dcterms:created>
  <dc:creator>Billgates</dc:creator>
  <cp:lastModifiedBy>李雨</cp:lastModifiedBy>
  <cp:lastPrinted>2004-08-17T04:14:00Z</cp:lastPrinted>
  <dcterms:modified xsi:type="dcterms:W3CDTF">2026-07-22T00:37:34Z</dcterms:modified>
  <dc:title>西北大学购货合同</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7A6A72AE94B440F2B166CBB4DBDD3F76_13</vt:lpwstr>
  </property>
  <property fmtid="{D5CDD505-2E9C-101B-9397-08002B2CF9AE}" pid="4" name="KSOTemplateDocerSaveRecord">
    <vt:lpwstr>eyJoZGlkIjoiNDI0YzZjNGVmMzA5N2Y4ZmZlZDQxNGEyYzcyYzQ3YzUiLCJ1c2VySWQiOiIyNTg5NTgwNjkifQ==</vt:lpwstr>
  </property>
</Properties>
</file>