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版本号：XACH2026-06820260819001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高新区2026年-2027年城市二次供水和农村集中供水信息采集服务项目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XACH2026-068</w:t>
      </w:r>
      <w:r>
        <w:br/>
      </w:r>
      <w:r>
        <w:br/>
      </w:r>
      <w:r>
        <w:br/>
      </w:r>
    </w:p>
    <w:p>
      <w:pPr>
        <w:pStyle w:val="null3"/>
        <w:jc w:val="center"/>
        <w:outlineLvl w:val="2"/>
      </w:pPr>
      <w:r>
        <w:rPr>
          <w:rFonts w:ascii="仿宋_GB2312" w:hAnsi="仿宋_GB2312" w:cs="仿宋_GB2312" w:eastAsia="仿宋_GB2312"/>
          <w:sz w:val="28"/>
          <w:b/>
        </w:rPr>
        <w:t>西安高新技术产业开发区农业农村和水务局</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西安高新技术产业开发区农业农村和水务局</w:t>
      </w:r>
      <w:r>
        <w:rPr>
          <w:rFonts w:ascii="仿宋_GB2312" w:hAnsi="仿宋_GB2312" w:cs="仿宋_GB2312" w:eastAsia="仿宋_GB2312"/>
        </w:rPr>
        <w:t>委托，拟对</w:t>
      </w:r>
      <w:r>
        <w:rPr>
          <w:rFonts w:ascii="仿宋_GB2312" w:hAnsi="仿宋_GB2312" w:cs="仿宋_GB2312" w:eastAsia="仿宋_GB2312"/>
        </w:rPr>
        <w:t>高新区2026年-2027年城市二次供水和农村集中供水信息采集服务项目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XACH2026-068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高新区2026年-2027年城市二次供水和农村集中供水信息采集服务项目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高新区2026年-2027年城市二次供水和农村集中供水信息采集服务项目。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采购包1（高新区2026年-2027年城市二次供水和农村集中供水信息采集服务项目）：属于专门面向中小企业采购。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1、供应商具有独立承担民事责任的能力：供应商应具有独立承担民事责任的能力且具备向采购人提供服务的企业法人、 其他组织或者自然人,企业法人应提供统一社会信用代码的营业执照； 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3、提供中小企业声明函：供应商为中小企业的，应提供《中小企业声明函》；供应商为残疾人福利性单位的，应提供《残疾人福利性单位声明函》；供应商为监狱企业的，应提供《监狱企业证明函》；</w:t>
      </w:r>
    </w:p>
    <w:p>
      <w:pPr>
        <w:pStyle w:val="null3"/>
      </w:pPr>
      <w:r>
        <w:rPr>
          <w:rFonts w:ascii="仿宋_GB2312" w:hAnsi="仿宋_GB2312" w:cs="仿宋_GB2312" w:eastAsia="仿宋_GB2312"/>
        </w:rPr>
        <w:t>4、供应商基本资格条件承诺函：供应商须满足《中华人民共和国政府采购法》第二十二条规定（提供承诺函）；供应商需在项目电子化交易系统中按要求上传相应证明文件并进行电子签章。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5、非联合体磋商：非联合体磋商声明；供应商需在项目电子化交易系统中按要求上传相应证明文件并进行电子签章。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西安高新技术产业开发区农业农村和水务局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029-81161740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刘娜娜、商碧红、王文文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029-82285837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采购包1：385,900.00元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人支付代理服务费，代理服务费参照《国家计委关于印发&lt;招标代理服务收费管理暂行办法&gt;的通知》（计价格〔2002〕1980号）和发改办价格〔2003〕857号以及发改价格〔2011〕534号文中规定的标准执行，按差额定率累进法收取费用。招标代理费不足5000元的按照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西安高新技术产业开发区农业农村和水务局</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西安高新技术产业开发区农业农村和水务局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西安高新技术产业开发区农业农村和水务局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（1）符合国家法律法规规定的标准、磋商文件和磋商响应文件所要求的技术标准。 （2）采购人组织供应商（必要时请有关专家）进行验收，验收合格后，填写项目验收单作为对项目的最终认可。 （3）供应商向采购人提供项目实施过程中的所有资料，以便采购人日后管理。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联系人：刘娜娜、商碧红</w:t>
      </w:r>
    </w:p>
    <w:p>
      <w:pPr>
        <w:pStyle w:val="null3"/>
      </w:pPr>
      <w:r>
        <w:rPr>
          <w:rFonts w:ascii="仿宋_GB2312" w:hAnsi="仿宋_GB2312" w:cs="仿宋_GB2312" w:eastAsia="仿宋_GB2312"/>
        </w:rPr>
        <w:t>联系电话：029-82285837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高新区2026年-2027年城市二次供水和农村集中供水信息采集服务项目。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385,900.00</w:t>
      </w:r>
    </w:p>
    <w:p>
      <w:pPr>
        <w:pStyle w:val="null3"/>
      </w:pPr>
      <w:r>
        <w:rPr>
          <w:rFonts w:ascii="仿宋_GB2312" w:hAnsi="仿宋_GB2312" w:cs="仿宋_GB2312" w:eastAsia="仿宋_GB2312"/>
        </w:rPr>
        <w:t>采购包最高限价（元）: 385,900.00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2026-2027年高新区二次供水和农村集中供水信息采集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385,900.00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标的名称：2026-2027年高新区二次供水和农村集中供水信息采集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4"/>
                <w:b/>
                <w:color w:val="000000"/>
              </w:rPr>
              <w:t>一、基本要求</w:t>
            </w:r>
          </w:p>
          <w:p>
            <w:pPr>
              <w:pStyle w:val="null3"/>
              <w:ind w:firstLine="480"/>
              <w:jc w:val="both"/>
            </w:pPr>
            <w:r>
              <w:rPr>
                <w:rFonts w:ascii="仿宋_GB2312" w:hAnsi="仿宋_GB2312" w:cs="仿宋_GB2312" w:eastAsia="仿宋_GB2312"/>
                <w:sz w:val="24"/>
                <w:color w:val="000000"/>
              </w:rPr>
              <w:t>1、功能要求：根据城市二次供水管理权责清单职责要求，西安高新区二次供水管理工作主要涉及城乡供水工程的监督检查、城市二次供水审批事中事后监督管理制度、二次供水设施的清洗消毒检查、城市二次供水竣工验收、二次供水设施设计图纸及有关资料的备案五项职能。</w:t>
            </w:r>
          </w:p>
          <w:p>
            <w:pPr>
              <w:pStyle w:val="null3"/>
              <w:ind w:firstLine="480"/>
              <w:jc w:val="both"/>
            </w:pPr>
            <w:r>
              <w:rPr>
                <w:rFonts w:ascii="仿宋_GB2312" w:hAnsi="仿宋_GB2312" w:cs="仿宋_GB2312" w:eastAsia="仿宋_GB2312"/>
                <w:sz w:val="24"/>
                <w:color w:val="000000"/>
              </w:rPr>
              <w:t>2、根据《陕西省城乡供水用水条例》、陕西省水利厅等九部门转发《关于做好农村供水保障工作的指导意见》文件，以及省、市近期《关于加强农村供水工程管水员管理的通知》《关于加强农村供水应急保障工作的通知》《关于做好陕西省巩固拓展脱贫攻坚成果同乡村振兴有效衔接暗访核查反馈问题排查整改工作的通知》要求，为切实履行行业主体监管责任，强化农村供水工程维护、管理，不断提高工程运行管理能力，确保农村饮水安全，现就开展高新区农村供水工程信息采集相关工作要求采购。</w:t>
            </w:r>
          </w:p>
          <w:p>
            <w:pPr>
              <w:pStyle w:val="null3"/>
              <w:jc w:val="both"/>
            </w:pPr>
            <w:r>
              <w:rPr>
                <w:rFonts w:ascii="仿宋_GB2312" w:hAnsi="仿宋_GB2312" w:cs="仿宋_GB2312" w:eastAsia="仿宋_GB2312"/>
                <w:sz w:val="24"/>
                <w:b/>
                <w:color w:val="000000"/>
              </w:rPr>
              <w:t>二、采购内容</w:t>
            </w:r>
            <w:r>
              <w:rPr>
                <w:rFonts w:ascii="仿宋_GB2312" w:hAnsi="仿宋_GB2312" w:cs="仿宋_GB2312" w:eastAsia="仿宋_GB2312"/>
                <w:sz w:val="24"/>
                <w:b/>
                <w:color w:val="000000"/>
              </w:rPr>
              <w:t>：</w:t>
            </w:r>
            <w:r>
              <w:rPr>
                <w:rFonts w:ascii="仿宋_GB2312" w:hAnsi="仿宋_GB2312" w:cs="仿宋_GB2312" w:eastAsia="仿宋_GB2312"/>
                <w:sz w:val="24"/>
                <w:color w:val="000000"/>
              </w:rPr>
              <w:t>2026年9月-2027年9月高新区城市二次供水和农村集中供水工程信息采集服务。</w:t>
            </w:r>
          </w:p>
          <w:p>
            <w:pPr>
              <w:pStyle w:val="null3"/>
              <w:jc w:val="both"/>
            </w:pPr>
            <w:r>
              <w:rPr>
                <w:rFonts w:ascii="仿宋_GB2312" w:hAnsi="仿宋_GB2312" w:cs="仿宋_GB2312" w:eastAsia="仿宋_GB2312"/>
                <w:sz w:val="24"/>
                <w:b/>
                <w:color w:val="000000"/>
              </w:rPr>
              <w:t>三、配备要求</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需配置给排水专业人员2名，机电设备专业人员2名，巡检车辆2部，按照《陕西省城乡供水用水条例》、《西安市城市供水用水条例》、《西安市生活饮用水二次供水管理和卫生监督规定》、《西安市生活饮用水二次供水设施日常监督检查办法》等现行法律法规、技术规范，提供相应技术支持及信息采集服务，对高新区587家城市二次供水设施和71家农村集中供水工程进行日常信息采集，开展其他约定工作。</w:t>
            </w:r>
          </w:p>
          <w:p>
            <w:pPr>
              <w:pStyle w:val="null3"/>
              <w:jc w:val="both"/>
            </w:pPr>
            <w:r>
              <w:rPr>
                <w:rFonts w:ascii="仿宋_GB2312" w:hAnsi="仿宋_GB2312" w:cs="仿宋_GB2312" w:eastAsia="仿宋_GB2312"/>
                <w:sz w:val="24"/>
                <w:b/>
                <w:color w:val="000000"/>
              </w:rPr>
              <w:t>四、主要实施内容</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（1）西安市生活饮用水二次供水设施日常信息采集</w:t>
            </w:r>
          </w:p>
          <w:p>
            <w:pPr>
              <w:pStyle w:val="null3"/>
              <w:ind w:firstLine="480"/>
              <w:jc w:val="both"/>
            </w:pPr>
            <w:r>
              <w:rPr>
                <w:rFonts w:ascii="仿宋_GB2312" w:hAnsi="仿宋_GB2312" w:cs="仿宋_GB2312" w:eastAsia="仿宋_GB2312"/>
                <w:sz w:val="24"/>
                <w:color w:val="000000"/>
              </w:rPr>
              <w:t>根据《陕西省城乡供水用水条例》、《西安市城市供水用水条例》等法律法规及城市二次供水管理权责清单完成西安市生活饮用水二次供水设施日常信息采集工作，年度完成日常信息采集不少于300起。</w:t>
            </w:r>
          </w:p>
          <w:p>
            <w:pPr>
              <w:pStyle w:val="null3"/>
              <w:jc w:val="both"/>
            </w:pPr>
            <w:r>
              <w:rPr>
                <w:rFonts w:ascii="仿宋_GB2312" w:hAnsi="仿宋_GB2312" w:cs="仿宋_GB2312" w:eastAsia="仿宋_GB2312"/>
                <w:sz w:val="24"/>
                <w:color w:val="000000"/>
              </w:rPr>
              <w:t>（2）配合建设项目二次供水设施设计图纸和有关资料的备案管理</w:t>
            </w:r>
          </w:p>
          <w:p>
            <w:pPr>
              <w:pStyle w:val="null3"/>
              <w:ind w:firstLine="480"/>
              <w:jc w:val="both"/>
            </w:pPr>
            <w:r>
              <w:rPr>
                <w:rFonts w:ascii="仿宋_GB2312" w:hAnsi="仿宋_GB2312" w:cs="仿宋_GB2312" w:eastAsia="仿宋_GB2312"/>
                <w:sz w:val="24"/>
                <w:color w:val="000000"/>
              </w:rPr>
              <w:t>根据《陕西省城乡供水用水条例》（2008）第十四条、《西安市城市供水用水条例》（2013）第十四条、《西安市生活饮用水二次供水管理和卫生监督规定》（西安市人民政府令第144号 2020第二次修订）第六条等要求，配合完成建设项目二次供水设施竣工图纸和有关资料的备案管理工作。</w:t>
            </w:r>
          </w:p>
          <w:p>
            <w:pPr>
              <w:pStyle w:val="null3"/>
              <w:jc w:val="both"/>
            </w:pPr>
            <w:r>
              <w:rPr>
                <w:rFonts w:ascii="仿宋_GB2312" w:hAnsi="仿宋_GB2312" w:cs="仿宋_GB2312" w:eastAsia="仿宋_GB2312"/>
                <w:sz w:val="24"/>
                <w:color w:val="000000"/>
              </w:rPr>
              <w:t>（3）协助城市供水应急预案修编</w:t>
            </w:r>
          </w:p>
          <w:p>
            <w:pPr>
              <w:pStyle w:val="null3"/>
              <w:ind w:firstLine="480"/>
              <w:jc w:val="both"/>
            </w:pPr>
            <w:r>
              <w:rPr>
                <w:rFonts w:ascii="仿宋_GB2312" w:hAnsi="仿宋_GB2312" w:cs="仿宋_GB2312" w:eastAsia="仿宋_GB2312"/>
                <w:sz w:val="24"/>
                <w:color w:val="000000"/>
              </w:rPr>
              <w:t>根据《突发事件应急预案管理办法》、《西安市城市供水应急预案》、应急预案编制导则等相关要求，组织对高新区城市供水应急预案和农村供水应急预案进行修编，并聘请相关领域专家完成评审。</w:t>
            </w:r>
          </w:p>
          <w:p>
            <w:pPr>
              <w:pStyle w:val="null3"/>
              <w:jc w:val="both"/>
            </w:pPr>
            <w:r>
              <w:rPr>
                <w:rFonts w:ascii="仿宋_GB2312" w:hAnsi="仿宋_GB2312" w:cs="仿宋_GB2312" w:eastAsia="仿宋_GB2312"/>
                <w:sz w:val="24"/>
                <w:color w:val="000000"/>
              </w:rPr>
              <w:t>（4）协助进行城乡供水专项安全生产检查</w:t>
            </w:r>
          </w:p>
          <w:p>
            <w:pPr>
              <w:pStyle w:val="null3"/>
              <w:ind w:firstLine="480"/>
              <w:jc w:val="both"/>
            </w:pPr>
            <w:r>
              <w:rPr>
                <w:rFonts w:ascii="仿宋_GB2312" w:hAnsi="仿宋_GB2312" w:cs="仿宋_GB2312" w:eastAsia="仿宋_GB2312"/>
                <w:sz w:val="24"/>
                <w:color w:val="000000"/>
              </w:rPr>
              <w:t>根据《中华人民共和国安全生产法》《地方党政领导干部安全生产责任制规定》《陕西省城乡供水用水条例》等法律法规，以及陕西省水利厅等九部门《关于做好农村供水保障工作的指导意见》、《关于加强农村供水工程管水员管理的通知》《关于加强农村供水应急保障工作的通知》等文件要求，制定行业安全生产监督检查实施方案，按周提交检查记录（含影像资料）、隐患台账、整改复查记录和完整档案，并按季度和年度提交总结报告及档案汇编，甲方将依据考核结果支付服务费用。具体如下：</w:t>
            </w:r>
          </w:p>
          <w:p>
            <w:pPr>
              <w:pStyle w:val="null3"/>
              <w:ind w:firstLine="480"/>
              <w:jc w:val="both"/>
            </w:pPr>
            <w:r>
              <w:rPr>
                <w:rFonts w:ascii="仿宋_GB2312" w:hAnsi="仿宋_GB2312" w:cs="仿宋_GB2312" w:eastAsia="仿宋_GB2312"/>
                <w:sz w:val="24"/>
                <w:b/>
                <w:color w:val="000000"/>
              </w:rPr>
              <w:t>日常检查：</w:t>
            </w:r>
            <w:r>
              <w:rPr>
                <w:rFonts w:ascii="仿宋_GB2312" w:hAnsi="仿宋_GB2312" w:cs="仿宋_GB2312" w:eastAsia="仿宋_GB2312"/>
                <w:sz w:val="24"/>
                <w:color w:val="000000"/>
              </w:rPr>
              <w:t>选派具备安全管理专业背景且拥有三年以上实战经验的技术骨干，实施网格化监管。农村供水领域，每周对不少于5处工程点位开展拉网式排查，全年累计检查频次不低于150次，重点核查水源防护隔离、水质消毒设施运行及供水设备维护情况；城市供水领域，每周对不少于4处二次供水设施进行精细化检查，全年检查总数突破200次，重点检查水箱清洗消毒记录、泵房安防及运行参数。对检查发现的隐患须建立台账，全程跟进整改落实、复查销号及资料整理建档工作，确保隐患动态清零。</w:t>
            </w:r>
          </w:p>
          <w:p>
            <w:pPr>
              <w:pStyle w:val="null3"/>
              <w:ind w:firstLine="480"/>
              <w:jc w:val="both"/>
            </w:pPr>
            <w:r>
              <w:rPr>
                <w:rFonts w:ascii="仿宋_GB2312" w:hAnsi="仿宋_GB2312" w:cs="仿宋_GB2312" w:eastAsia="仿宋_GB2312"/>
                <w:sz w:val="24"/>
                <w:b/>
                <w:color w:val="000000"/>
              </w:rPr>
              <w:t>季度检查：</w:t>
            </w:r>
            <w:r>
              <w:rPr>
                <w:rFonts w:ascii="仿宋_GB2312" w:hAnsi="仿宋_GB2312" w:cs="仿宋_GB2312" w:eastAsia="仿宋_GB2312"/>
                <w:sz w:val="24"/>
                <w:color w:val="000000"/>
              </w:rPr>
              <w:t>每季度聘请相关领域安全专家，配合开展高新区城市二次供水、农村集中供水及在建施工项目的安全生产专项检查。每季度安排2个工作日，其中城市二次供水设施每日检查不少于4家，农村集中供水工程每日检查不少于6处，确保覆盖不同规模供水企业、关键点位及辖区内在建水利项目，重点深挖管理漏洞与技术隐患。</w:t>
            </w:r>
          </w:p>
          <w:p>
            <w:pPr>
              <w:pStyle w:val="null3"/>
              <w:jc w:val="both"/>
            </w:pPr>
            <w:r>
              <w:rPr>
                <w:rFonts w:ascii="仿宋_GB2312" w:hAnsi="仿宋_GB2312" w:cs="仿宋_GB2312" w:eastAsia="仿宋_GB2312"/>
                <w:sz w:val="24"/>
                <w:color w:val="000000"/>
              </w:rPr>
              <w:t>特殊时段检查：针对高温酷暑、低温冰冻及春节、国庆等重要节假日等特殊敏感时段，全年另行安排专项检查，累计不少于10天，每天不少于2家单位。高温期侧重防暑降温与用电安全，冰冻期侧重管道防冻与应急物资储备，节假日侧重值班值守与应急响应机制落实情况 。</w:t>
            </w:r>
          </w:p>
          <w:p>
            <w:pPr>
              <w:pStyle w:val="null3"/>
              <w:ind w:firstLine="480"/>
              <w:jc w:val="both"/>
            </w:pPr>
            <w:r>
              <w:rPr>
                <w:rFonts w:ascii="仿宋_GB2312" w:hAnsi="仿宋_GB2312" w:cs="仿宋_GB2312" w:eastAsia="仿宋_GB2312"/>
                <w:sz w:val="24"/>
                <w:b/>
                <w:color w:val="000000"/>
              </w:rPr>
              <w:t>项目检查：</w:t>
            </w:r>
            <w:r>
              <w:rPr>
                <w:rFonts w:ascii="仿宋_GB2312" w:hAnsi="仿宋_GB2312" w:cs="仿宋_GB2312" w:eastAsia="仿宋_GB2312"/>
                <w:sz w:val="24"/>
                <w:color w:val="000000"/>
              </w:rPr>
              <w:t>实施分级分类精准监管，贯穿项目建设全生命周期。施工准备阶段，审查施工组织设计与安全技术措施等；施工实施阶段，聚焦高风险环节，重点强化深基坑支护监测、高边坡及临时用电、动火作业现场安全生产措施等监管，一周开展不少于1次项目现场安全检查，必要时加密检查频次。针对检查发现的安全隐患，应及时整理汇总报送甲方，并协助甲方下发提醒函、督办单等督导建设单位、施工单位等相关方限期整改，形成闭环管理。</w:t>
            </w:r>
          </w:p>
          <w:p>
            <w:pPr>
              <w:pStyle w:val="null3"/>
              <w:jc w:val="both"/>
            </w:pPr>
            <w:r>
              <w:rPr>
                <w:rFonts w:ascii="仿宋_GB2312" w:hAnsi="仿宋_GB2312" w:cs="仿宋_GB2312" w:eastAsia="仿宋_GB2312"/>
                <w:sz w:val="24"/>
                <w:color w:val="000000"/>
              </w:rPr>
              <w:t>（5）农村供水设施日常信息采集</w:t>
            </w:r>
          </w:p>
          <w:p>
            <w:pPr>
              <w:pStyle w:val="null3"/>
              <w:ind w:firstLine="480"/>
              <w:jc w:val="both"/>
            </w:pPr>
            <w:r>
              <w:rPr>
                <w:rFonts w:ascii="仿宋_GB2312" w:hAnsi="仿宋_GB2312" w:cs="仿宋_GB2312" w:eastAsia="仿宋_GB2312"/>
                <w:sz w:val="24"/>
                <w:color w:val="000000"/>
              </w:rPr>
              <w:t>根据《供水条例》、《关于建立农村饮水安全管理 “三个责任” 的通知》等法律法规，对辖区所有农村供水工程：千吨万人规模化水厂、小型集中供水站、单村供水、高位水塔、蓄水池、加压泵房、水源地、电气线路、输配主管、村级管网末端、入户设施、消毒加药间、有限空间构筑物进行安全生产信息采集。年度完成日常信息采集不少于280起。</w:t>
            </w:r>
          </w:p>
          <w:p>
            <w:pPr>
              <w:pStyle w:val="null3"/>
              <w:jc w:val="both"/>
            </w:pPr>
            <w:r>
              <w:rPr>
                <w:rFonts w:ascii="仿宋_GB2312" w:hAnsi="仿宋_GB2312" w:cs="仿宋_GB2312" w:eastAsia="仿宋_GB2312"/>
                <w:sz w:val="24"/>
                <w:color w:val="000000"/>
              </w:rPr>
              <w:t>（6）建设项目现场安全监督</w:t>
            </w:r>
          </w:p>
          <w:p>
            <w:pPr>
              <w:pStyle w:val="null3"/>
              <w:ind w:firstLine="480"/>
              <w:jc w:val="both"/>
            </w:pPr>
            <w:r>
              <w:rPr>
                <w:rFonts w:ascii="仿宋_GB2312" w:hAnsi="仿宋_GB2312" w:cs="仿宋_GB2312" w:eastAsia="仿宋_GB2312"/>
                <w:sz w:val="24"/>
                <w:color w:val="000000"/>
              </w:rPr>
              <w:t>根据《农村饮水安全工程建设管理办法》等法律规定，全面压实项目法人、施工、监理、勘察设计四方安全生产责任，实行项目开工、施工过程、阶段性验收、竣工核验全流程闭环监督，采取日常巡视、专项督查模式，严格按照规定频次开展现场检查；开工前逐项核查安全监督手续、施工安全方案。</w:t>
            </w:r>
          </w:p>
          <w:p>
            <w:pPr>
              <w:pStyle w:val="null3"/>
              <w:jc w:val="both"/>
            </w:pPr>
            <w:r>
              <w:rPr>
                <w:rFonts w:ascii="仿宋_GB2312" w:hAnsi="仿宋_GB2312" w:cs="仿宋_GB2312" w:eastAsia="仿宋_GB2312"/>
                <w:sz w:val="24"/>
                <w:color w:val="000000"/>
              </w:rPr>
              <w:t>（7）供水方面应急演练</w:t>
            </w:r>
          </w:p>
          <w:p>
            <w:pPr>
              <w:pStyle w:val="null3"/>
              <w:ind w:firstLine="480"/>
              <w:jc w:val="both"/>
            </w:pPr>
            <w:r>
              <w:rPr>
                <w:rFonts w:ascii="仿宋_GB2312" w:hAnsi="仿宋_GB2312" w:cs="仿宋_GB2312" w:eastAsia="仿宋_GB2312"/>
                <w:sz w:val="24"/>
                <w:color w:val="000000"/>
              </w:rPr>
              <w:t>服务期内依据《陕西省城乡供水用水条例》等要求，协助甲方编制、完善高新区城市、农村供水应急预案，并通过专家评审。在此基础上，按照高新区城乡供水应急预案的相关要求，结合省水利厅关于加强农村供水应急保障工作的通知精神，组织开展2场供水领域应急演练，农村供水与二次供水各1场。工作内容包括编制演练方案，明确演练科目、流程及参演单位职责，落实演练所需的设施设备及物资保障，按照标准化作业要求规范演练现场操作，确保演练贴近实战、可操作性强。演练重点涵盖供水管网突发事故处置、水源污染应急响应、停水抢修及电气设备故障引发的供水中断应急处置等环节，通过演练切实检验并提升供水突发事件的快速响应和协同处置能力，</w:t>
            </w:r>
          </w:p>
          <w:p>
            <w:pPr>
              <w:pStyle w:val="null3"/>
              <w:jc w:val="both"/>
            </w:pPr>
            <w:r>
              <w:rPr>
                <w:rFonts w:ascii="仿宋_GB2312" w:hAnsi="仿宋_GB2312" w:cs="仿宋_GB2312" w:eastAsia="仿宋_GB2312"/>
                <w:sz w:val="24"/>
                <w:color w:val="000000"/>
              </w:rPr>
              <w:t>（8）安全生产培训</w:t>
            </w:r>
          </w:p>
          <w:p>
            <w:pPr>
              <w:pStyle w:val="null3"/>
              <w:ind w:firstLine="480"/>
              <w:jc w:val="both"/>
            </w:pPr>
            <w:r>
              <w:rPr>
                <w:rFonts w:ascii="仿宋_GB2312" w:hAnsi="仿宋_GB2312" w:cs="仿宋_GB2312" w:eastAsia="仿宋_GB2312"/>
                <w:sz w:val="24"/>
                <w:color w:val="000000"/>
              </w:rPr>
              <w:t>根据行业监管要求及安全生产相关规定，服务期内须负责组织2场安全生产（含消防）培训，城市供水与农村供水领域各1场，每场培训2个课时。培训应邀请领域内安全生产专家担任主讲师，培训对象覆盖供水企业管理人员、一线操作人员及管水员等。培训内容须包括供水设施安全操作规程、电气设备安全使用与管理、有限空间作业安全、消防安全知识及应急处置技能，并结合典型事故案例开展警示教育，切实提升从业人员安全意识和操作技能，有效防范化解供水领域安全生产风险。</w:t>
            </w:r>
          </w:p>
          <w:p>
            <w:pPr>
              <w:pStyle w:val="null3"/>
              <w:jc w:val="both"/>
            </w:pPr>
            <w:r>
              <w:rPr>
                <w:rFonts w:ascii="仿宋_GB2312" w:hAnsi="仿宋_GB2312" w:cs="仿宋_GB2312" w:eastAsia="仿宋_GB2312"/>
                <w:sz w:val="24"/>
                <w:color w:val="000000"/>
              </w:rPr>
              <w:t>（9）农村供水行业居民投诉处理</w:t>
            </w:r>
          </w:p>
          <w:p>
            <w:pPr>
              <w:pStyle w:val="null3"/>
              <w:ind w:firstLine="480"/>
              <w:jc w:val="both"/>
            </w:pPr>
            <w:r>
              <w:rPr>
                <w:rFonts w:ascii="仿宋_GB2312" w:hAnsi="仿宋_GB2312" w:cs="仿宋_GB2312" w:eastAsia="仿宋_GB2312"/>
                <w:sz w:val="24"/>
                <w:color w:val="000000"/>
              </w:rPr>
              <w:t>全面负责农村供水居民投诉协同处置工作，严格依据《供水条例》（国务院令第 831 号）、水利部 12314 监督平台管理规则及本地农村供水投诉管理规定，遵循属地管理、分级负责、接诉即办、闭环销号原则，配合甲方受理 12345 政务热线、12314 水利监督平台、群众来电来访、村务反馈等各类供水诉求，所有投诉实行受理登记、现场核查、整改处置、结果反馈、回访归档全流程闭环管理，建立投诉专项台账。</w:t>
            </w:r>
          </w:p>
          <w:p>
            <w:pPr>
              <w:pStyle w:val="null3"/>
              <w:jc w:val="both"/>
            </w:pPr>
            <w:r>
              <w:rPr>
                <w:rFonts w:ascii="仿宋_GB2312" w:hAnsi="仿宋_GB2312" w:cs="仿宋_GB2312" w:eastAsia="仿宋_GB2312"/>
                <w:sz w:val="24"/>
                <w:b/>
                <w:color w:val="000000"/>
              </w:rPr>
              <w:t>五、需执行的国家相关标准、行业标准、地方标准或者其他标准、规范标准：</w:t>
            </w:r>
          </w:p>
          <w:p>
            <w:pPr>
              <w:pStyle w:val="null3"/>
              <w:jc w:val="both"/>
            </w:pPr>
            <w:r>
              <w:rPr>
                <w:rFonts w:ascii="仿宋_GB2312" w:hAnsi="仿宋_GB2312" w:cs="仿宋_GB2312" w:eastAsia="仿宋_GB2312"/>
                <w:sz w:val="24"/>
                <w:color w:val="000000"/>
              </w:rPr>
              <w:t>1、《关于加强农村供水工程管水员管理的通知》</w:t>
            </w:r>
          </w:p>
          <w:p>
            <w:pPr>
              <w:pStyle w:val="null3"/>
              <w:jc w:val="both"/>
            </w:pPr>
            <w:r>
              <w:rPr>
                <w:rFonts w:ascii="仿宋_GB2312" w:hAnsi="仿宋_GB2312" w:cs="仿宋_GB2312" w:eastAsia="仿宋_GB2312"/>
                <w:sz w:val="24"/>
                <w:color w:val="000000"/>
              </w:rPr>
              <w:t>2、《关于加强农村供水应急保障工作的通知》</w:t>
            </w:r>
          </w:p>
          <w:p>
            <w:pPr>
              <w:pStyle w:val="null3"/>
              <w:jc w:val="both"/>
            </w:pPr>
            <w:r>
              <w:rPr>
                <w:rFonts w:ascii="仿宋_GB2312" w:hAnsi="仿宋_GB2312" w:cs="仿宋_GB2312" w:eastAsia="仿宋_GB2312"/>
                <w:sz w:val="24"/>
                <w:color w:val="000000"/>
              </w:rPr>
              <w:t>3、《关于做好陕西省巩固拓展脱贫攻坚成果同乡村振兴有效衔接暗访核查反馈问题排查整改工作的通知》</w:t>
            </w:r>
          </w:p>
          <w:p>
            <w:pPr>
              <w:pStyle w:val="null3"/>
              <w:jc w:val="both"/>
            </w:pPr>
            <w:r>
              <w:rPr>
                <w:rFonts w:ascii="仿宋_GB2312" w:hAnsi="仿宋_GB2312" w:cs="仿宋_GB2312" w:eastAsia="仿宋_GB2312"/>
                <w:sz w:val="24"/>
                <w:color w:val="000000"/>
              </w:rPr>
              <w:t>4、《国务院关于加强城市基础设施建设的意见》</w:t>
            </w:r>
          </w:p>
          <w:p>
            <w:pPr>
              <w:pStyle w:val="null3"/>
              <w:jc w:val="both"/>
            </w:pPr>
            <w:r>
              <w:rPr>
                <w:rFonts w:ascii="仿宋_GB2312" w:hAnsi="仿宋_GB2312" w:cs="仿宋_GB2312" w:eastAsia="仿宋_GB2312"/>
                <w:sz w:val="24"/>
                <w:color w:val="000000"/>
              </w:rPr>
              <w:t>5、《关于加强和改进城镇居民二次供水设施建设与管理确保水质安全的通知》</w:t>
            </w:r>
          </w:p>
          <w:p>
            <w:pPr>
              <w:pStyle w:val="null3"/>
              <w:jc w:val="both"/>
            </w:pPr>
            <w:r>
              <w:rPr>
                <w:rFonts w:ascii="仿宋_GB2312" w:hAnsi="仿宋_GB2312" w:cs="仿宋_GB2312" w:eastAsia="仿宋_GB2312"/>
                <w:sz w:val="24"/>
                <w:color w:val="000000"/>
              </w:rPr>
              <w:t>6、《陕西省城乡供水用水条例》</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根据技术参数与性能指标配备相应人数，确保项目顺利实施。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根据技术参数与性能指标配备相应设备，确保项目顺利实施。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自合同签订之日起1年。本项目采取一次采购、按年续签方式，在采购人年度预算能够保障、服务内容及合同价款不变、且供应商年度考核合格的前提下，可续签下一年度合同，累计续签不超过2年（即总服务期不超过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进度款，合同签订后支付合同价款的30%，达到付款条件起10个工作日内，支付合同总金额的30.0%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进度款，待全部服务完成且经采购人验收合格后支付剩余70%合同价款，达到付款条件起10个工作日内，支付合同总金额的70.0%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违约责任： 1、在合同履行期间，采购人要求终止或解除合同，成交人已开始服务工作的，采购人应根据成交人已进行的实际工作量进行付款。 2、采购人应按合同第四条规定的金额和时间向成交人支付本次服务费。 3、成交人在服务过程中出现的遗漏或错误负责修改或补充。由于工作人员错误造成质量事故损失，工作人员应采取补救措施，并免收费用。 4、①成交人未征得采购人同意，不得擅自变更磋商时确定的项目负责人。采购人认为该项目负责人不称职时要求更换，成交人须更换。②合同履行过程中成交人若擅自变更项目负责人，采购人有权解除服务合同，并追究由此给采购人带来的一切损失；③合同期内，项目负责人不准在其他项目任职。 5、成交人因自身原因不能履行合同，若未开展工作的，成交人将承担合同总额的10%给采购人作为违约金，合同终止；若已开展工作的，成交人应双倍退还采购人已支付的服务费，并承担合同总额的10%给采购人作为违约金，合同终止。 解决争议：双方本着友好合作的态度,对合同履行过程中发生的纠纷应及时协商解决,协商不成，向采购人所在地人民法院诉讼解决。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报价为完成本项目磋商文件中所提出的工作范围及要求的全部内容，并达到国家及采购人验收标准而产生的所有费用。包含前期调研费、方案和图纸设计审查费、现场勘察费、信息采集费、人工费、车辆使用费、其他办公经费、服务费、招标代理服务费、利润、税金、风险、验收等完成本项目所需的全部费用。任何错报、漏报由供应商自行负责。 3.4.2采购标的对应的中小企业划分标准所属行业：其他未列明行业。根据《工业和信息化部、国家统计局、国家发展和改革委员会、财政部关于印发中小企业划型标准规定的通知》（工信部联企业〔2011〕300号）规定的划分标准，从业人员300人以下的为中小微型企业。其中，从业人员100人及以上的为中型企业；从业人员10人及以上的为小型企业；从业人员10人以下的为微型企业。 3.4.3服务期限为自合同签订之日起1年。本项目采取一次采购、按年续签方式，在采购人年度预算能够保障、服务内容及合同价款不变、且供应商年度考核合格的前提下，可续签下一年度合同，累计续签不超过2年（即总服务期不超过3年）。 每年合同期满前30日，采购人对供应商当年履约情况进行考核，并书面告知考核结果。考核合格的，双方续签次年合同；考核不合格的，采购人有权不再续签，合同到期自动终止。 若合同履行期间因采购人预算取消、项目需求取消或发生其他不可归责于供应商的情形，采购人有权提前终止合同，但应提前不少于30日书面通知供应商，合同自通知载明的终止日起解除，双方互不承担违约责任，采购人按供应商实际完成的工作量据实结算服务费用。 3.4.4成交人领取成交通知书时须向代理机构提交纸质版响应文件：正本1份、副本2份、电子版（U盘）2份。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采购标的对应的中小企业划分标准所属行业:其他未列明行业。根据《工业和信息化部、国家统计局、国家发展和改革委员会、财政部关于印发中小企业划型标准规定的通知》（工信部联企业〔2011〕300号）规定的划分标准，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供应商应具有独立承担民事责任的能力且具备向采购人提供服务的企业法人、 其他组织或者自然人,企业法人应提供统一社会信用代码的营业执照； 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提供中小企业声明函</w:t>
            </w:r>
          </w:p>
        </w:tc>
        <w:tc>
          <w:tcPr>
            <w:tcW w:type="dxa" w:w="3322"/>
          </w:tcPr>
          <w:p>
            <w:pPr>
              <w:pStyle w:val="null3"/>
            </w:pPr>
            <w:r>
              <w:rPr>
                <w:rFonts w:ascii="仿宋_GB2312" w:hAnsi="仿宋_GB2312" w:cs="仿宋_GB2312" w:eastAsia="仿宋_GB2312"/>
              </w:rPr>
              <w:t>供应商为中小企业的，应提供《中小企业声明函》；供应商为残疾人福利性单位的，应提供《残疾人福利性单位声明函》；供应商为监狱企业的，应提供《监狱企业证明函》；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详见6.4.2评分标准 异常低价审查</w:t>
            </w:r>
          </w:p>
        </w:tc>
        <w:tc>
          <w:tcPr>
            <w:tcW w:type="dxa" w:w="1661"/>
          </w:tcPr>
          <w:p>
            <w:pPr>
              <w:pStyle w:val="null3"/>
            </w:pPr>
            <w:r>
              <w:rPr>
                <w:rFonts w:ascii="仿宋_GB2312" w:hAnsi="仿宋_GB2312" w:cs="仿宋_GB2312" w:eastAsia="仿宋_GB2312"/>
              </w:rPr>
              <w:t>报价一览表.docx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磋商响应有效期达到磋商文件的要求。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报价一览表.docx 中小企业声明函 商务应答表 承诺书.docx 服务内容及服务要求应答表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承诺书.docx 报价表 资格证明文件.docx 响应文件封面 业绩证明文件及响应方案说明.docx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提供2023年以来类似项目业绩合同（以合同签订时间为准），每份计2.5分，满分10分。（注：以上证明文件在磋商响应文件中附业绩合同扫描件并加盖公司公章。）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项目负责人具有2023年以来类似项目业绩合同，每提供一份得2分，业绩须体现项目负责人姓名，否则不得分,本项满分4分。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拟投入本项目的仪器设备</w:t>
            </w:r>
          </w:p>
        </w:tc>
        <w:tc>
          <w:tcPr>
            <w:tcW w:type="dxa" w:w="2492"/>
          </w:tcPr>
          <w:p>
            <w:pPr>
              <w:pStyle w:val="null3"/>
            </w:pPr>
            <w:r>
              <w:rPr>
                <w:rFonts w:ascii="仿宋_GB2312" w:hAnsi="仿宋_GB2312" w:cs="仿宋_GB2312" w:eastAsia="仿宋_GB2312"/>
              </w:rPr>
              <w:t>对供应商拟投入本项目的仪器设备，且与本项目内容配备性进行评审(需提供购置发票或租赁合同)，每提供1种仪器设备得1分，本项满分5分。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拟投入本项目的团队人员配置方案</w:t>
            </w:r>
          </w:p>
        </w:tc>
        <w:tc>
          <w:tcPr>
            <w:tcW w:type="dxa" w:w="2492"/>
          </w:tcPr>
          <w:p>
            <w:pPr>
              <w:pStyle w:val="null3"/>
            </w:pPr>
            <w:r>
              <w:rPr>
                <w:rFonts w:ascii="仿宋_GB2312" w:hAnsi="仿宋_GB2312" w:cs="仿宋_GB2312" w:eastAsia="仿宋_GB2312"/>
              </w:rPr>
              <w:t>①机构设置：机构设置含项目管理、采样、资料收集、报告编制岗位等架构，满足项目全流程工作需求计3分，未按照此设置不得分。本项满分3分。 ②针对本项目每投入1人得1分，本项最高得5分。供应商需提供所投人员的社保缴纳证明或劳动合同，人员不足或未提供有效社保证明或劳动合同的，该项不得分。 ③除采购内容要求的人员外，每多一个给排水专业或机电设备类专业或安全工程专业或水利工程或建筑工程类专业的技术服务人员得2.5分，满分5分。（以学历证明、职称证书、社保证明或劳动合同为准。）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拟投入本项目的车辆配置</w:t>
            </w:r>
          </w:p>
        </w:tc>
        <w:tc>
          <w:tcPr>
            <w:tcW w:type="dxa" w:w="2492"/>
          </w:tcPr>
          <w:p>
            <w:pPr>
              <w:pStyle w:val="null3"/>
            </w:pPr>
            <w:r>
              <w:rPr>
                <w:rFonts w:ascii="仿宋_GB2312" w:hAnsi="仿宋_GB2312" w:cs="仿宋_GB2312" w:eastAsia="仿宋_GB2312"/>
              </w:rPr>
              <w:t>除采购内容要求的车辆外，每多配备一辆得3分，本项满分9分，(需提供购置发票或租赁合同)。</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针对本项目有具体可行的实施方案，评审内容点如下：①对项目的理解分析;②信息采集方案概述；③实施标准；④工作方法；⑤数据及资料管理方案。 二、评审标准 1、完整性：方案须全面，对评审内容中的各项要求有详细描述； 2、可实施性：切合本项目实际情况，实施步骤清晰、合理； 3、针对性：方案能够紧扣项目实际情况，内容科学合理。 三、赋分标准（满分15分） ①对项目的理解分析：每完全满足一项评审标准计1分，满分3分。 ②信息采集方案概述：每完全满足一项评审标准计1分，满分3分。 ③实施标准；：每完全满足一项评审标准计1分，满分3分。 ④工作方法：每完全满足一项评审标准计1分，满分3分。 ⑤数据及资料管理方案：每完全满足一项评审标准计1分，满分3分。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进度保证 措施</w:t>
            </w:r>
          </w:p>
        </w:tc>
        <w:tc>
          <w:tcPr>
            <w:tcW w:type="dxa" w:w="2492"/>
          </w:tcPr>
          <w:p>
            <w:pPr>
              <w:pStyle w:val="null3"/>
            </w:pPr>
            <w:r>
              <w:rPr>
                <w:rFonts w:ascii="仿宋_GB2312" w:hAnsi="仿宋_GB2312" w:cs="仿宋_GB2312" w:eastAsia="仿宋_GB2312"/>
              </w:rPr>
              <w:t>一、评审内容 评审内容点如下：①明确各项工作任务完成期限、时间节点；②任务进度跟踪与管控；③任务进度偏差调整预案。 二、评审标准 1、完整性：措施须全面，对评审内容中的各项要求有详细描述； 2、可实施性：切合本项目实际情况，实施步骤清晰、合理； 3、针对性：措施能够紧扣项目实际情况，内容科学合理。 三、赋分标准（满分4.5分） ①明确各项工作任务完成期限、时间节点：每完全满足一项评审标准计0.5分，满分1.5分。 ②任务进度跟踪与管控：每完全满足一项评审标准计0.5分，满分1.5分。 ③任务进度偏差调整预案：每完全满足一项评审标准计0.5分，满分1.5分。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质量及安全保障方案</w:t>
            </w:r>
          </w:p>
        </w:tc>
        <w:tc>
          <w:tcPr>
            <w:tcW w:type="dxa" w:w="2492"/>
          </w:tcPr>
          <w:p>
            <w:pPr>
              <w:pStyle w:val="null3"/>
            </w:pPr>
            <w:r>
              <w:rPr>
                <w:rFonts w:ascii="仿宋_GB2312" w:hAnsi="仿宋_GB2312" w:cs="仿宋_GB2312" w:eastAsia="仿宋_GB2312"/>
              </w:rPr>
              <w:t>一、评审内容 评审内容点如下：①质量目标及责任制度；②质量保证措施；③安全生产人员能力培训及提升。 二、评审标准 1、完整性：措施须全面，对评审内容中的各项要求有详细描述； 2、可实施性：切合本项目实际情况，实施步骤清晰、合理； 3、针对性：措施能够紧扣项目实际情况，内容科学合理。 三、赋分标准（满分4.5分） ①质量目标及责任制度：每完全满足一项评审标准计0.5分，满分1.5分。 ②质量保证措施：每完全满足一项评审标准计0.5分，满分1.5分。 ③安全生产人员能力培训及提升：每完全满足一项评审标准计0.5分，满分1.5分。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保密措施及档案管理制度</w:t>
            </w:r>
          </w:p>
        </w:tc>
        <w:tc>
          <w:tcPr>
            <w:tcW w:type="dxa" w:w="2492"/>
          </w:tcPr>
          <w:p>
            <w:pPr>
              <w:pStyle w:val="null3"/>
            </w:pPr>
            <w:r>
              <w:rPr>
                <w:rFonts w:ascii="仿宋_GB2312" w:hAnsi="仿宋_GB2312" w:cs="仿宋_GB2312" w:eastAsia="仿宋_GB2312"/>
              </w:rPr>
              <w:t>一、评审内容 评审内容如下：①保密实施方案；②保密承诺事项及工作规则要求；③档案管理制度； 二、评审标准 1、完整性：措施须全面，对评审内容中的各项要求有详细描述； 2、可实施性：切合本项目实际情况，实施步骤清晰、合理； 3、针对性：措施能够紧扣项目实际情况，内容科学合理。 三、赋分标准（满分9分） ①保密实施方案：每完全满足一项评审标准计1分，满分3分。 ②保密承诺事项及工作规则要求：每完全满足一项评审标准计1分，满分3分。 ③档案管理制度：每完全满足一项评审标准计1分，满分3分。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评审内容如下：①突发事件的应急预案措施；②应急组织机构及应急演练措施。 二、评审标准 评审标准 1.完整性：方案须全面，对评审内容中的各项要求有详细描述； 2.可实施性：切合本项目实际情况，实施步骤清晰、合理； 3.针对性：方案能够紧扣项目实际情况，内容科学合理。 三、赋分标准（满分6分） ①突发事件的应急预案措施：每完全满足一项评审标准计1分，满分3分。 ②应急组织机构及应急演练措施：每完全满足一项评审标准计1分，满分3分。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详见附件：业绩证明文件及响应方案说明.docx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