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版本号：SXZHZB2026-ZC041-JT.1B120260714001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西安市第四次全国农业普查“两员”普查用品采购项目(二次)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SXZHZB2026-ZC041-JT.1B1</w:t>
      </w:r>
      <w:r>
        <w:br/>
      </w:r>
      <w:r>
        <w:br/>
      </w:r>
      <w:r>
        <w:br/>
      </w:r>
    </w:p>
    <w:p>
      <w:pPr>
        <w:pStyle w:val="null3"/>
        <w:jc w:val="center"/>
        <w:outlineLvl w:val="2"/>
      </w:pPr>
      <w:r>
        <w:rPr>
          <w:rFonts w:ascii="仿宋_GB2312" w:hAnsi="仿宋_GB2312" w:cs="仿宋_GB2312" w:eastAsia="仿宋_GB2312"/>
          <w:sz w:val="28"/>
          <w:b/>
        </w:rPr>
        <w:t>西安市统计局（本级）</w:t>
      </w:r>
    </w:p>
    <w:p>
      <w:pPr>
        <w:pStyle w:val="null3"/>
        <w:jc w:val="center"/>
        <w:outlineLvl w:val="2"/>
      </w:pPr>
      <w:r>
        <w:rPr>
          <w:rFonts w:ascii="仿宋_GB2312" w:hAnsi="仿宋_GB2312" w:cs="仿宋_GB2312" w:eastAsia="仿宋_GB2312"/>
          <w:sz w:val="28"/>
          <w:b/>
        </w:rPr>
        <w:t>陕西纵横项目管理有限公司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陕西纵横项目管理有限公司</w:t>
      </w:r>
      <w:r>
        <w:rPr>
          <w:rFonts w:ascii="仿宋_GB2312" w:hAnsi="仿宋_GB2312" w:cs="仿宋_GB2312" w:eastAsia="仿宋_GB2312"/>
        </w:rPr>
        <w:t>（以下简称“代理机构”）受</w:t>
      </w:r>
      <w:r>
        <w:rPr>
          <w:rFonts w:ascii="仿宋_GB2312" w:hAnsi="仿宋_GB2312" w:cs="仿宋_GB2312" w:eastAsia="仿宋_GB2312"/>
        </w:rPr>
        <w:t>西安市统计局（本级）</w:t>
      </w:r>
      <w:r>
        <w:rPr>
          <w:rFonts w:ascii="仿宋_GB2312" w:hAnsi="仿宋_GB2312" w:cs="仿宋_GB2312" w:eastAsia="仿宋_GB2312"/>
        </w:rPr>
        <w:t>委托，拟对</w:t>
      </w:r>
      <w:r>
        <w:rPr>
          <w:rFonts w:ascii="仿宋_GB2312" w:hAnsi="仿宋_GB2312" w:cs="仿宋_GB2312" w:eastAsia="仿宋_GB2312"/>
        </w:rPr>
        <w:t>西安市第四次全国农业普查“两员”普查用品采购项目(二次)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SXZHZB2026-ZC041-JT.1B1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西安市第四次全国农业普查“两员”普查用品采购项目(二次)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给普查指导员、普查员配发普查工作必需装备，满足清查摸底、普查登记阶段日常工作所需，保障“两员”在入户登记、资料整理、户外作业中正常使用，确保普查工作顺利推进。</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采购包1（西安市第四次全国农业普查“两员”普查用品采购项目）：属于专门面向中小企业采购。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1、法定代表人授权书/法定代表人身份证明：法定代表人授权书（附法定代表人、被授权人身份证复印件）（法定代表人直接参加谈判，须提供法定代表人身份证明）；</w:t>
      </w:r>
    </w:p>
    <w:p>
      <w:pPr>
        <w:pStyle w:val="null3"/>
      </w:pPr>
      <w:r>
        <w:rPr>
          <w:rFonts w:ascii="仿宋_GB2312" w:hAnsi="仿宋_GB2312" w:cs="仿宋_GB2312" w:eastAsia="仿宋_GB2312"/>
        </w:rPr>
        <w:t>2、信用记录：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3、联合体：本项目不接受联合体谈判。</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西安市统计局（本级）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029-67098155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陕西纵横项目管理有限公司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西安市经开区凤城五路赛高街区A座902室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029-86252018（转805）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代理服务费收费标准：1、代理服务费：以成交金额为基数，参照国家计委颁发的《招标代理服务收费管理暂行办法》（计价格[2002]1980号）和财政部颁发的《政府采购代理机构管理暂行办法》 (财库[2018]2号) 的有关规定执行。 2、代理服务费由成交供应商支付，在领取《成交通知书》前，由成交供应商一次性支付给陕西纵横项目管理有限公司。 3、代理服务费缴纳账户： 开户名称：陕西纵横项目管理有限公司 开户银行：浙商银行股份有限公司西安未央路支行 账号：7910000610120100029478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西安市统计局（本级）</w:t>
      </w:r>
      <w:r>
        <w:rPr>
          <w:rFonts w:ascii="仿宋_GB2312" w:hAnsi="仿宋_GB2312" w:cs="仿宋_GB2312" w:eastAsia="仿宋_GB2312"/>
        </w:rPr>
        <w:t>和</w:t>
      </w:r>
      <w:r>
        <w:rPr>
          <w:rFonts w:ascii="仿宋_GB2312" w:hAnsi="仿宋_GB2312" w:cs="仿宋_GB2312" w:eastAsia="仿宋_GB2312"/>
        </w:rPr>
        <w:t>陕西纵横项目管理有限公司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西安市统计局（本级）</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陕西纵横项目管理有限公司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西安市统计局（本级）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陕西纵横项目管理有限公司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联系人：曹工</w:t>
      </w:r>
    </w:p>
    <w:p>
      <w:pPr>
        <w:pStyle w:val="null3"/>
      </w:pPr>
      <w:r>
        <w:rPr>
          <w:rFonts w:ascii="仿宋_GB2312" w:hAnsi="仿宋_GB2312" w:cs="仿宋_GB2312" w:eastAsia="仿宋_GB2312"/>
        </w:rPr>
        <w:t>联系电话：029-86252018（转805）</w:t>
      </w:r>
    </w:p>
    <w:p>
      <w:pPr>
        <w:pStyle w:val="null3"/>
      </w:pPr>
      <w:r>
        <w:rPr>
          <w:rFonts w:ascii="仿宋_GB2312" w:hAnsi="仿宋_GB2312" w:cs="仿宋_GB2312" w:eastAsia="仿宋_GB2312"/>
        </w:rPr>
        <w:t>地址：西安市经开区凤城五路赛高街区A座902室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给普查指导员、普查员配发普查工作必需装备，满足清查摸底、普查登记阶段日常工作所需，保障“两员”在入户登记、资料整理、户外作业中正常使用，确保普查工作顺利推进。</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1,020,000.00</w:t>
      </w:r>
    </w:p>
    <w:p>
      <w:pPr>
        <w:pStyle w:val="null3"/>
      </w:pPr>
      <w:r>
        <w:rPr>
          <w:rFonts w:ascii="仿宋_GB2312" w:hAnsi="仿宋_GB2312" w:cs="仿宋_GB2312" w:eastAsia="仿宋_GB2312"/>
        </w:rPr>
        <w:t>采购包最高限价（元）: 1,020,000.00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水杯</w:t>
            </w:r>
          </w:p>
        </w:tc>
        <w:tc>
          <w:tcPr>
            <w:tcW w:type="dxa" w:w="755"/>
          </w:tcPr>
          <w:p>
            <w:pPr>
              <w:pStyle w:val="null3"/>
              <w:jc w:val="right"/>
            </w:pPr>
            <w:r>
              <w:rPr>
                <w:rFonts w:ascii="仿宋_GB2312" w:hAnsi="仿宋_GB2312" w:cs="仿宋_GB2312" w:eastAsia="仿宋_GB2312"/>
              </w:rPr>
              <w:t>20,400.00</w:t>
            </w:r>
          </w:p>
        </w:tc>
        <w:tc>
          <w:tcPr>
            <w:tcW w:type="dxa" w:w="755"/>
          </w:tcPr>
          <w:p>
            <w:pPr>
              <w:pStyle w:val="null3"/>
              <w:jc w:val="right"/>
            </w:pPr>
            <w:r>
              <w:rPr>
                <w:rFonts w:ascii="仿宋_GB2312" w:hAnsi="仿宋_GB2312" w:cs="仿宋_GB2312" w:eastAsia="仿宋_GB2312"/>
              </w:rPr>
              <w:t>367,200.00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晴雨伞</w:t>
            </w:r>
          </w:p>
        </w:tc>
        <w:tc>
          <w:tcPr>
            <w:tcW w:type="dxa" w:w="755"/>
          </w:tcPr>
          <w:p>
            <w:pPr>
              <w:pStyle w:val="null3"/>
              <w:jc w:val="right"/>
            </w:pPr>
            <w:r>
              <w:rPr>
                <w:rFonts w:ascii="仿宋_GB2312" w:hAnsi="仿宋_GB2312" w:cs="仿宋_GB2312" w:eastAsia="仿宋_GB2312"/>
              </w:rPr>
              <w:t>20,400.00</w:t>
            </w:r>
          </w:p>
        </w:tc>
        <w:tc>
          <w:tcPr>
            <w:tcW w:type="dxa" w:w="755"/>
          </w:tcPr>
          <w:p>
            <w:pPr>
              <w:pStyle w:val="null3"/>
              <w:jc w:val="right"/>
            </w:pPr>
            <w:r>
              <w:rPr>
                <w:rFonts w:ascii="仿宋_GB2312" w:hAnsi="仿宋_GB2312" w:cs="仿宋_GB2312" w:eastAsia="仿宋_GB2312"/>
              </w:rPr>
              <w:t>265,200.00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双肩背包</w:t>
            </w:r>
          </w:p>
        </w:tc>
        <w:tc>
          <w:tcPr>
            <w:tcW w:type="dxa" w:w="755"/>
          </w:tcPr>
          <w:p>
            <w:pPr>
              <w:pStyle w:val="null3"/>
              <w:jc w:val="right"/>
            </w:pPr>
            <w:r>
              <w:rPr>
                <w:rFonts w:ascii="仿宋_GB2312" w:hAnsi="仿宋_GB2312" w:cs="仿宋_GB2312" w:eastAsia="仿宋_GB2312"/>
              </w:rPr>
              <w:t>20,400.00</w:t>
            </w:r>
          </w:p>
        </w:tc>
        <w:tc>
          <w:tcPr>
            <w:tcW w:type="dxa" w:w="755"/>
          </w:tcPr>
          <w:p>
            <w:pPr>
              <w:pStyle w:val="null3"/>
              <w:jc w:val="right"/>
            </w:pPr>
            <w:r>
              <w:rPr>
                <w:rFonts w:ascii="仿宋_GB2312" w:hAnsi="仿宋_GB2312" w:cs="仿宋_GB2312" w:eastAsia="仿宋_GB2312"/>
              </w:rPr>
              <w:t>387,600.00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标的名称：水杯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规格参数：</w:t>
            </w:r>
          </w:p>
          <w:p>
            <w:pPr>
              <w:pStyle w:val="null3"/>
              <w:jc w:val="both"/>
            </w:pPr>
            <w:r>
              <w:rPr>
                <w:rFonts w:ascii="仿宋_GB2312" w:hAnsi="仿宋_GB2312" w:cs="仿宋_GB2312" w:eastAsia="仿宋_GB2312"/>
                <w:sz w:val="21"/>
              </w:rPr>
              <w:t>★1.材质：杯身选用高品质食品接触级材料（推荐PP或改性PCT材质），密封圈为食品级硅胶，严禁含有害化学物质（BPA、BPS）及所有双酚类物质。</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GB4806.7</w:t>
            </w:r>
            <w:r>
              <w:rPr>
                <w:rFonts w:ascii="仿宋_GB2312" w:hAnsi="仿宋_GB2312" w:cs="仿宋_GB2312" w:eastAsia="仿宋_GB2312"/>
                <w:sz w:val="21"/>
                <w:color w:val="000000"/>
              </w:rPr>
              <w:t>标</w:t>
            </w:r>
            <w:r>
              <w:rPr>
                <w:rFonts w:ascii="仿宋_GB2312" w:hAnsi="仿宋_GB2312" w:cs="仿宋_GB2312" w:eastAsia="仿宋_GB2312"/>
                <w:sz w:val="21"/>
                <w:color w:val="000000"/>
              </w:rPr>
              <w:t>准要求</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rPr>
              <w:t>3.结构设计：弹盖式直饮口，防漏性能优异。容量规格：620ml至800ml区间。</w:t>
            </w:r>
          </w:p>
          <w:p>
            <w:pPr>
              <w:pStyle w:val="null3"/>
              <w:jc w:val="both"/>
            </w:pPr>
            <w:r>
              <w:rPr>
                <w:rFonts w:ascii="仿宋_GB2312" w:hAnsi="仿宋_GB2312" w:cs="仿宋_GB2312" w:eastAsia="仿宋_GB2312"/>
                <w:sz w:val="21"/>
              </w:rPr>
              <w:t>4.物理性能：产品需具备优异的抗冲击性，常温下耐摔，低温环境下不脆裂。拉伸强度高，装满水后从桌面高度跌落无损坏、无渗漏。</w:t>
            </w:r>
          </w:p>
          <w:p>
            <w:pPr>
              <w:pStyle w:val="null3"/>
              <w:jc w:val="both"/>
            </w:pPr>
            <w:r>
              <w:rPr>
                <w:rFonts w:ascii="仿宋_GB2312" w:hAnsi="仿宋_GB2312" w:cs="仿宋_GB2312" w:eastAsia="仿宋_GB2312"/>
                <w:sz w:val="21"/>
              </w:rPr>
              <w:t>5.化学性能：耐受高温（95℃沸水）不变形、无异味。可安全盛装各类饮品（含酸性果汁、碳酸饮料），无重金属迁移风险，材质稳定不析出。</w:t>
            </w:r>
          </w:p>
          <w:p>
            <w:pPr>
              <w:pStyle w:val="null3"/>
              <w:jc w:val="both"/>
            </w:pPr>
            <w:r>
              <w:rPr>
                <w:rFonts w:ascii="仿宋_GB2312" w:hAnsi="仿宋_GB2312" w:cs="仿宋_GB2312" w:eastAsia="仿宋_GB2312"/>
                <w:sz w:val="21"/>
              </w:rPr>
              <w:t>6.工艺细节：杯身带刻度线，配可拆卸茶滤，侧向提绳牢固，全身可拆卸清洗，无卫生死角。</w:t>
            </w:r>
          </w:p>
          <w:p>
            <w:pPr>
              <w:pStyle w:val="null3"/>
            </w:pPr>
            <w:r>
              <w:rPr>
                <w:rFonts w:ascii="仿宋_GB2312" w:hAnsi="仿宋_GB2312" w:cs="仿宋_GB2312" w:eastAsia="仿宋_GB2312"/>
                <w:sz w:val="21"/>
              </w:rPr>
              <w:t>注：标</w:t>
            </w:r>
            <w:r>
              <w:rPr>
                <w:rFonts w:ascii="仿宋_GB2312" w:hAnsi="仿宋_GB2312" w:cs="仿宋_GB2312" w:eastAsia="仿宋_GB2312"/>
                <w:sz w:val="21"/>
              </w:rPr>
              <w:t>“★”条款，为重要参数，需提供符合采购规格参数的证明性材料（包括但不限于检测报告、产品说明书、彩页等），否则谈判将被否决。</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）样品</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供应商应在谈判截止时间前向采购代理机构提供</w:t>
            </w:r>
            <w:r>
              <w:rPr>
                <w:rFonts w:ascii="仿宋_GB2312" w:hAnsi="仿宋_GB2312" w:cs="仿宋_GB2312" w:eastAsia="仿宋_GB2312"/>
                <w:sz w:val="21"/>
              </w:rPr>
              <w:t>与谈判响应文件参数一致的水杯</w:t>
            </w:r>
            <w:r>
              <w:rPr>
                <w:rFonts w:ascii="仿宋_GB2312" w:hAnsi="仿宋_GB2312" w:cs="仿宋_GB2312" w:eastAsia="仿宋_GB2312"/>
                <w:sz w:val="21"/>
              </w:rPr>
              <w:t>样品一</w:t>
            </w:r>
            <w:r>
              <w:rPr>
                <w:rFonts w:ascii="仿宋_GB2312" w:hAnsi="仿宋_GB2312" w:cs="仿宋_GB2312" w:eastAsia="仿宋_GB2312"/>
                <w:sz w:val="21"/>
              </w:rPr>
              <w:t>份</w:t>
            </w:r>
            <w:r>
              <w:rPr>
                <w:rFonts w:ascii="仿宋_GB2312" w:hAnsi="仿宋_GB2312" w:cs="仿宋_GB2312" w:eastAsia="仿宋_GB2312"/>
                <w:sz w:val="21"/>
              </w:rPr>
              <w:t>。</w:t>
            </w:r>
            <w:r>
              <w:rPr>
                <w:rFonts w:ascii="仿宋_GB2312" w:hAnsi="仿宋_GB2312" w:cs="仿宋_GB2312" w:eastAsia="仿宋_GB2312"/>
                <w:sz w:val="21"/>
                <w:b/>
              </w:rPr>
              <w:t>未提供样品谈判将被否决。</w:t>
            </w:r>
          </w:p>
          <w:p>
            <w:pPr>
              <w:pStyle w:val="null3"/>
              <w:jc w:val="both"/>
            </w:pPr>
            <w:r>
              <w:rPr>
                <w:rFonts w:ascii="仿宋_GB2312" w:hAnsi="仿宋_GB2312" w:cs="仿宋_GB2312" w:eastAsia="仿宋_GB2312"/>
                <w:sz w:val="21"/>
              </w:rPr>
              <w:t>2.随样品附带资料:产品合格证、材质说明卡。样品外粘贴标签，注明供应商名称。</w:t>
            </w:r>
          </w:p>
          <w:p>
            <w:pPr>
              <w:pStyle w:val="null3"/>
              <w:jc w:val="both"/>
            </w:pPr>
            <w:r>
              <w:rPr>
                <w:rFonts w:ascii="仿宋_GB2312" w:hAnsi="仿宋_GB2312" w:cs="仿宋_GB2312" w:eastAsia="仿宋_GB2312"/>
                <w:sz w:val="21"/>
              </w:rPr>
              <w:t>评审工作结束后，投标产品样品由采购代理机构统一</w:t>
            </w:r>
            <w:r>
              <w:rPr>
                <w:rFonts w:ascii="仿宋_GB2312" w:hAnsi="仿宋_GB2312" w:cs="仿宋_GB2312" w:eastAsia="仿宋_GB2312"/>
                <w:sz w:val="21"/>
              </w:rPr>
              <w:t>保管</w:t>
            </w:r>
            <w:r>
              <w:rPr>
                <w:rFonts w:ascii="仿宋_GB2312" w:hAnsi="仿宋_GB2312" w:cs="仿宋_GB2312" w:eastAsia="仿宋_GB2312"/>
                <w:sz w:val="21"/>
              </w:rPr>
              <w:t>。中标结果公示结束后，</w:t>
            </w:r>
            <w:r>
              <w:rPr>
                <w:rFonts w:ascii="仿宋_GB2312" w:hAnsi="仿宋_GB2312" w:cs="仿宋_GB2312" w:eastAsia="仿宋_GB2312"/>
                <w:sz w:val="21"/>
              </w:rPr>
              <w:t>成交</w:t>
            </w:r>
            <w:r>
              <w:rPr>
                <w:rFonts w:ascii="仿宋_GB2312" w:hAnsi="仿宋_GB2312" w:cs="仿宋_GB2312" w:eastAsia="仿宋_GB2312"/>
                <w:sz w:val="21"/>
              </w:rPr>
              <w:t>供应商的样品由采购人保存，作为验收的依据。未</w:t>
            </w:r>
            <w:r>
              <w:rPr>
                <w:rFonts w:ascii="仿宋_GB2312" w:hAnsi="仿宋_GB2312" w:cs="仿宋_GB2312" w:eastAsia="仿宋_GB2312"/>
                <w:sz w:val="21"/>
              </w:rPr>
              <w:t>成交</w:t>
            </w:r>
            <w:r>
              <w:rPr>
                <w:rFonts w:ascii="仿宋_GB2312" w:hAnsi="仿宋_GB2312" w:cs="仿宋_GB2312" w:eastAsia="仿宋_GB2312"/>
                <w:sz w:val="21"/>
              </w:rPr>
              <w:t>供应商的样品如数退回。</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（三）其他</w:t>
            </w:r>
          </w:p>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采购的数量</w:t>
            </w:r>
            <w:r>
              <w:rPr>
                <w:rFonts w:ascii="仿宋_GB2312" w:hAnsi="仿宋_GB2312" w:cs="仿宋_GB2312" w:eastAsia="仿宋_GB2312"/>
                <w:sz w:val="21"/>
                <w:b/>
              </w:rPr>
              <w:t>20400个</w:t>
            </w:r>
            <w:r>
              <w:rPr>
                <w:rFonts w:ascii="仿宋_GB2312" w:hAnsi="仿宋_GB2312" w:cs="仿宋_GB2312" w:eastAsia="仿宋_GB2312"/>
                <w:sz w:val="21"/>
                <w:b/>
              </w:rPr>
              <w:t>为暂估数量，</w:t>
            </w:r>
            <w:r>
              <w:rPr>
                <w:rFonts w:ascii="仿宋_GB2312" w:hAnsi="仿宋_GB2312" w:cs="仿宋_GB2312" w:eastAsia="仿宋_GB2312"/>
                <w:sz w:val="21"/>
                <w:b/>
              </w:rPr>
              <w:t>以最终成交单价</w:t>
            </w:r>
            <w:r>
              <w:rPr>
                <w:rFonts w:ascii="仿宋_GB2312" w:hAnsi="仿宋_GB2312" w:cs="仿宋_GB2312" w:eastAsia="仿宋_GB2312"/>
                <w:sz w:val="21"/>
                <w:b/>
              </w:rPr>
              <w:t>，据实结算。最终结算金额应不超过预算金额。</w:t>
            </w:r>
          </w:p>
          <w:p>
            <w:pPr>
              <w:pStyle w:val="null3"/>
              <w:jc w:val="both"/>
            </w:pPr>
            <w:r>
              <w:rPr>
                <w:rFonts w:ascii="仿宋_GB2312" w:hAnsi="仿宋_GB2312" w:cs="仿宋_GB2312" w:eastAsia="仿宋_GB2312"/>
                <w:sz w:val="21"/>
                <w:b/>
              </w:rPr>
              <w:t>2.水杯单价最高限价：18元/个</w:t>
            </w:r>
          </w:p>
          <w:p>
            <w:pPr>
              <w:pStyle w:val="null3"/>
              <w:jc w:val="both"/>
            </w:pPr>
            <w:r>
              <w:rPr>
                <w:rFonts w:ascii="仿宋_GB2312" w:hAnsi="仿宋_GB2312" w:cs="仿宋_GB2312" w:eastAsia="仿宋_GB2312"/>
                <w:sz w:val="21"/>
                <w:b/>
              </w:rPr>
              <w:t>3.所属行业：工业</w:t>
            </w:r>
          </w:p>
          <w:p>
            <w:pPr>
              <w:pStyle w:val="null3"/>
            </w:pPr>
            <w:r>
              <w:rPr>
                <w:rFonts w:ascii="仿宋_GB2312" w:hAnsi="仿宋_GB2312" w:cs="仿宋_GB2312" w:eastAsia="仿宋_GB2312"/>
                <w:sz w:val="21"/>
                <w:b/>
              </w:rPr>
              <w:t>4.依据《产品质量法》，后期大批量供货的成品，必须附带合格证、中文标识。</w:t>
            </w:r>
          </w:p>
        </w:tc>
      </w:tr>
    </w:tbl>
    <w:p>
      <w:pPr>
        <w:pStyle w:val="null3"/>
      </w:pPr>
      <w:r>
        <w:rPr>
          <w:rFonts w:ascii="仿宋_GB2312" w:hAnsi="仿宋_GB2312" w:cs="仿宋_GB2312" w:eastAsia="仿宋_GB2312"/>
        </w:rPr>
        <w:t>标的名称：晴雨伞</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规格参数：</w:t>
            </w:r>
          </w:p>
          <w:p>
            <w:pPr>
              <w:pStyle w:val="null3"/>
              <w:jc w:val="both"/>
            </w:pPr>
            <w:r>
              <w:rPr>
                <w:rFonts w:ascii="仿宋_GB2312" w:hAnsi="仿宋_GB2312" w:cs="仿宋_GB2312" w:eastAsia="仿宋_GB2312"/>
                <w:sz w:val="21"/>
              </w:rPr>
              <w:t>1.结构与材质：10骨三折伞，采用钢中棒+纤维伞骨组合，结构稳固。伞布为碰击布+黑胶涂层，兼顾防晒与防雨。中棒抗压能力强，铆钉连接牢固。</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GB/T 23147《晴雨伞》标准要求。</w:t>
            </w:r>
          </w:p>
          <w:p>
            <w:pPr>
              <w:pStyle w:val="null3"/>
              <w:jc w:val="both"/>
            </w:pPr>
            <w:r>
              <w:rPr>
                <w:rFonts w:ascii="仿宋_GB2312" w:hAnsi="仿宋_GB2312" w:cs="仿宋_GB2312" w:eastAsia="仿宋_GB2312"/>
                <w:sz w:val="21"/>
              </w:rPr>
              <w:t>3.防护性能：防晒等级≥UPF50+，有效阻隔紫外线。伞面泼水性能优异（静水压≥1500mmH₂O），遇大雨不渗漏。</w:t>
            </w:r>
          </w:p>
          <w:p>
            <w:pPr>
              <w:pStyle w:val="null3"/>
              <w:jc w:val="both"/>
            </w:pPr>
            <w:r>
              <w:rPr>
                <w:rFonts w:ascii="仿宋_GB2312" w:hAnsi="仿宋_GB2312" w:cs="仿宋_GB2312" w:eastAsia="仿宋_GB2312"/>
                <w:sz w:val="21"/>
              </w:rPr>
              <w:t>★4.机械强度：可抵御≥6级强风不翻折，开关寿命长（≥500次）。</w:t>
            </w:r>
          </w:p>
          <w:p>
            <w:pPr>
              <w:pStyle w:val="null3"/>
              <w:jc w:val="both"/>
            </w:pPr>
            <w:r>
              <w:rPr>
                <w:rFonts w:ascii="仿宋_GB2312" w:hAnsi="仿宋_GB2312" w:cs="仿宋_GB2312" w:eastAsia="仿宋_GB2312"/>
                <w:sz w:val="21"/>
              </w:rPr>
              <w:t>5.成品质量：开伞直径：≥110cm，伞下直径：≥100cm。伞面车缝压胶严密，无渗水。金属件防锈处理，手柄防滑设计，无尖锐边角，无刺激性气味。</w:t>
            </w:r>
          </w:p>
          <w:p>
            <w:pPr>
              <w:pStyle w:val="null3"/>
            </w:pPr>
            <w:r>
              <w:rPr>
                <w:rFonts w:ascii="仿宋_GB2312" w:hAnsi="仿宋_GB2312" w:cs="仿宋_GB2312" w:eastAsia="仿宋_GB2312"/>
                <w:sz w:val="21"/>
              </w:rPr>
              <w:t>注：标</w:t>
            </w:r>
            <w:r>
              <w:rPr>
                <w:rFonts w:ascii="仿宋_GB2312" w:hAnsi="仿宋_GB2312" w:cs="仿宋_GB2312" w:eastAsia="仿宋_GB2312"/>
                <w:sz w:val="21"/>
              </w:rPr>
              <w:t>“★”条款，为重要参数，需提供符合采购规格参数的证明性材料（包括但不限于检测报告、产品说明书、彩页等），否则谈判将被否决。</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）样品</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供应商应在谈判截止时间前向采购代理机构提供</w:t>
            </w:r>
            <w:r>
              <w:rPr>
                <w:rFonts w:ascii="仿宋_GB2312" w:hAnsi="仿宋_GB2312" w:cs="仿宋_GB2312" w:eastAsia="仿宋_GB2312"/>
                <w:sz w:val="21"/>
              </w:rPr>
              <w:t>与谈判响应文件参数一致的晴雨伞</w:t>
            </w:r>
            <w:r>
              <w:rPr>
                <w:rFonts w:ascii="仿宋_GB2312" w:hAnsi="仿宋_GB2312" w:cs="仿宋_GB2312" w:eastAsia="仿宋_GB2312"/>
                <w:sz w:val="21"/>
              </w:rPr>
              <w:t>样品一</w:t>
            </w:r>
            <w:r>
              <w:rPr>
                <w:rFonts w:ascii="仿宋_GB2312" w:hAnsi="仿宋_GB2312" w:cs="仿宋_GB2312" w:eastAsia="仿宋_GB2312"/>
                <w:sz w:val="21"/>
              </w:rPr>
              <w:t>份</w:t>
            </w:r>
            <w:r>
              <w:rPr>
                <w:rFonts w:ascii="仿宋_GB2312" w:hAnsi="仿宋_GB2312" w:cs="仿宋_GB2312" w:eastAsia="仿宋_GB2312"/>
                <w:sz w:val="21"/>
              </w:rPr>
              <w:t>。</w:t>
            </w:r>
            <w:r>
              <w:rPr>
                <w:rFonts w:ascii="仿宋_GB2312" w:hAnsi="仿宋_GB2312" w:cs="仿宋_GB2312" w:eastAsia="仿宋_GB2312"/>
                <w:sz w:val="21"/>
                <w:b/>
              </w:rPr>
              <w:t>未提供样品谈判将被否决。</w:t>
            </w:r>
          </w:p>
          <w:p>
            <w:pPr>
              <w:pStyle w:val="null3"/>
              <w:jc w:val="both"/>
            </w:pPr>
            <w:r>
              <w:rPr>
                <w:rFonts w:ascii="仿宋_GB2312" w:hAnsi="仿宋_GB2312" w:cs="仿宋_GB2312" w:eastAsia="仿宋_GB2312"/>
                <w:sz w:val="21"/>
              </w:rPr>
              <w:t>2.随样品附带资料:产品合格证、材质说明卡。样品外粘贴标签，注明供应商名称。</w:t>
            </w:r>
          </w:p>
          <w:p>
            <w:pPr>
              <w:pStyle w:val="null3"/>
            </w:pPr>
            <w:r>
              <w:rPr>
                <w:rFonts w:ascii="仿宋_GB2312" w:hAnsi="仿宋_GB2312" w:cs="仿宋_GB2312" w:eastAsia="仿宋_GB2312"/>
                <w:sz w:val="21"/>
              </w:rPr>
              <w:t>评审工作结束后，投标产品样品由采购代理机构统一</w:t>
            </w:r>
            <w:r>
              <w:rPr>
                <w:rFonts w:ascii="仿宋_GB2312" w:hAnsi="仿宋_GB2312" w:cs="仿宋_GB2312" w:eastAsia="仿宋_GB2312"/>
                <w:sz w:val="21"/>
              </w:rPr>
              <w:t>保管</w:t>
            </w:r>
            <w:r>
              <w:rPr>
                <w:rFonts w:ascii="仿宋_GB2312" w:hAnsi="仿宋_GB2312" w:cs="仿宋_GB2312" w:eastAsia="仿宋_GB2312"/>
                <w:sz w:val="21"/>
              </w:rPr>
              <w:t>。中标结果公示结束后，</w:t>
            </w:r>
            <w:r>
              <w:rPr>
                <w:rFonts w:ascii="仿宋_GB2312" w:hAnsi="仿宋_GB2312" w:cs="仿宋_GB2312" w:eastAsia="仿宋_GB2312"/>
                <w:sz w:val="21"/>
              </w:rPr>
              <w:t>成交</w:t>
            </w:r>
            <w:r>
              <w:rPr>
                <w:rFonts w:ascii="仿宋_GB2312" w:hAnsi="仿宋_GB2312" w:cs="仿宋_GB2312" w:eastAsia="仿宋_GB2312"/>
                <w:sz w:val="21"/>
              </w:rPr>
              <w:t>供应商的样品由采购人保存，作为验收的依据。未</w:t>
            </w:r>
            <w:r>
              <w:rPr>
                <w:rFonts w:ascii="仿宋_GB2312" w:hAnsi="仿宋_GB2312" w:cs="仿宋_GB2312" w:eastAsia="仿宋_GB2312"/>
                <w:sz w:val="21"/>
              </w:rPr>
              <w:t>成交</w:t>
            </w:r>
            <w:r>
              <w:rPr>
                <w:rFonts w:ascii="仿宋_GB2312" w:hAnsi="仿宋_GB2312" w:cs="仿宋_GB2312" w:eastAsia="仿宋_GB2312"/>
                <w:sz w:val="21"/>
              </w:rPr>
              <w:t>供应商的样品如数退回。</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（三）其他</w:t>
            </w:r>
          </w:p>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采购的数量</w:t>
            </w:r>
            <w:r>
              <w:rPr>
                <w:rFonts w:ascii="仿宋_GB2312" w:hAnsi="仿宋_GB2312" w:cs="仿宋_GB2312" w:eastAsia="仿宋_GB2312"/>
                <w:sz w:val="21"/>
                <w:b/>
              </w:rPr>
              <w:t>20400个</w:t>
            </w:r>
            <w:r>
              <w:rPr>
                <w:rFonts w:ascii="仿宋_GB2312" w:hAnsi="仿宋_GB2312" w:cs="仿宋_GB2312" w:eastAsia="仿宋_GB2312"/>
                <w:sz w:val="21"/>
                <w:b/>
              </w:rPr>
              <w:t>为暂估数量，</w:t>
            </w:r>
            <w:r>
              <w:rPr>
                <w:rFonts w:ascii="仿宋_GB2312" w:hAnsi="仿宋_GB2312" w:cs="仿宋_GB2312" w:eastAsia="仿宋_GB2312"/>
                <w:sz w:val="21"/>
                <w:b/>
              </w:rPr>
              <w:t>以最终成交单价</w:t>
            </w:r>
            <w:r>
              <w:rPr>
                <w:rFonts w:ascii="仿宋_GB2312" w:hAnsi="仿宋_GB2312" w:cs="仿宋_GB2312" w:eastAsia="仿宋_GB2312"/>
                <w:sz w:val="21"/>
                <w:b/>
              </w:rPr>
              <w:t>，据实结算。最终结算金额应不超过预算金额。</w:t>
            </w:r>
          </w:p>
          <w:p>
            <w:pPr>
              <w:pStyle w:val="null3"/>
              <w:jc w:val="both"/>
            </w:pPr>
            <w:r>
              <w:rPr>
                <w:rFonts w:ascii="仿宋_GB2312" w:hAnsi="仿宋_GB2312" w:cs="仿宋_GB2312" w:eastAsia="仿宋_GB2312"/>
                <w:sz w:val="21"/>
                <w:b/>
              </w:rPr>
              <w:t>2.晴雨伞单价最高限价：13元/个</w:t>
            </w:r>
          </w:p>
          <w:p>
            <w:pPr>
              <w:pStyle w:val="null3"/>
              <w:jc w:val="both"/>
            </w:pPr>
            <w:r>
              <w:rPr>
                <w:rFonts w:ascii="仿宋_GB2312" w:hAnsi="仿宋_GB2312" w:cs="仿宋_GB2312" w:eastAsia="仿宋_GB2312"/>
                <w:sz w:val="21"/>
                <w:b/>
              </w:rPr>
              <w:t>3.所属行业：工业</w:t>
            </w:r>
          </w:p>
          <w:p>
            <w:pPr>
              <w:pStyle w:val="null3"/>
              <w:jc w:val="both"/>
            </w:pPr>
            <w:r>
              <w:rPr>
                <w:rFonts w:ascii="仿宋_GB2312" w:hAnsi="仿宋_GB2312" w:cs="仿宋_GB2312" w:eastAsia="仿宋_GB2312"/>
                <w:sz w:val="21"/>
                <w:b/>
              </w:rPr>
              <w:t>4.Logo印制：雨伞需印制采购人Logo，供应商需在收到设计稿后3个工作日内提供样品，经采购人确认后方可批量生产，确保印制清晰、牢固、无错漏。</w:t>
            </w:r>
          </w:p>
          <w:p>
            <w:pPr>
              <w:pStyle w:val="null3"/>
            </w:pPr>
            <w:r>
              <w:rPr>
                <w:rFonts w:ascii="仿宋_GB2312" w:hAnsi="仿宋_GB2312" w:cs="仿宋_GB2312" w:eastAsia="仿宋_GB2312"/>
                <w:sz w:val="21"/>
                <w:b/>
              </w:rPr>
              <w:t>5.依据《产品质量法》，后期大批量供货的成品，必须附带合格证、中文标识。</w:t>
            </w:r>
          </w:p>
        </w:tc>
      </w:tr>
    </w:tbl>
    <w:p>
      <w:pPr>
        <w:pStyle w:val="null3"/>
      </w:pPr>
      <w:r>
        <w:rPr>
          <w:rFonts w:ascii="仿宋_GB2312" w:hAnsi="仿宋_GB2312" w:cs="仿宋_GB2312" w:eastAsia="仿宋_GB2312"/>
        </w:rPr>
        <w:t>标的名称：双肩背包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规格参数：</w:t>
            </w:r>
          </w:p>
          <w:p>
            <w:pPr>
              <w:pStyle w:val="null3"/>
              <w:jc w:val="both"/>
            </w:pPr>
            <w:r>
              <w:rPr>
                <w:rFonts w:ascii="仿宋_GB2312" w:hAnsi="仿宋_GB2312" w:cs="仿宋_GB2312" w:eastAsia="仿宋_GB2312"/>
                <w:sz w:val="21"/>
              </w:rPr>
              <w:t>1.外观与结构：纯色商务/通勤风格，竖款设计。具备基础防泼水功能，保护包内物品。背部透气设计，承重部位双线加固。</w:t>
            </w:r>
          </w:p>
          <w:p>
            <w:pPr>
              <w:pStyle w:val="null3"/>
              <w:jc w:val="both"/>
            </w:pPr>
            <w:r>
              <w:rPr>
                <w:rFonts w:ascii="仿宋_GB2312" w:hAnsi="仿宋_GB2312" w:cs="仿宋_GB2312" w:eastAsia="仿宋_GB2312"/>
                <w:sz w:val="21"/>
              </w:rPr>
              <w:t>2.收纳功能：主仓可容纳15.6寸笔记本电脑及A4文件。内设整理袋，外设多功能副袋，侧兜可放置雨伞或水杯。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3.面料与耐用性：轻量化高密度涤纶面料，带防水涂层，耐磨抗起球。</w:t>
            </w:r>
          </w:p>
          <w:p>
            <w:pPr>
              <w:pStyle w:val="null3"/>
              <w:jc w:val="both"/>
            </w:pPr>
            <w:r>
              <w:rPr>
                <w:rFonts w:ascii="仿宋_GB2312" w:hAnsi="仿宋_GB2312" w:cs="仿宋_GB2312" w:eastAsia="仿宋_GB2312"/>
                <w:sz w:val="21"/>
              </w:rPr>
              <w:t>4.拉链顺滑耐用，织带承重力强。面料色牢度≥4级，耐摩擦、耐日晒，长期使用不褪色。</w:t>
            </w:r>
          </w:p>
          <w:p>
            <w:pPr>
              <w:pStyle w:val="null3"/>
              <w:jc w:val="both"/>
            </w:pPr>
            <w:r>
              <w:rPr>
                <w:rFonts w:ascii="仿宋_GB2312" w:hAnsi="仿宋_GB2312" w:cs="仿宋_GB2312" w:eastAsia="仿宋_GB2312"/>
                <w:sz w:val="21"/>
              </w:rPr>
              <w:t>5.环境耐受：适应极端温差（-20℃至70℃），材质物理性能稳定，不硬化、不开裂。</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QB/T 1333-2018 背提包》及相关</w:t>
            </w:r>
            <w:r>
              <w:rPr>
                <w:rFonts w:ascii="仿宋_GB2312" w:hAnsi="仿宋_GB2312" w:cs="仿宋_GB2312" w:eastAsia="仿宋_GB2312"/>
                <w:sz w:val="21"/>
                <w:color w:val="000000"/>
              </w:rPr>
              <w:t>标</w:t>
            </w:r>
            <w:r>
              <w:rPr>
                <w:rFonts w:ascii="仿宋_GB2312" w:hAnsi="仿宋_GB2312" w:cs="仿宋_GB2312" w:eastAsia="仿宋_GB2312"/>
                <w:sz w:val="21"/>
                <w:color w:val="000000"/>
              </w:rPr>
              <w:t>准和规范。</w:t>
            </w:r>
          </w:p>
          <w:p>
            <w:pPr>
              <w:pStyle w:val="null3"/>
              <w:jc w:val="both"/>
            </w:pPr>
            <w:r>
              <w:rPr>
                <w:rFonts w:ascii="仿宋_GB2312" w:hAnsi="仿宋_GB2312" w:cs="仿宋_GB2312" w:eastAsia="仿宋_GB2312"/>
                <w:sz w:val="21"/>
              </w:rPr>
              <w:t>注：标</w:t>
            </w:r>
            <w:r>
              <w:rPr>
                <w:rFonts w:ascii="仿宋_GB2312" w:hAnsi="仿宋_GB2312" w:cs="仿宋_GB2312" w:eastAsia="仿宋_GB2312"/>
                <w:sz w:val="21"/>
              </w:rPr>
              <w:t>“★”条款，为重要参数，需提供符合采购规格参数的证明性材料（包括但不限于检测报告、产品说明书、彩页等），否则谈判将被否决。</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）样品</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供应商应在谈判截止时间前向采购代理机构提供</w:t>
            </w:r>
            <w:r>
              <w:rPr>
                <w:rFonts w:ascii="仿宋_GB2312" w:hAnsi="仿宋_GB2312" w:cs="仿宋_GB2312" w:eastAsia="仿宋_GB2312"/>
                <w:sz w:val="21"/>
              </w:rPr>
              <w:t>与谈判响应文件参数一致的双肩背包</w:t>
            </w:r>
            <w:r>
              <w:rPr>
                <w:rFonts w:ascii="仿宋_GB2312" w:hAnsi="仿宋_GB2312" w:cs="仿宋_GB2312" w:eastAsia="仿宋_GB2312"/>
                <w:sz w:val="21"/>
              </w:rPr>
              <w:t>样品一</w:t>
            </w:r>
            <w:r>
              <w:rPr>
                <w:rFonts w:ascii="仿宋_GB2312" w:hAnsi="仿宋_GB2312" w:cs="仿宋_GB2312" w:eastAsia="仿宋_GB2312"/>
                <w:sz w:val="21"/>
              </w:rPr>
              <w:t>份</w:t>
            </w:r>
            <w:r>
              <w:rPr>
                <w:rFonts w:ascii="仿宋_GB2312" w:hAnsi="仿宋_GB2312" w:cs="仿宋_GB2312" w:eastAsia="仿宋_GB2312"/>
                <w:sz w:val="21"/>
              </w:rPr>
              <w:t>。</w:t>
            </w:r>
            <w:r>
              <w:rPr>
                <w:rFonts w:ascii="仿宋_GB2312" w:hAnsi="仿宋_GB2312" w:cs="仿宋_GB2312" w:eastAsia="仿宋_GB2312"/>
                <w:sz w:val="21"/>
                <w:b/>
              </w:rPr>
              <w:t>未提供样品谈判将被否决。</w:t>
            </w:r>
          </w:p>
          <w:p>
            <w:pPr>
              <w:pStyle w:val="null3"/>
              <w:jc w:val="both"/>
            </w:pPr>
            <w:r>
              <w:rPr>
                <w:rFonts w:ascii="仿宋_GB2312" w:hAnsi="仿宋_GB2312" w:cs="仿宋_GB2312" w:eastAsia="仿宋_GB2312"/>
                <w:sz w:val="21"/>
              </w:rPr>
              <w:t>2.随样品附带资料:产品合格证、材质说明卡。样品外粘贴标签，注明供应商名称。</w:t>
            </w:r>
          </w:p>
          <w:p>
            <w:pPr>
              <w:pStyle w:val="null3"/>
            </w:pPr>
            <w:r>
              <w:rPr>
                <w:rFonts w:ascii="仿宋_GB2312" w:hAnsi="仿宋_GB2312" w:cs="仿宋_GB2312" w:eastAsia="仿宋_GB2312"/>
                <w:sz w:val="21"/>
              </w:rPr>
              <w:t>评审工作结束后，投标产品样品由采购代理机构统一</w:t>
            </w:r>
            <w:r>
              <w:rPr>
                <w:rFonts w:ascii="仿宋_GB2312" w:hAnsi="仿宋_GB2312" w:cs="仿宋_GB2312" w:eastAsia="仿宋_GB2312"/>
                <w:sz w:val="21"/>
              </w:rPr>
              <w:t>保管</w:t>
            </w:r>
            <w:r>
              <w:rPr>
                <w:rFonts w:ascii="仿宋_GB2312" w:hAnsi="仿宋_GB2312" w:cs="仿宋_GB2312" w:eastAsia="仿宋_GB2312"/>
                <w:sz w:val="21"/>
              </w:rPr>
              <w:t>。中标结果公示结束后，</w:t>
            </w:r>
            <w:r>
              <w:rPr>
                <w:rFonts w:ascii="仿宋_GB2312" w:hAnsi="仿宋_GB2312" w:cs="仿宋_GB2312" w:eastAsia="仿宋_GB2312"/>
                <w:sz w:val="21"/>
              </w:rPr>
              <w:t>成交</w:t>
            </w:r>
            <w:r>
              <w:rPr>
                <w:rFonts w:ascii="仿宋_GB2312" w:hAnsi="仿宋_GB2312" w:cs="仿宋_GB2312" w:eastAsia="仿宋_GB2312"/>
                <w:sz w:val="21"/>
              </w:rPr>
              <w:t>供应商的样品由采购人保存，作为验收的依据。未</w:t>
            </w:r>
            <w:r>
              <w:rPr>
                <w:rFonts w:ascii="仿宋_GB2312" w:hAnsi="仿宋_GB2312" w:cs="仿宋_GB2312" w:eastAsia="仿宋_GB2312"/>
                <w:sz w:val="21"/>
              </w:rPr>
              <w:t>成交</w:t>
            </w:r>
            <w:r>
              <w:rPr>
                <w:rFonts w:ascii="仿宋_GB2312" w:hAnsi="仿宋_GB2312" w:cs="仿宋_GB2312" w:eastAsia="仿宋_GB2312"/>
                <w:sz w:val="21"/>
              </w:rPr>
              <w:t>供应商的样品如数退回。</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（三）其他</w:t>
            </w:r>
          </w:p>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采购的数量</w:t>
            </w:r>
            <w:r>
              <w:rPr>
                <w:rFonts w:ascii="仿宋_GB2312" w:hAnsi="仿宋_GB2312" w:cs="仿宋_GB2312" w:eastAsia="仿宋_GB2312"/>
                <w:sz w:val="21"/>
                <w:b/>
              </w:rPr>
              <w:t>20400个</w:t>
            </w:r>
            <w:r>
              <w:rPr>
                <w:rFonts w:ascii="仿宋_GB2312" w:hAnsi="仿宋_GB2312" w:cs="仿宋_GB2312" w:eastAsia="仿宋_GB2312"/>
                <w:sz w:val="21"/>
                <w:b/>
              </w:rPr>
              <w:t>为暂估数量，</w:t>
            </w:r>
            <w:r>
              <w:rPr>
                <w:rFonts w:ascii="仿宋_GB2312" w:hAnsi="仿宋_GB2312" w:cs="仿宋_GB2312" w:eastAsia="仿宋_GB2312"/>
                <w:sz w:val="21"/>
                <w:b/>
              </w:rPr>
              <w:t>以最终成交单价</w:t>
            </w:r>
            <w:r>
              <w:rPr>
                <w:rFonts w:ascii="仿宋_GB2312" w:hAnsi="仿宋_GB2312" w:cs="仿宋_GB2312" w:eastAsia="仿宋_GB2312"/>
                <w:sz w:val="21"/>
                <w:b/>
              </w:rPr>
              <w:t>，据实结算。最终结算金额应不超过预算金额。</w:t>
            </w:r>
          </w:p>
          <w:p>
            <w:pPr>
              <w:pStyle w:val="null3"/>
              <w:jc w:val="both"/>
            </w:pPr>
            <w:r>
              <w:rPr>
                <w:rFonts w:ascii="仿宋_GB2312" w:hAnsi="仿宋_GB2312" w:cs="仿宋_GB2312" w:eastAsia="仿宋_GB2312"/>
                <w:sz w:val="21"/>
                <w:b/>
              </w:rPr>
              <w:t>2.双肩背包单价最高限价：19元/个</w:t>
            </w:r>
          </w:p>
          <w:p>
            <w:pPr>
              <w:pStyle w:val="null3"/>
              <w:jc w:val="both"/>
            </w:pPr>
            <w:r>
              <w:rPr>
                <w:rFonts w:ascii="仿宋_GB2312" w:hAnsi="仿宋_GB2312" w:cs="仿宋_GB2312" w:eastAsia="仿宋_GB2312"/>
                <w:sz w:val="21"/>
                <w:b/>
              </w:rPr>
              <w:t>3.所属行业：工业</w:t>
            </w:r>
          </w:p>
          <w:p>
            <w:pPr>
              <w:pStyle w:val="null3"/>
              <w:jc w:val="both"/>
            </w:pPr>
            <w:r>
              <w:rPr>
                <w:rFonts w:ascii="仿宋_GB2312" w:hAnsi="仿宋_GB2312" w:cs="仿宋_GB2312" w:eastAsia="仿宋_GB2312"/>
                <w:sz w:val="21"/>
                <w:b/>
              </w:rPr>
              <w:t>4.Logo印制：双肩背包需印制采购人Logo，供应商需在收到设计稿后3个工作日内提供样品，经采购人确认后方可批量生产，确保印制清晰、牢固、无错漏。</w:t>
            </w:r>
          </w:p>
          <w:p>
            <w:pPr>
              <w:pStyle w:val="null3"/>
            </w:pPr>
            <w:r>
              <w:rPr>
                <w:rFonts w:ascii="仿宋_GB2312" w:hAnsi="仿宋_GB2312" w:cs="仿宋_GB2312" w:eastAsia="仿宋_GB2312"/>
                <w:sz w:val="21"/>
                <w:b/>
              </w:rPr>
              <w:t>5.依据《产品质量法》，后期大批量供货的成品，必须附带合格证、中文标识。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合同签订之日起15个工作日内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按采购人所列的送货清单，配送至各指定区县</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进度款，合同签订完成，达到付款条件起10个工作日内，支付合同总金额的30.0%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进度款，货物在规定时间内送达采购人指定的各区县，且验收合格后，达到付款条件起30个工作日内，支付合同总金额的65.0%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进度款，验收合格后6个月内，达到付款条件起10个工作日内，支付合同总金额的5.0%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区县收货后清点数量，查验质量，查验无误后交收货确认单。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本项目“质保期”是指合同设备通过“最终验收”后免费保修的期限，自“最终验收”日（以“最终验收”证书上注明验收日期为准）起，期限为一年。凡国家有规定的，优于竞争性谈判文件要求的，按国家规定执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1）乙方应按照本合同及相关采购文件约定按时供货，迟延供货的，每迟延一天，应按照合同总标的的5‰向甲方支付违约金，迟延超过5天的，甲方有权解除合同并要求乙方支付合同总标的20%的违约金。 2）乙方交付的货物不符合合同约定的交付/质量标准的，甲方有权要求乙方在3日内进行更换，乙方超时未更换的，每迟延一天，应按照合同总标的的5‰向甲方支付违约金，迟延超过5天的，甲方有权解除合同并要求乙方支付合同总标的20%的违约金。 3）乙方交付的货物出现3次以上（含3次）质量未达标的，甲方有权解除合同并要求乙方支付合同总标的20%的违约金。 4）乙方交付的货物、提供的服务不符合本合同规定的，甲方有权拒收，并且乙方须向甲方支付本合同总价10%的违约金。 5）乙方应对供货过程中获悉的甲方所有内部信息或机密数据等进行保密，未经甲方书面同意，不得向任何第三方泄露，乙方违反约定的，甲方有权解除合同并要求乙方支付合同总标的20%的违约金。 6）因乙方原因供货延误，给甲方造成损失或被第三方要求索赔的，乙方应全额承担。 7）因乙方违约行为而引起甲方向乙方主张权利的，乙方除了承担上述违约责任外，还需承担甲方为追究乙方责任所付出的一切费用，包括但不限于诉讼费、保全费、鉴定费、保全担保费、执行费、律师费以及其他甲方为实现债权的合理费用与损失。 （2）其他违约责任由双方平等协商后补充。 （3）未按合同要求提供货物或货物质量不能满足合同要求，甲方应当将乙方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为固定单价合同，谈判报价是供应商应在谈判报价表中标明完成本项目所要求内容且验收合格的所有费用,包括但不限于产品费、运杂费（含保险）、仓储保管费、检测费、招标代理服务费、税金等其他一切相关费用。任何有选择的报价将不予接受，否则按无效谈判处理。 （2）项目属性：货物。 （3）本项目所属行业为：工业,根据《工业和信息化部 国家统计局国家发展和改革委员会 财政部关于印发中小企业划型标准规定的通知》（工信部联企业[2011]300号)规定的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（4）核心产品：双肩背包 （5）按照西安市财政局关于促进政府采购公平竞争优化营商环境的通知&gt;(市财函(2021)431号)规定:供应商登记免费领取谈判文件的，如不参与项目投标，应在递交谈判响应文件截止时间前一日以书面形式告知采购代理机构。否则，采购代理机构可以向财政部门反映情况并提供相应的佐证。供应商一年内累计出现三次该情形，将被监管部门记录为失信行为。 （6）本项目是否属于信用担保试点范围：否 （7）若为授权代表参加投标，响应文件中需提供被授权代表开标前三个月内任意一个月在本单位的社保缴纳证明。 （8）落实政府采购政策《国务院办公厅关于在政府采购中实施本国产品标准及相关政策的通知国办发〔2025〕34号》，本项目为仅有本国产品参与竞争的政府采购项目，本国产品不享受价格扣除评审优惠。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2、提供谈判截止时间前6个月内任意时段的依法缴纳税收的相关凭据（时间以税款所属日期为准），依法免税或无须缴纳税收的供应商应提供相关证明材料；3、提供谈判截止时间前6个月内任意时段的社会保障资金的相关材料，依法不需要缴纳社会保障金的供应商，需具有社保部门出具的证明文件；4、提供具有履行合同所必需的设备和专业技术能力的承诺；5、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2024或2025年度经审计的财务会计报告（至少包括审计报告、资产负债表和利润表，成立时间至提交谈判响应文件截止时间不足一年的可提供成立后任意时段的资产负债表）或提供开标日期前三个月内其基本存款账户开户银行出具的资信证明（需附供应商开户许可证（或基本存款账户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法定代表人授权书（附法定代表人、被授权人身份证复印件）（法定代表人直接参加谈判，须提供法定代表人身份证明）；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谈判响应文件上法定代表人或其授权代表人的签字齐全并加盖公章</w:t>
            </w:r>
          </w:p>
        </w:tc>
        <w:tc>
          <w:tcPr>
            <w:tcW w:type="dxa" w:w="1661"/>
          </w:tcPr>
          <w:p>
            <w:pPr>
              <w:pStyle w:val="null3"/>
            </w:pPr>
            <w:r>
              <w:rPr>
                <w:rFonts w:ascii="仿宋_GB2312" w:hAnsi="仿宋_GB2312" w:cs="仿宋_GB2312" w:eastAsia="仿宋_GB2312"/>
              </w:rPr>
              <w:t>业绩.docx 谈判方案说明书.docx 本国产品说明 中小企业声明函 报价表 中国境内生产的组件成本核算基本规则 资格证明文件.docx 响应文件封面 残疾人福利性单位声明函 其它说明.docx 标的清单 关于符合本国产品标准的声明函 响应函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谈判响应文件格式</w:t>
            </w:r>
          </w:p>
        </w:tc>
        <w:tc>
          <w:tcPr>
            <w:tcW w:type="dxa" w:w="3322"/>
          </w:tcPr>
          <w:p>
            <w:pPr>
              <w:pStyle w:val="null3"/>
            </w:pPr>
            <w:r>
              <w:rPr>
                <w:rFonts w:ascii="仿宋_GB2312" w:hAnsi="仿宋_GB2312" w:cs="仿宋_GB2312" w:eastAsia="仿宋_GB2312"/>
              </w:rPr>
              <w:t>应符合“谈判响应文件格式”要求</w:t>
            </w:r>
          </w:p>
        </w:tc>
        <w:tc>
          <w:tcPr>
            <w:tcW w:type="dxa" w:w="1661"/>
          </w:tcPr>
          <w:p>
            <w:pPr>
              <w:pStyle w:val="null3"/>
            </w:pPr>
            <w:r>
              <w:rPr>
                <w:rFonts w:ascii="仿宋_GB2312" w:hAnsi="仿宋_GB2312" w:cs="仿宋_GB2312" w:eastAsia="仿宋_GB2312"/>
              </w:rPr>
              <w:t>业绩.docx 谈判方案说明书.docx 本国产品说明 中小企业声明函 报价表 中国境内生产的组件成本核算基本规则 资格证明文件.docx 响应文件封面 残疾人福利性单位声明函 其它说明.docx 标的清单 关于符合本国产品标准的声明函 响应函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首次谈判报价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只能有一个有效报价，不得提交选择性报价，且报价不超过采购预算金额或单价最高限价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谈判响应文件内容</w:t>
            </w:r>
          </w:p>
        </w:tc>
        <w:tc>
          <w:tcPr>
            <w:tcW w:type="dxa" w:w="3322"/>
          </w:tcPr>
          <w:p>
            <w:pPr>
              <w:pStyle w:val="null3"/>
            </w:pPr>
            <w:r>
              <w:rPr>
                <w:rFonts w:ascii="仿宋_GB2312" w:hAnsi="仿宋_GB2312" w:cs="仿宋_GB2312" w:eastAsia="仿宋_GB2312"/>
              </w:rPr>
              <w:t>谈判响应文件内容齐全、无遗漏</w:t>
            </w:r>
          </w:p>
        </w:tc>
        <w:tc>
          <w:tcPr>
            <w:tcW w:type="dxa" w:w="1661"/>
          </w:tcPr>
          <w:p>
            <w:pPr>
              <w:pStyle w:val="null3"/>
            </w:pPr>
            <w:r>
              <w:rPr>
                <w:rFonts w:ascii="仿宋_GB2312" w:hAnsi="仿宋_GB2312" w:cs="仿宋_GB2312" w:eastAsia="仿宋_GB2312"/>
              </w:rPr>
              <w:t>业绩.docx 谈判方案说明书.docx 本国产品说明 中小企业声明函 报价表 中国境内生产的组件成本核算基本规则 资格证明文件.docx 响应文件封面 残疾人福利性单位声明函 其它说明.docx 标的清单 关于符合本国产品标准的声明函 响应函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响应函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应满足谈判文件中要求的交货时间</w:t>
            </w:r>
          </w:p>
        </w:tc>
        <w:tc>
          <w:tcPr>
            <w:tcW w:type="dxa" w:w="1661"/>
          </w:tcPr>
          <w:p>
            <w:pPr>
              <w:pStyle w:val="null3"/>
            </w:pPr>
            <w:r>
              <w:rPr>
                <w:rFonts w:ascii="仿宋_GB2312" w:hAnsi="仿宋_GB2312" w:cs="仿宋_GB2312" w:eastAsia="仿宋_GB2312"/>
              </w:rPr>
              <w:t>响应函 商务条款偏离表.docx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应满足谈判文件中要求的质保期</w:t>
            </w:r>
          </w:p>
        </w:tc>
        <w:tc>
          <w:tcPr>
            <w:tcW w:type="dxa" w:w="1661"/>
          </w:tcPr>
          <w:p>
            <w:pPr>
              <w:pStyle w:val="null3"/>
            </w:pPr>
            <w:r>
              <w:rPr>
                <w:rFonts w:ascii="仿宋_GB2312" w:hAnsi="仿宋_GB2312" w:cs="仿宋_GB2312" w:eastAsia="仿宋_GB2312"/>
              </w:rPr>
              <w:t>响应函 商务条款偏离表.docx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应满足谈判文件中要求的交货地点</w:t>
            </w:r>
          </w:p>
        </w:tc>
        <w:tc>
          <w:tcPr>
            <w:tcW w:type="dxa" w:w="1661"/>
          </w:tcPr>
          <w:p>
            <w:pPr>
              <w:pStyle w:val="null3"/>
            </w:pPr>
            <w:r>
              <w:rPr>
                <w:rFonts w:ascii="仿宋_GB2312" w:hAnsi="仿宋_GB2312" w:cs="仿宋_GB2312" w:eastAsia="仿宋_GB2312"/>
              </w:rPr>
              <w:t>响应函 商务条款偏离表.docx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详见附件：谈判方案说明书.docx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详见附件：其它说明.docx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