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D218DD">
      <w:pPr>
        <w:keepNext w:val="0"/>
        <w:keepLines w:val="0"/>
        <w:pageBreakBefore w:val="0"/>
        <w:widowControl w:val="0"/>
        <w:shd w:val="clear"/>
        <w:kinsoku/>
        <w:wordWrap/>
        <w:overflowPunct/>
        <w:topLinePunct w:val="0"/>
        <w:autoSpaceDE/>
        <w:autoSpaceDN/>
        <w:bidi w:val="0"/>
        <w:adjustRightInd/>
        <w:snapToGrid/>
        <w:spacing w:before="157" w:beforeLines="50" w:after="157" w:afterLines="50" w:line="360" w:lineRule="auto"/>
        <w:textAlignment w:val="auto"/>
        <w:rPr>
          <w:rFonts w:hint="eastAsia" w:ascii="宋体" w:hAnsi="宋体" w:eastAsia="宋体" w:cs="宋体"/>
          <w:b/>
          <w:color w:val="auto"/>
          <w:spacing w:val="0"/>
          <w:w w:val="100"/>
          <w:sz w:val="24"/>
          <w:szCs w:val="24"/>
          <w:highlight w:val="none"/>
        </w:rPr>
      </w:pPr>
      <w:bookmarkStart w:id="0" w:name="_GoBack"/>
      <w:bookmarkEnd w:id="0"/>
      <w:r>
        <w:rPr>
          <w:rFonts w:hint="eastAsia" w:ascii="宋体" w:hAnsi="宋体" w:eastAsia="宋体" w:cs="宋体"/>
          <w:b/>
          <w:color w:val="auto"/>
          <w:spacing w:val="0"/>
          <w:w w:val="100"/>
          <w:sz w:val="24"/>
          <w:szCs w:val="24"/>
          <w:highlight w:val="none"/>
        </w:rPr>
        <w:t>附件</w:t>
      </w:r>
    </w:p>
    <w:p w14:paraId="69BB01FA">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jc w:val="both"/>
        <w:textAlignment w:val="auto"/>
        <w:rPr>
          <w:rFonts w:hint="eastAsia" w:ascii="宋体" w:hAnsi="宋体" w:eastAsia="宋体" w:cs="宋体"/>
          <w:color w:val="auto"/>
          <w:spacing w:val="0"/>
          <w:w w:val="100"/>
          <w:kern w:val="0"/>
          <w:sz w:val="24"/>
          <w:szCs w:val="24"/>
          <w:highlight w:val="none"/>
          <w:shd w:val="clear" w:color="auto" w:fill="FFFFFF"/>
        </w:rPr>
      </w:pPr>
      <w:r>
        <w:rPr>
          <w:rFonts w:hint="eastAsia" w:ascii="宋体" w:hAnsi="宋体" w:eastAsia="宋体" w:cs="宋体"/>
          <w:b/>
          <w:bCs/>
          <w:color w:val="auto"/>
          <w:spacing w:val="0"/>
          <w:w w:val="100"/>
          <w:sz w:val="24"/>
          <w:szCs w:val="24"/>
          <w:highlight w:val="none"/>
          <w:lang w:val="en-US" w:eastAsia="zh-CN"/>
        </w:rPr>
        <w:t>一、</w:t>
      </w:r>
      <w:r>
        <w:rPr>
          <w:rFonts w:hint="eastAsia" w:ascii="宋体" w:hAnsi="宋体" w:cs="宋体"/>
          <w:b/>
          <w:bCs/>
          <w:color w:val="auto"/>
          <w:spacing w:val="0"/>
          <w:w w:val="100"/>
          <w:sz w:val="24"/>
          <w:szCs w:val="24"/>
          <w:highlight w:val="none"/>
          <w:lang w:val="en-US" w:eastAsia="zh-CN"/>
        </w:rPr>
        <w:t>“</w:t>
      </w:r>
      <w:r>
        <w:rPr>
          <w:rFonts w:hint="eastAsia" w:ascii="宋体" w:hAnsi="宋体" w:eastAsia="宋体" w:cs="宋体"/>
          <w:b/>
          <w:bCs/>
          <w:color w:val="auto"/>
          <w:spacing w:val="0"/>
          <w:w w:val="100"/>
          <w:sz w:val="24"/>
          <w:szCs w:val="24"/>
          <w:highlight w:val="none"/>
        </w:rPr>
        <w:t>政采贷”业务介绍</w:t>
      </w:r>
    </w:p>
    <w:p w14:paraId="1F221AE5">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cs="宋体"/>
          <w:color w:val="auto"/>
          <w:spacing w:val="0"/>
          <w:w w:val="100"/>
          <w:sz w:val="24"/>
          <w:szCs w:val="24"/>
          <w:highlight w:val="none"/>
          <w:lang w:val="en-US" w:eastAsia="zh-CN"/>
        </w:rPr>
      </w:pPr>
      <w:r>
        <w:rPr>
          <w:rFonts w:hint="eastAsia" w:ascii="宋体" w:hAnsi="宋体" w:eastAsia="宋体" w:cs="宋体"/>
          <w:color w:val="auto"/>
          <w:spacing w:val="0"/>
          <w:w w:val="100"/>
          <w:sz w:val="24"/>
          <w:szCs w:val="24"/>
          <w:highlight w:val="none"/>
          <w:lang w:val="en-US" w:eastAsia="zh-CN"/>
        </w:rPr>
        <w:t>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4109E153">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宋体" w:hAnsi="宋体" w:eastAsia="宋体" w:cs="宋体"/>
          <w:b/>
          <w:bCs/>
          <w:color w:val="auto"/>
          <w:spacing w:val="0"/>
          <w:w w:val="100"/>
          <w:sz w:val="24"/>
          <w:szCs w:val="24"/>
          <w:highlight w:val="none"/>
        </w:rPr>
      </w:pPr>
      <w:r>
        <w:rPr>
          <w:rFonts w:hint="eastAsia" w:ascii="宋体" w:hAnsi="宋体" w:eastAsia="宋体" w:cs="宋体"/>
          <w:color w:val="auto"/>
          <w:spacing w:val="0"/>
          <w:w w:val="100"/>
          <w:sz w:val="24"/>
          <w:szCs w:val="24"/>
          <w:highlight w:val="none"/>
          <w:lang w:val="en-US" w:eastAsia="zh-CN"/>
        </w:rPr>
        <w:t>二、</w:t>
      </w:r>
      <w:r>
        <w:rPr>
          <w:rFonts w:hint="eastAsia" w:ascii="宋体" w:hAnsi="宋体" w:eastAsia="宋体" w:cs="宋体"/>
          <w:b/>
          <w:bCs/>
          <w:color w:val="auto"/>
          <w:spacing w:val="0"/>
          <w:w w:val="100"/>
          <w:sz w:val="24"/>
          <w:szCs w:val="24"/>
          <w:highlight w:val="none"/>
        </w:rPr>
        <w:t>供应商融资申请操作手册</w:t>
      </w:r>
    </w:p>
    <w:p w14:paraId="672220B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5D8962BE">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业务办理流程简介</w:t>
      </w:r>
    </w:p>
    <w:p w14:paraId="608B1AF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2DF4F2C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业务流程简图如下：</w:t>
      </w:r>
    </w:p>
    <w:p w14:paraId="37EAA445">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12840" cy="3211195"/>
            <wp:effectExtent l="0" t="0" r="16510" b="825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4"/>
                    <a:stretch>
                      <a:fillRect/>
                    </a:stretch>
                  </pic:blipFill>
                  <pic:spPr>
                    <a:xfrm>
                      <a:off x="0" y="0"/>
                      <a:ext cx="6212840" cy="3211195"/>
                    </a:xfrm>
                    <a:prstGeom prst="rect">
                      <a:avLst/>
                    </a:prstGeom>
                    <a:noFill/>
                    <a:ln w="9525">
                      <a:noFill/>
                    </a:ln>
                  </pic:spPr>
                </pic:pic>
              </a:graphicData>
            </a:graphic>
          </wp:inline>
        </w:drawing>
      </w:r>
    </w:p>
    <w:p w14:paraId="58CA6B84">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未签订采购合同申请流程</w:t>
      </w:r>
    </w:p>
    <w:p w14:paraId="1CAAD1C2">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11570" cy="3230245"/>
            <wp:effectExtent l="0" t="0" r="17780" b="8255"/>
            <wp:docPr id="14"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7"/>
                    <pic:cNvPicPr>
                      <a:picLocks noChangeAspect="1"/>
                    </pic:cNvPicPr>
                  </pic:nvPicPr>
                  <pic:blipFill>
                    <a:blip r:embed="rId5"/>
                    <a:stretch>
                      <a:fillRect/>
                    </a:stretch>
                  </pic:blipFill>
                  <pic:spPr>
                    <a:xfrm>
                      <a:off x="0" y="0"/>
                      <a:ext cx="6211570" cy="3230245"/>
                    </a:xfrm>
                    <a:prstGeom prst="rect">
                      <a:avLst/>
                    </a:prstGeom>
                    <a:noFill/>
                    <a:ln w="9525">
                      <a:noFill/>
                    </a:ln>
                  </pic:spPr>
                </pic:pic>
              </a:graphicData>
            </a:graphic>
          </wp:inline>
        </w:drawing>
      </w:r>
    </w:p>
    <w:p w14:paraId="750B10E5">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已签订采购合同申请流程</w:t>
      </w:r>
    </w:p>
    <w:p w14:paraId="7A8AA2E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1、首页</w:t>
      </w:r>
    </w:p>
    <w:p w14:paraId="318B0283">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系统首页主要呈现省政府采购合同融资相关政策法规、申请基本流程、成交数据统计，及供应商帮助内容，供应商企业可由“我的账户”登录，如下图：</w:t>
      </w:r>
    </w:p>
    <w:p w14:paraId="56A0F13E">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21095" cy="3560445"/>
            <wp:effectExtent l="0" t="0" r="8255" b="1905"/>
            <wp:docPr id="15"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IMG_258"/>
                    <pic:cNvPicPr>
                      <a:picLocks noChangeAspect="1"/>
                    </pic:cNvPicPr>
                  </pic:nvPicPr>
                  <pic:blipFill>
                    <a:blip r:embed="rId6"/>
                    <a:stretch>
                      <a:fillRect/>
                    </a:stretch>
                  </pic:blipFill>
                  <pic:spPr>
                    <a:xfrm>
                      <a:off x="0" y="0"/>
                      <a:ext cx="6221095" cy="3560445"/>
                    </a:xfrm>
                    <a:prstGeom prst="rect">
                      <a:avLst/>
                    </a:prstGeom>
                    <a:noFill/>
                    <a:ln w="9525">
                      <a:noFill/>
                    </a:ln>
                  </pic:spPr>
                </pic:pic>
              </a:graphicData>
            </a:graphic>
          </wp:inline>
        </w:drawing>
      </w:r>
    </w:p>
    <w:p w14:paraId="6A5D9621">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2、登录及企业资料确认</w:t>
      </w:r>
    </w:p>
    <w:p w14:paraId="495EF24B">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2.1账号登录</w:t>
      </w:r>
    </w:p>
    <w:p w14:paraId="5C43D38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陕西省政府采购网的注册用户，点击首页右上角“我的账户”按钮，凭企业统一信用代码直接登录，默认密码为123456，即进入首页默认账号登录，如下图：</w:t>
      </w:r>
    </w:p>
    <w:p w14:paraId="077E5915">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45860" cy="2994025"/>
            <wp:effectExtent l="0" t="0" r="2540" b="15875"/>
            <wp:docPr id="18"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IMG_259"/>
                    <pic:cNvPicPr>
                      <a:picLocks noChangeAspect="1"/>
                    </pic:cNvPicPr>
                  </pic:nvPicPr>
                  <pic:blipFill>
                    <a:blip r:embed="rId7"/>
                    <a:stretch>
                      <a:fillRect/>
                    </a:stretch>
                  </pic:blipFill>
                  <pic:spPr>
                    <a:xfrm>
                      <a:off x="0" y="0"/>
                      <a:ext cx="6245860" cy="2994025"/>
                    </a:xfrm>
                    <a:prstGeom prst="rect">
                      <a:avLst/>
                    </a:prstGeom>
                    <a:noFill/>
                    <a:ln w="9525">
                      <a:noFill/>
                    </a:ln>
                  </pic:spPr>
                </pic:pic>
              </a:graphicData>
            </a:graphic>
          </wp:inline>
        </w:drawing>
      </w:r>
    </w:p>
    <w:p w14:paraId="7F448140">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初次登录的平台的用户，需修改登录密码，并绑定在陕西省政府采购网预留的手机号，绑定手机后,提示绑定成功，返回首页。</w:t>
      </w:r>
    </w:p>
    <w:p w14:paraId="08312D10">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2.2企业资料确认</w:t>
      </w:r>
    </w:p>
    <w:p w14:paraId="5A684823">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供应商企业首次登录成功后须确认或补全企业资料，点击“提交”按钮，提示修改成功：：</w:t>
      </w:r>
    </w:p>
    <w:p w14:paraId="495B9B0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199505" cy="3799840"/>
            <wp:effectExtent l="0" t="0" r="10795" b="10160"/>
            <wp:docPr id="2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descr="IMG_260"/>
                    <pic:cNvPicPr>
                      <a:picLocks noChangeAspect="1"/>
                    </pic:cNvPicPr>
                  </pic:nvPicPr>
                  <pic:blipFill>
                    <a:blip r:embed="rId8"/>
                    <a:stretch>
                      <a:fillRect/>
                    </a:stretch>
                  </pic:blipFill>
                  <pic:spPr>
                    <a:xfrm>
                      <a:off x="0" y="0"/>
                      <a:ext cx="6199505" cy="3799840"/>
                    </a:xfrm>
                    <a:prstGeom prst="rect">
                      <a:avLst/>
                    </a:prstGeom>
                    <a:noFill/>
                    <a:ln w="9525">
                      <a:noFill/>
                    </a:ln>
                  </pic:spPr>
                </pic:pic>
              </a:graphicData>
            </a:graphic>
          </wp:inline>
        </w:drawing>
      </w:r>
    </w:p>
    <w:p w14:paraId="7D73C20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资料保存成功，即可以开始使用本系统所有功能。</w:t>
      </w:r>
    </w:p>
    <w:p w14:paraId="50E25B9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3、可融资项目及融资意向</w:t>
      </w:r>
    </w:p>
    <w:p w14:paraId="22950E9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3.1查看可融资项目</w:t>
      </w:r>
    </w:p>
    <w:p w14:paraId="752353E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如果企业有中标项目或成交合同，在“可融资项目”菜单中可见所有项目和合同的列表，如下图：</w:t>
      </w:r>
    </w:p>
    <w:p w14:paraId="27CD53FE">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21730" cy="3174365"/>
            <wp:effectExtent l="0" t="0" r="7620" b="6985"/>
            <wp:docPr id="1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61"/>
                    <pic:cNvPicPr>
                      <a:picLocks noChangeAspect="1"/>
                    </pic:cNvPicPr>
                  </pic:nvPicPr>
                  <pic:blipFill>
                    <a:blip r:embed="rId9"/>
                    <a:stretch>
                      <a:fillRect/>
                    </a:stretch>
                  </pic:blipFill>
                  <pic:spPr>
                    <a:xfrm>
                      <a:off x="0" y="0"/>
                      <a:ext cx="6221730" cy="3174365"/>
                    </a:xfrm>
                    <a:prstGeom prst="rect">
                      <a:avLst/>
                    </a:prstGeom>
                    <a:noFill/>
                    <a:ln w="9525">
                      <a:noFill/>
                    </a:ln>
                  </pic:spPr>
                </pic:pic>
              </a:graphicData>
            </a:graphic>
          </wp:inline>
        </w:drawing>
      </w:r>
    </w:p>
    <w:p w14:paraId="406DE4A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在列表页选择需要融资的项目或合同，点击“申请贷款”按钮开始发起融资申请，跳转到填写融资意向书页面。</w:t>
      </w:r>
    </w:p>
    <w:p w14:paraId="7466F396">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如果可融资项目较多，可通过输入关键字搜索相关中标项目或成交合同。</w:t>
      </w:r>
    </w:p>
    <w:p w14:paraId="5315C37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3.2、填写信用融资意向书</w:t>
      </w:r>
    </w:p>
    <w:p w14:paraId="3EE5BB71">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35A3AF28">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640195" cy="8249285"/>
            <wp:effectExtent l="0" t="0" r="8255" b="18415"/>
            <wp:docPr id="21"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IMG_262"/>
                    <pic:cNvPicPr>
                      <a:picLocks noChangeAspect="1"/>
                    </pic:cNvPicPr>
                  </pic:nvPicPr>
                  <pic:blipFill>
                    <a:blip r:embed="rId10"/>
                    <a:stretch>
                      <a:fillRect/>
                    </a:stretch>
                  </pic:blipFill>
                  <pic:spPr>
                    <a:xfrm>
                      <a:off x="0" y="0"/>
                      <a:ext cx="6640195" cy="8249285"/>
                    </a:xfrm>
                    <a:prstGeom prst="rect">
                      <a:avLst/>
                    </a:prstGeom>
                    <a:noFill/>
                    <a:ln w="9525">
                      <a:noFill/>
                    </a:ln>
                  </pic:spPr>
                </pic:pic>
              </a:graphicData>
            </a:graphic>
          </wp:inline>
        </w:drawing>
      </w:r>
    </w:p>
    <w:p w14:paraId="260484F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确认填写信息完整无误后点击“下一步”，选择意向银行：</w:t>
      </w:r>
    </w:p>
    <w:p w14:paraId="2F94553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29350" cy="2212340"/>
            <wp:effectExtent l="0" t="0" r="0" b="16510"/>
            <wp:docPr id="17"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63"/>
                    <pic:cNvPicPr>
                      <a:picLocks noChangeAspect="1"/>
                    </pic:cNvPicPr>
                  </pic:nvPicPr>
                  <pic:blipFill>
                    <a:blip r:embed="rId11"/>
                    <a:stretch>
                      <a:fillRect/>
                    </a:stretch>
                  </pic:blipFill>
                  <pic:spPr>
                    <a:xfrm>
                      <a:off x="0" y="0"/>
                      <a:ext cx="6229350" cy="2212340"/>
                    </a:xfrm>
                    <a:prstGeom prst="rect">
                      <a:avLst/>
                    </a:prstGeom>
                    <a:noFill/>
                    <a:ln w="9525">
                      <a:noFill/>
                    </a:ln>
                  </pic:spPr>
                </pic:pic>
              </a:graphicData>
            </a:graphic>
          </wp:inline>
        </w:drawing>
      </w:r>
    </w:p>
    <w:p w14:paraId="02523D9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点击“提交融资意向”按钮，提示提交成功，并可直接点击“申请进度”查看融资进度：</w:t>
      </w:r>
    </w:p>
    <w:p w14:paraId="7F8E7D96">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199505" cy="2235835"/>
            <wp:effectExtent l="0" t="0" r="10795" b="12065"/>
            <wp:docPr id="20"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descr="IMG_264"/>
                    <pic:cNvPicPr>
                      <a:picLocks noChangeAspect="1"/>
                    </pic:cNvPicPr>
                  </pic:nvPicPr>
                  <pic:blipFill>
                    <a:blip r:embed="rId12"/>
                    <a:stretch>
                      <a:fillRect/>
                    </a:stretch>
                  </pic:blipFill>
                  <pic:spPr>
                    <a:xfrm>
                      <a:off x="0" y="0"/>
                      <a:ext cx="6199505" cy="2235835"/>
                    </a:xfrm>
                    <a:prstGeom prst="rect">
                      <a:avLst/>
                    </a:prstGeom>
                    <a:noFill/>
                    <a:ln w="9525">
                      <a:noFill/>
                    </a:ln>
                  </pic:spPr>
                </pic:pic>
              </a:graphicData>
            </a:graphic>
          </wp:inline>
        </w:drawing>
      </w:r>
    </w:p>
    <w:p w14:paraId="4580A76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4、查看申请审批进度</w:t>
      </w:r>
    </w:p>
    <w:p w14:paraId="652BA13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提交融资意向后，银行对申请的审批进度会在“我的贷款-申请进度”中显示，如有审批进度更新，会在相关节点有消息提示，可按消息提示的内容进行相关操作：</w:t>
      </w:r>
    </w:p>
    <w:p w14:paraId="68E87ED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00140" cy="3049270"/>
            <wp:effectExtent l="0" t="0" r="10160" b="17780"/>
            <wp:docPr id="25"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descr="IMG_265"/>
                    <pic:cNvPicPr>
                      <a:picLocks noChangeAspect="1"/>
                    </pic:cNvPicPr>
                  </pic:nvPicPr>
                  <pic:blipFill>
                    <a:blip r:embed="rId13"/>
                    <a:stretch>
                      <a:fillRect/>
                    </a:stretch>
                  </pic:blipFill>
                  <pic:spPr>
                    <a:xfrm>
                      <a:off x="0" y="0"/>
                      <a:ext cx="6200140" cy="3049270"/>
                    </a:xfrm>
                    <a:prstGeom prst="rect">
                      <a:avLst/>
                    </a:prstGeom>
                    <a:noFill/>
                    <a:ln w="9525">
                      <a:noFill/>
                    </a:ln>
                  </pic:spPr>
                </pic:pic>
              </a:graphicData>
            </a:graphic>
          </wp:inline>
        </w:drawing>
      </w:r>
    </w:p>
    <w:p w14:paraId="5A3F722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当申请被银行拒绝或其他原因终止时，企业可以重新发起申请。</w:t>
      </w:r>
    </w:p>
    <w:p w14:paraId="534D49C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5、查看贷款还款进度</w:t>
      </w:r>
    </w:p>
    <w:p w14:paraId="615104B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企业与银行签订贷款合同后，可在“我的贷款-贷款合同”中查看该笔贷款的还款执行进度:</w:t>
      </w:r>
    </w:p>
    <w:p w14:paraId="76BA84DD">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52845" cy="2964815"/>
            <wp:effectExtent l="0" t="0" r="14605" b="6985"/>
            <wp:docPr id="22"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descr="IMG_266"/>
                    <pic:cNvPicPr>
                      <a:picLocks noChangeAspect="1"/>
                    </pic:cNvPicPr>
                  </pic:nvPicPr>
                  <pic:blipFill>
                    <a:blip r:embed="rId14"/>
                    <a:stretch>
                      <a:fillRect/>
                    </a:stretch>
                  </pic:blipFill>
                  <pic:spPr>
                    <a:xfrm>
                      <a:off x="0" y="0"/>
                      <a:ext cx="6252845" cy="2964815"/>
                    </a:xfrm>
                    <a:prstGeom prst="rect">
                      <a:avLst/>
                    </a:prstGeom>
                    <a:noFill/>
                    <a:ln w="9525">
                      <a:noFill/>
                    </a:ln>
                  </pic:spPr>
                </pic:pic>
              </a:graphicData>
            </a:graphic>
          </wp:inline>
        </w:drawing>
      </w:r>
    </w:p>
    <w:p w14:paraId="1AAF6780">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val="0"/>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6、查看融资服务及产品详情</w:t>
      </w:r>
    </w:p>
    <w:p w14:paraId="41686B3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val="0"/>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6.1查看融资服务产品列表</w:t>
      </w:r>
    </w:p>
    <w:p w14:paraId="3ED2F5B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val="0"/>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所有人都可通过该模块了解产品的基本情况，并且选择筛选条件查看最适合的融资产品：</w:t>
      </w:r>
    </w:p>
    <w:p w14:paraId="540A160B">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193790" cy="3915410"/>
            <wp:effectExtent l="0" t="0" r="16510" b="8890"/>
            <wp:docPr id="24"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descr="IMG_267"/>
                    <pic:cNvPicPr>
                      <a:picLocks noChangeAspect="1"/>
                    </pic:cNvPicPr>
                  </pic:nvPicPr>
                  <pic:blipFill>
                    <a:blip r:embed="rId15"/>
                    <a:stretch>
                      <a:fillRect/>
                    </a:stretch>
                  </pic:blipFill>
                  <pic:spPr>
                    <a:xfrm>
                      <a:off x="0" y="0"/>
                      <a:ext cx="6193790" cy="3915410"/>
                    </a:xfrm>
                    <a:prstGeom prst="rect">
                      <a:avLst/>
                    </a:prstGeom>
                    <a:noFill/>
                    <a:ln w="9525">
                      <a:noFill/>
                    </a:ln>
                  </pic:spPr>
                </pic:pic>
              </a:graphicData>
            </a:graphic>
          </wp:inline>
        </w:drawing>
      </w:r>
    </w:p>
    <w:p w14:paraId="27343A5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6.2查看融资产品详情</w:t>
      </w:r>
    </w:p>
    <w:p w14:paraId="678EDAB5">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点击贷款超市的产品图片，可查看该产品的详情：</w:t>
      </w:r>
    </w:p>
    <w:p w14:paraId="56B55B6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16650" cy="6026150"/>
            <wp:effectExtent l="0" t="0" r="12700" b="12700"/>
            <wp:docPr id="19"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descr="IMG_268"/>
                    <pic:cNvPicPr>
                      <a:picLocks noChangeAspect="1"/>
                    </pic:cNvPicPr>
                  </pic:nvPicPr>
                  <pic:blipFill>
                    <a:blip r:embed="rId16"/>
                    <a:stretch>
                      <a:fillRect/>
                    </a:stretch>
                  </pic:blipFill>
                  <pic:spPr>
                    <a:xfrm>
                      <a:off x="0" y="0"/>
                      <a:ext cx="6216650" cy="6026150"/>
                    </a:xfrm>
                    <a:prstGeom prst="rect">
                      <a:avLst/>
                    </a:prstGeom>
                    <a:noFill/>
                    <a:ln w="9525">
                      <a:noFill/>
                    </a:ln>
                  </pic:spPr>
                </pic:pic>
              </a:graphicData>
            </a:graphic>
          </wp:inline>
        </w:drawing>
      </w:r>
    </w:p>
    <w:p w14:paraId="6AD6908B">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在登录状态下点击我要申请贷款可跳转到查看可融资项目页面。</w:t>
      </w:r>
    </w:p>
    <w:p w14:paraId="36E3E872">
      <w:pPr>
        <w:keepNext w:val="0"/>
        <w:keepLines w:val="0"/>
        <w:pageBreakBefore w:val="0"/>
        <w:widowControl w:val="0"/>
        <w:shd w:val="clear"/>
        <w:kinsoku/>
        <w:wordWrap/>
        <w:overflowPunct/>
        <w:topLinePunct w:val="0"/>
        <w:autoSpaceDE/>
        <w:autoSpaceDN/>
        <w:bidi w:val="0"/>
        <w:adjustRightInd/>
        <w:snapToGrid w:val="0"/>
        <w:spacing w:line="360" w:lineRule="auto"/>
        <w:ind w:left="0" w:firstLine="480" w:firstLineChars="200"/>
        <w:jc w:val="left"/>
        <w:textAlignment w:val="auto"/>
        <w:rPr>
          <w:rFonts w:hint="eastAsia" w:ascii="宋体" w:hAnsi="宋体" w:eastAsia="宋体" w:cs="宋体"/>
          <w:b w:val="0"/>
          <w:bCs w:val="0"/>
          <w:color w:val="auto"/>
          <w:spacing w:val="0"/>
          <w:w w:val="100"/>
          <w:kern w:val="0"/>
          <w:sz w:val="24"/>
          <w:szCs w:val="24"/>
          <w:highlight w:val="none"/>
          <w:shd w:val="clear" w:color="auto" w:fill="FFFFFF"/>
          <w:lang w:val="en-US" w:eastAsia="zh-CN" w:bidi="ar-SA"/>
        </w:rPr>
      </w:pPr>
    </w:p>
    <w:sectPr>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GYXIQ+Frutiger-Cn">
    <w:altName w:val="宋体"/>
    <w:panose1 w:val="020B0604020202020204"/>
    <w:charset w:val="86"/>
    <w:family w:val="swiss"/>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FmZWVhNDRmNTgzOTg3YTkyNzUwNWU2Nzk1Y2FhZTkifQ=="/>
  </w:docVars>
  <w:rsids>
    <w:rsidRoot w:val="00000000"/>
    <w:rsid w:val="017D4C6B"/>
    <w:rsid w:val="047A39D5"/>
    <w:rsid w:val="04D93652"/>
    <w:rsid w:val="05086422"/>
    <w:rsid w:val="06E31D05"/>
    <w:rsid w:val="08D613F6"/>
    <w:rsid w:val="0BB24A46"/>
    <w:rsid w:val="0C142961"/>
    <w:rsid w:val="110E3E23"/>
    <w:rsid w:val="15F44AD8"/>
    <w:rsid w:val="178F10EE"/>
    <w:rsid w:val="179E3A27"/>
    <w:rsid w:val="17A80401"/>
    <w:rsid w:val="220A23E4"/>
    <w:rsid w:val="22121299"/>
    <w:rsid w:val="256040C9"/>
    <w:rsid w:val="25A03144"/>
    <w:rsid w:val="26F76026"/>
    <w:rsid w:val="27205FA0"/>
    <w:rsid w:val="27EC60E8"/>
    <w:rsid w:val="2E3F51C4"/>
    <w:rsid w:val="309D08C8"/>
    <w:rsid w:val="30B17ECF"/>
    <w:rsid w:val="32B75C71"/>
    <w:rsid w:val="32FF4F22"/>
    <w:rsid w:val="34913A96"/>
    <w:rsid w:val="37CF580A"/>
    <w:rsid w:val="3D1141CF"/>
    <w:rsid w:val="40204729"/>
    <w:rsid w:val="4A530629"/>
    <w:rsid w:val="4E854A1D"/>
    <w:rsid w:val="5CC46711"/>
    <w:rsid w:val="605204D7"/>
    <w:rsid w:val="6753700F"/>
    <w:rsid w:val="70D4585D"/>
    <w:rsid w:val="722A12B4"/>
    <w:rsid w:val="7DD7764C"/>
    <w:rsid w:val="7E2E7A36"/>
    <w:rsid w:val="7FB010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qFormat="1"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8">
    <w:name w:val="Default Paragraph Font"/>
    <w:semiHidden/>
    <w:uiPriority w:val="0"/>
  </w:style>
  <w:style w:type="table" w:default="1" w:styleId="7">
    <w:name w:val="Normal Table"/>
    <w:semiHidden/>
    <w:qFormat/>
    <w:uiPriority w:val="0"/>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AGYXIQ+Frutiger-Cn" w:hAnsi="Times New Roman" w:eastAsia="AGYXIQ+Frutiger-Cn" w:cs="AGYXIQ+Frutiger-Cn"/>
      <w:color w:val="000000"/>
      <w:sz w:val="24"/>
      <w:szCs w:val="24"/>
      <w:lang w:val="en-US" w:eastAsia="zh-CN" w:bidi="ar-SA"/>
    </w:rPr>
  </w:style>
  <w:style w:type="paragraph" w:styleId="3">
    <w:name w:val="Normal Indent"/>
    <w:basedOn w:val="1"/>
    <w:next w:val="4"/>
    <w:qFormat/>
    <w:uiPriority w:val="0"/>
    <w:pPr>
      <w:ind w:firstLine="420"/>
    </w:pPr>
  </w:style>
  <w:style w:type="paragraph" w:styleId="4">
    <w:name w:val="toc 4"/>
    <w:basedOn w:val="1"/>
    <w:next w:val="1"/>
    <w:unhideWhenUsed/>
    <w:qFormat/>
    <w:uiPriority w:val="39"/>
    <w:pPr>
      <w:ind w:left="1260" w:leftChars="600"/>
    </w:pPr>
  </w:style>
  <w:style w:type="paragraph" w:styleId="5">
    <w:name w:val="footer"/>
    <w:basedOn w:val="1"/>
    <w:unhideWhenUsed/>
    <w:qFormat/>
    <w:uiPriority w:val="0"/>
    <w:pPr>
      <w:tabs>
        <w:tab w:val="center" w:pos="4153"/>
        <w:tab w:val="right" w:pos="8306"/>
      </w:tabs>
      <w:snapToGrid w:val="0"/>
      <w:jc w:val="left"/>
    </w:pPr>
    <w:rPr>
      <w:rFonts w:hint="eastAsia" w:ascii="宋体" w:hAnsi="宋体" w:eastAsia="仿宋" w:cs="宋体"/>
      <w:kern w:val="0"/>
      <w:sz w:val="18"/>
      <w:szCs w:val="18"/>
    </w:r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paragraph" w:customStyle="1" w:styleId="9">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1479</Words>
  <Characters>1496</Characters>
  <Lines>0</Lines>
  <Paragraphs>0</Paragraphs>
  <TotalTime>4</TotalTime>
  <ScaleCrop>false</ScaleCrop>
  <LinksUpToDate>false</LinksUpToDate>
  <CharactersWithSpaces>1496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2024-05-22T08:56:00Z</dcterms:created>
  <dc:creator>123</dc:creator>
  <cp:lastModifiedBy>小芝麻･ө･</cp:lastModifiedBy>
  <dcterms:modified xsi:type="dcterms:W3CDTF">2026-06-30T09:11:48Z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7A24BA93D0B645119358950BCAB80C50_13</vt:lpwstr>
  </property>
</Properties>
</file>