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版本号：SCZB2026-CS-1214-001..1B120260612001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教学楼及操场维修项目(二次)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SCZB2026-CS-1214-001..1B1</w:t>
      </w:r>
      <w:r>
        <w:br/>
      </w:r>
      <w:r>
        <w:br/>
      </w:r>
      <w:r>
        <w:br/>
      </w:r>
    </w:p>
    <w:p>
      <w:pPr>
        <w:pStyle w:val="null3"/>
        <w:jc w:val="center"/>
        <w:outlineLvl w:val="2"/>
      </w:pPr>
      <w:r>
        <w:rPr>
          <w:rFonts w:ascii="仿宋_GB2312" w:hAnsi="仿宋_GB2312" w:cs="仿宋_GB2312" w:eastAsia="仿宋_GB2312"/>
          <w:sz w:val="28"/>
          <w:b/>
        </w:rPr>
        <w:t>西安市阳光中学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西安市阳光中学</w:t>
      </w:r>
      <w:r>
        <w:rPr>
          <w:rFonts w:ascii="仿宋_GB2312" w:hAnsi="仿宋_GB2312" w:cs="仿宋_GB2312" w:eastAsia="仿宋_GB2312"/>
        </w:rPr>
        <w:t>委托，拟对</w:t>
      </w:r>
      <w:r>
        <w:rPr>
          <w:rFonts w:ascii="仿宋_GB2312" w:hAnsi="仿宋_GB2312" w:cs="仿宋_GB2312" w:eastAsia="仿宋_GB2312"/>
        </w:rPr>
        <w:t>教学楼及操场维修项目(二次)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SCZB2026-CS-1214-001..1B1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教学楼及操场维修项目(二次)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本项目建设地点位于陕西省西安市雁塔区西安市阳光中学。主要施工内容为：1.对教学楼墙裙进行维修2.对操场进行下陷部分进行维修。具体技术标准和要求详见本项目磋商文件、工程量清单和施工图纸。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采购包1（教学楼及操场维修项目）：属于专门面向中小企业采购。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3、企业资质：供应商具有建设行政主管部门颁发的建筑工程施工总承包三级及以上资质，同时具有有效的安全生产许可证。</w:t>
      </w:r>
    </w:p>
    <w:p>
      <w:pPr>
        <w:pStyle w:val="null3"/>
      </w:pPr>
      <w:r>
        <w:rPr>
          <w:rFonts w:ascii="仿宋_GB2312" w:hAnsi="仿宋_GB2312" w:cs="仿宋_GB2312" w:eastAsia="仿宋_GB2312"/>
        </w:rPr>
        <w:t>4、拟派项目负责人资质及专业要求：供应商拟派项目经理具备建筑工程专业二级及以上注册建造师执业资格及有效的安全生产考核合格证书（B证）且在本单位注册，同时提供无在建工程承诺书。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西安市阳光中学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西安市雁塔区西影路阳光小区内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029-82625361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代理服务费收费标准：本项目固定收费18000.00元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西安市阳光中学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西安市阳光中学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西安市阳光中学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728,000.00</w:t>
      </w:r>
    </w:p>
    <w:p>
      <w:pPr>
        <w:pStyle w:val="null3"/>
      </w:pPr>
      <w:r>
        <w:rPr>
          <w:rFonts w:ascii="仿宋_GB2312" w:hAnsi="仿宋_GB2312" w:cs="仿宋_GB2312" w:eastAsia="仿宋_GB2312"/>
        </w:rPr>
        <w:t>采购包最高限价（元）: 727,839.75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教学楼及操场维修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728,000.00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标的名称：教学楼及操场维修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jc w:val="both"/>
            </w:pPr>
            <w:r>
              <w:rPr>
                <w:rFonts w:ascii="仿宋_GB2312" w:hAnsi="仿宋_GB2312" w:cs="仿宋_GB2312" w:eastAsia="仿宋_GB2312"/>
              </w:rPr>
              <w:t>教学楼及操场维修项目，具体内容详见工程量清单及竞争性磋商文件。</w:t>
            </w:r>
          </w:p>
          <w:p>
            <w:pPr>
              <w:pStyle w:val="null3"/>
              <w:jc w:val="both"/>
            </w:pPr>
            <w:r>
              <w:rPr>
                <w:rFonts w:ascii="仿宋_GB2312" w:hAnsi="仿宋_GB2312" w:cs="仿宋_GB2312" w:eastAsia="仿宋_GB2312"/>
                <w:b/>
              </w:rPr>
              <w:t>二、工程内容和施工地点、计划工期</w:t>
            </w:r>
          </w:p>
          <w:p>
            <w:pPr>
              <w:pStyle w:val="null3"/>
              <w:jc w:val="both"/>
            </w:pPr>
            <w:r>
              <w:rPr>
                <w:rFonts w:ascii="仿宋_GB2312" w:hAnsi="仿宋_GB2312" w:cs="仿宋_GB2312" w:eastAsia="仿宋_GB2312"/>
              </w:rPr>
              <w:t>1.工程内容：1.对教学楼墙裙进行维修2.对操场进行下陷部分进行维修等施工内容，详见设计图纸及工程量清单。</w:t>
            </w:r>
          </w:p>
          <w:p>
            <w:pPr>
              <w:pStyle w:val="null3"/>
              <w:jc w:val="both"/>
            </w:pPr>
            <w:r>
              <w:rPr>
                <w:rFonts w:ascii="仿宋_GB2312" w:hAnsi="仿宋_GB2312" w:cs="仿宋_GB2312" w:eastAsia="仿宋_GB2312"/>
              </w:rPr>
              <w:t>2.工程地点：陕西省西安市西安市雁塔区阳光中学</w:t>
            </w:r>
          </w:p>
          <w:p>
            <w:pPr>
              <w:pStyle w:val="null3"/>
              <w:jc w:val="both"/>
            </w:pPr>
            <w:r>
              <w:rPr>
                <w:rFonts w:ascii="仿宋_GB2312" w:hAnsi="仿宋_GB2312" w:cs="仿宋_GB2312" w:eastAsia="仿宋_GB2312"/>
              </w:rPr>
              <w:t>3.工期：</w:t>
            </w:r>
            <w:r>
              <w:rPr>
                <w:rFonts w:ascii="仿宋_GB2312" w:hAnsi="仿宋_GB2312" w:cs="仿宋_GB2312" w:eastAsia="仿宋_GB2312"/>
                <w:b/>
              </w:rPr>
              <w:t>自合同签订之日起</w:t>
            </w:r>
            <w:r>
              <w:rPr>
                <w:rFonts w:ascii="仿宋_GB2312" w:hAnsi="仿宋_GB2312" w:cs="仿宋_GB2312" w:eastAsia="仿宋_GB2312"/>
                <w:b/>
              </w:rPr>
              <w:t>35</w:t>
            </w:r>
            <w:r>
              <w:rPr>
                <w:rFonts w:ascii="仿宋_GB2312" w:hAnsi="仿宋_GB2312" w:cs="仿宋_GB2312" w:eastAsia="仿宋_GB2312"/>
                <w:b/>
              </w:rPr>
              <w:t>日历天内</w:t>
            </w:r>
            <w:r>
              <w:rPr>
                <w:rFonts w:ascii="仿宋_GB2312" w:hAnsi="仿宋_GB2312" w:cs="仿宋_GB2312" w:eastAsia="仿宋_GB2312"/>
              </w:rPr>
              <w:t>。</w:t>
            </w:r>
          </w:p>
          <w:p>
            <w:pPr>
              <w:pStyle w:val="null3"/>
              <w:jc w:val="both"/>
            </w:pPr>
            <w:r>
              <w:rPr>
                <w:rFonts w:ascii="仿宋_GB2312" w:hAnsi="仿宋_GB2312" w:cs="仿宋_GB2312" w:eastAsia="仿宋_GB2312"/>
                <w:b/>
              </w:rPr>
              <w:t>三、工程量清单编制说明</w:t>
            </w:r>
          </w:p>
          <w:p>
            <w:pPr>
              <w:pStyle w:val="null3"/>
              <w:jc w:val="both"/>
            </w:pPr>
            <w:r>
              <w:rPr>
                <w:rFonts w:ascii="仿宋_GB2312" w:hAnsi="仿宋_GB2312" w:cs="仿宋_GB2312" w:eastAsia="仿宋_GB2312"/>
              </w:rPr>
              <w:t>1、《陕西省建设工程工程量清单计价标准（2025）》、《陕西省房屋建筑与装饰工程工程量计算标准》、《陕西省通用安装工程工程量计算标准》、《陕西省房屋建筑与装饰工程消耗量定额（2025）》、《陕西省通用安装工程消耗量定额（2025）》、《陕西省市政工程消耗量定额（2025）》、《陕西省房屋建筑与装饰工程基价表（2025）》、《陕西省通用安装工程基价表（2025）》、《陕西省市政工程基价表（2025）》、《陕西省建设工程费用规则（2025）》、《陕西省建设工程施工机械台班费用定额（2025）》及《陕西省建设工程施工仪器仪表台班费用定额（2025）》；</w:t>
            </w:r>
          </w:p>
          <w:p>
            <w:pPr>
              <w:pStyle w:val="null3"/>
              <w:jc w:val="both"/>
            </w:pPr>
            <w:r>
              <w:rPr>
                <w:rFonts w:ascii="仿宋_GB2312" w:hAnsi="仿宋_GB2312" w:cs="仿宋_GB2312" w:eastAsia="仿宋_GB2312"/>
              </w:rPr>
              <w:t>2、正常施工组织设计及施工方法；</w:t>
            </w:r>
          </w:p>
          <w:p>
            <w:pPr>
              <w:pStyle w:val="null3"/>
              <w:jc w:val="both"/>
            </w:pPr>
            <w:r>
              <w:rPr>
                <w:rFonts w:ascii="仿宋_GB2312" w:hAnsi="仿宋_GB2312" w:cs="仿宋_GB2312" w:eastAsia="仿宋_GB2312"/>
              </w:rPr>
              <w:t>3、施工图中采用的相关标准图集、施工规范及验收规范；</w:t>
            </w:r>
          </w:p>
          <w:p>
            <w:pPr>
              <w:pStyle w:val="null3"/>
              <w:jc w:val="both"/>
            </w:pPr>
            <w:r>
              <w:rPr>
                <w:rFonts w:ascii="仿宋_GB2312" w:hAnsi="仿宋_GB2312" w:cs="仿宋_GB2312" w:eastAsia="仿宋_GB2312"/>
              </w:rPr>
              <w:t>4、材料设备推荐品 牌及技术要求；</w:t>
            </w:r>
          </w:p>
          <w:p>
            <w:pPr>
              <w:pStyle w:val="null3"/>
              <w:jc w:val="both"/>
            </w:pPr>
            <w:r>
              <w:rPr>
                <w:rFonts w:ascii="仿宋_GB2312" w:hAnsi="仿宋_GB2312" w:cs="仿宋_GB2312" w:eastAsia="仿宋_GB2312"/>
              </w:rPr>
              <w:t>5、材料价格依据陕西最近期信息价及部分市场价计取；</w:t>
            </w:r>
          </w:p>
          <w:p>
            <w:pPr>
              <w:pStyle w:val="null3"/>
              <w:jc w:val="both"/>
            </w:pPr>
            <w:r>
              <w:rPr>
                <w:rFonts w:ascii="仿宋_GB2312" w:hAnsi="仿宋_GB2312" w:cs="仿宋_GB2312" w:eastAsia="仿宋_GB2312"/>
              </w:rPr>
              <w:t>6、本工程量清单编制采用广联达云计价平台 GCCP7.0（版本号： 7.5000.23.2）。（二）工程量清单：电子版另附。</w:t>
            </w:r>
          </w:p>
          <w:p>
            <w:pPr>
              <w:pStyle w:val="null3"/>
              <w:jc w:val="both"/>
            </w:pPr>
            <w:r>
              <w:rPr>
                <w:rFonts w:ascii="仿宋_GB2312" w:hAnsi="仿宋_GB2312" w:cs="仿宋_GB2312" w:eastAsia="仿宋_GB2312"/>
              </w:rPr>
              <w:t>（三）图纸：电子版另附。</w:t>
            </w:r>
          </w:p>
          <w:p>
            <w:pPr>
              <w:pStyle w:val="null3"/>
              <w:jc w:val="both"/>
            </w:pPr>
            <w:r>
              <w:rPr>
                <w:rFonts w:ascii="仿宋_GB2312" w:hAnsi="仿宋_GB2312" w:cs="仿宋_GB2312" w:eastAsia="仿宋_GB2312"/>
                <w:b/>
              </w:rPr>
              <w:t>四、施工要求</w:t>
            </w:r>
          </w:p>
          <w:p>
            <w:pPr>
              <w:pStyle w:val="null3"/>
              <w:jc w:val="both"/>
            </w:pPr>
            <w:r>
              <w:rPr>
                <w:rFonts w:ascii="仿宋_GB2312" w:hAnsi="仿宋_GB2312" w:cs="仿宋_GB2312" w:eastAsia="仿宋_GB2312"/>
              </w:rPr>
              <w:t>1、成交供应商必须配备足够的人员和充足的机械设备进入实施，确保按时保质保量完成任务。</w:t>
            </w:r>
          </w:p>
          <w:p>
            <w:pPr>
              <w:pStyle w:val="null3"/>
              <w:jc w:val="both"/>
            </w:pPr>
            <w:r>
              <w:rPr>
                <w:rFonts w:ascii="仿宋_GB2312" w:hAnsi="仿宋_GB2312" w:cs="仿宋_GB2312" w:eastAsia="仿宋_GB2312"/>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rPr>
              <w:t>3、严格遵守西安市关于控制扬尘污染、治污减霾的相关规定，并承担一切安全事故或违规处罚所带来的经济及法律责任。</w:t>
            </w:r>
          </w:p>
          <w:p>
            <w:pPr>
              <w:pStyle w:val="null3"/>
              <w:jc w:val="both"/>
            </w:pPr>
            <w:r>
              <w:rPr>
                <w:rFonts w:ascii="仿宋_GB2312" w:hAnsi="仿宋_GB2312" w:cs="仿宋_GB2312" w:eastAsia="仿宋_GB2312"/>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jc w:val="both"/>
            </w:pPr>
            <w:r>
              <w:rPr>
                <w:rFonts w:ascii="仿宋_GB2312" w:hAnsi="仿宋_GB2312" w:cs="仿宋_GB2312" w:eastAsia="仿宋_GB2312"/>
              </w:rPr>
              <w:t>承包方在垃圾外运中应严格遵守港务区关于治污减霾相关规定，服从采购人相关部门管理，严格做好治污减霾工作。</w:t>
            </w:r>
          </w:p>
          <w:p>
            <w:pPr>
              <w:pStyle w:val="null3"/>
              <w:jc w:val="both"/>
            </w:pPr>
            <w:r>
              <w:rPr>
                <w:rFonts w:ascii="仿宋_GB2312" w:hAnsi="仿宋_GB2312" w:cs="仿宋_GB2312" w:eastAsia="仿宋_GB2312"/>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b/>
              </w:rPr>
              <w:t>五、商务要求</w:t>
            </w:r>
          </w:p>
          <w:p>
            <w:pPr>
              <w:pStyle w:val="null3"/>
              <w:jc w:val="both"/>
            </w:pPr>
            <w:r>
              <w:rPr>
                <w:rFonts w:ascii="仿宋_GB2312" w:hAnsi="仿宋_GB2312" w:cs="仿宋_GB2312" w:eastAsia="仿宋_GB2312"/>
              </w:rPr>
              <w:t>（一）付款方式：</w:t>
            </w:r>
          </w:p>
          <w:p>
            <w:pPr>
              <w:pStyle w:val="null3"/>
              <w:jc w:val="both"/>
            </w:pPr>
            <w:r>
              <w:rPr>
                <w:rFonts w:ascii="仿宋_GB2312" w:hAnsi="仿宋_GB2312" w:cs="仿宋_GB2312" w:eastAsia="仿宋_GB2312"/>
              </w:rPr>
              <w:t>（</w:t>
            </w:r>
            <w:r>
              <w:rPr>
                <w:rFonts w:ascii="仿宋_GB2312" w:hAnsi="仿宋_GB2312" w:cs="仿宋_GB2312" w:eastAsia="仿宋_GB2312"/>
              </w:rPr>
              <w:t>1）承包人进场后，10个工作日内，预付合同总价40%预付款；</w:t>
            </w:r>
          </w:p>
          <w:p>
            <w:pPr>
              <w:pStyle w:val="null3"/>
              <w:jc w:val="both"/>
            </w:pPr>
            <w:r>
              <w:rPr>
                <w:rFonts w:ascii="仿宋_GB2312" w:hAnsi="仿宋_GB2312" w:cs="仿宋_GB2312" w:eastAsia="仿宋_GB2312"/>
              </w:rPr>
              <w:t>（2）工程竣工验收合格后，30个工作日内，支付至合同总价的80%；</w:t>
            </w:r>
          </w:p>
          <w:p>
            <w:pPr>
              <w:pStyle w:val="null3"/>
              <w:jc w:val="both"/>
            </w:pPr>
            <w:r>
              <w:rPr>
                <w:rFonts w:ascii="仿宋_GB2312" w:hAnsi="仿宋_GB2312" w:cs="仿宋_GB2312" w:eastAsia="仿宋_GB2312"/>
              </w:rPr>
              <w:t>（3）竣工结算审计完成后，30个工作日内，支付至结算总价的100%。</w:t>
            </w:r>
          </w:p>
          <w:p>
            <w:pPr>
              <w:pStyle w:val="null3"/>
              <w:jc w:val="both"/>
            </w:pPr>
            <w:r>
              <w:rPr>
                <w:rFonts w:ascii="仿宋_GB2312" w:hAnsi="仿宋_GB2312" w:cs="仿宋_GB2312" w:eastAsia="仿宋_GB2312"/>
              </w:rPr>
              <w:t>（二）结算方式：付款之前，乙方开全额合规发票至甲方。</w:t>
            </w:r>
          </w:p>
          <w:p>
            <w:pPr>
              <w:pStyle w:val="null3"/>
              <w:jc w:val="both"/>
            </w:pPr>
            <w:r>
              <w:rPr>
                <w:rFonts w:ascii="仿宋_GB2312" w:hAnsi="仿宋_GB2312" w:cs="仿宋_GB2312" w:eastAsia="仿宋_GB2312"/>
              </w:rPr>
              <w:t>（三）支付方式：银行转账。</w:t>
            </w:r>
          </w:p>
          <w:p>
            <w:pPr>
              <w:pStyle w:val="null3"/>
              <w:jc w:val="both"/>
            </w:pPr>
            <w:r>
              <w:rPr>
                <w:rFonts w:ascii="仿宋_GB2312" w:hAnsi="仿宋_GB2312" w:cs="仿宋_GB2312" w:eastAsia="仿宋_GB2312"/>
              </w:rPr>
              <w:t>5.2质量要求：</w:t>
            </w:r>
          </w:p>
          <w:p>
            <w:pPr>
              <w:pStyle w:val="null3"/>
              <w:jc w:val="both"/>
            </w:pPr>
            <w:r>
              <w:rPr>
                <w:rFonts w:ascii="仿宋_GB2312" w:hAnsi="仿宋_GB2312" w:cs="仿宋_GB2312" w:eastAsia="仿宋_GB2312"/>
              </w:rPr>
              <w:t>达到国家及行业现行技术规范标准，符合国家及行业验收合格标准。</w:t>
            </w:r>
          </w:p>
          <w:p>
            <w:pPr>
              <w:pStyle w:val="null3"/>
              <w:jc w:val="both"/>
            </w:pPr>
            <w:r>
              <w:rPr>
                <w:rFonts w:ascii="仿宋_GB2312" w:hAnsi="仿宋_GB2312" w:cs="仿宋_GB2312" w:eastAsia="仿宋_GB2312"/>
              </w:rPr>
              <w:t>5.3质量保修期：</w:t>
            </w:r>
          </w:p>
          <w:p>
            <w:pPr>
              <w:pStyle w:val="null3"/>
              <w:jc w:val="both"/>
            </w:pPr>
            <w:r>
              <w:rPr>
                <w:rFonts w:ascii="仿宋_GB2312" w:hAnsi="仿宋_GB2312" w:cs="仿宋_GB2312" w:eastAsia="仿宋_GB2312"/>
              </w:rPr>
              <w:t>质量保修期其他工程为二年，防水工程为五年。</w:t>
            </w:r>
          </w:p>
          <w:p>
            <w:pPr>
              <w:pStyle w:val="null3"/>
              <w:jc w:val="both"/>
            </w:pPr>
            <w:r>
              <w:rPr>
                <w:rFonts w:ascii="仿宋_GB2312" w:hAnsi="仿宋_GB2312" w:cs="仿宋_GB2312" w:eastAsia="仿宋_GB2312"/>
              </w:rPr>
              <w:t>5.4售后质保及响应时效</w:t>
            </w:r>
          </w:p>
          <w:p>
            <w:pPr>
              <w:pStyle w:val="null3"/>
              <w:jc w:val="both"/>
            </w:pPr>
            <w:r>
              <w:rPr>
                <w:rFonts w:ascii="仿宋_GB2312" w:hAnsi="仿宋_GB2312" w:cs="仿宋_GB2312" w:eastAsia="仿宋_GB2312"/>
              </w:rPr>
              <w:t>①质保期：验收合格后</w:t>
            </w:r>
            <w:r>
              <w:rPr>
                <w:rFonts w:ascii="仿宋_GB2312" w:hAnsi="仿宋_GB2312" w:cs="仿宋_GB2312" w:eastAsia="仿宋_GB2312"/>
                <w:u w:val="single"/>
              </w:rPr>
              <w:t>24</w:t>
            </w:r>
            <w:r>
              <w:rPr>
                <w:rFonts w:ascii="仿宋_GB2312" w:hAnsi="仿宋_GB2312" w:cs="仿宋_GB2312" w:eastAsia="仿宋_GB2312"/>
              </w:rPr>
              <w:t>个月。</w:t>
            </w:r>
          </w:p>
          <w:p>
            <w:pPr>
              <w:pStyle w:val="null3"/>
            </w:pPr>
            <w:r>
              <w:rPr>
                <w:rFonts w:ascii="仿宋_GB2312" w:hAnsi="仿宋_GB2312" w:cs="仿宋_GB2312" w:eastAsia="仿宋_GB2312"/>
              </w:rPr>
              <w:t>②响应时效：即时响应(包括电话响应)；电话响应无法解决 24小时内到达现场。修复时间</w:t>
            </w:r>
            <w:r>
              <w:rPr>
                <w:rFonts w:ascii="仿宋_GB2312" w:hAnsi="仿宋_GB2312" w:cs="仿宋_GB2312" w:eastAsia="仿宋_GB2312"/>
                <w:u w:val="single"/>
              </w:rPr>
              <w:t xml:space="preserve"> 48 </w:t>
            </w:r>
            <w:r>
              <w:rPr>
                <w:rFonts w:ascii="仿宋_GB2312" w:hAnsi="仿宋_GB2312" w:cs="仿宋_GB2312" w:eastAsia="仿宋_GB2312"/>
              </w:rPr>
              <w:t>小时内解决;如</w:t>
            </w:r>
            <w:r>
              <w:rPr>
                <w:rFonts w:ascii="仿宋_GB2312" w:hAnsi="仿宋_GB2312" w:cs="仿宋_GB2312" w:eastAsia="仿宋_GB2312"/>
                <w:u w:val="single"/>
              </w:rPr>
              <w:t xml:space="preserve"> 48 </w:t>
            </w:r>
            <w:r>
              <w:rPr>
                <w:rFonts w:ascii="仿宋_GB2312" w:hAnsi="仿宋_GB2312" w:cs="仿宋_GB2312" w:eastAsia="仿宋_GB2312"/>
              </w:rPr>
              <w:t>小时内无法修复，应提供相应解决方案。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本项目报价不得超过最高限价，报价超过最高限价的供应商，按无效标处理。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CDATA[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关于深入开展政府采购脱贫地区农副产品工作推进乡村产业振兴的实施意见>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陕西省中小企业政府采购信用融资办法>的通知》（陕财办采〔2018〕23 号）。 1.1.6《关于扩大政府采购支持绿色建材促进建筑品质提升政策实施范围的通知》（财库〔2022〕35号）、《财政部办公厅 住房城乡建设部办公厅 工业和信息化部办公厅关于印发<政府采购支持绿色建材促进建筑品质提升政策项目实施指南>的通知》（财办库〔2023〕52号）。 1.1.7《国务院办公厅关于在政府采购中实施本国产品标准及相关政策的通知》（国办发〔2025〕34号）。 若享受以上政策优惠的企业，提供相应声明函或品目清单范围内产品的有效认证证书或相关证明。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3.异常低价审查 3.1评审中出现下列情形之一的，评标委员会应当启动异常低价投标审查程序： 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标委员会基于专业判断，认为供应商报价过低，有可能影响产品质量或者不能诚信履约的其他情形。 相关法律法规对供应商报价有规定的，从其规定。 3.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4.项目成交后，成交供应商须无偿提供最终报价的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供应商拟派项目经理具备建筑工程专业二级及以上注册建造师执业资格及有效的安全生产考核合格证书（B证）且在本单位注册，同时提供无在建工程承诺书。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评审中出现下列情形之一的，磋商小组应当启动异常低价投标审查程序：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①有清晰合理的工期计划措施，实施进度安排合理，可行性强，具有详细明确的实施进度计划表，能够确保工程如期保质完成的得5分；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①措施完整全面，能够从多方面保证安全生产，且合理性、可行性强的得8分； ②措施基本完整全面，能从多个方面确保安全生产，基本合理、可行的得5分； ③措施不完整、全面，但有一定的可行性的得2分；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①进度安排合理、可行、科学、符合项目实施需求，施工进度表或网络图表达清晰、合理的得5分； ②进度安排较合理、较可行、较符合项目实施需求，施工进度表或网络图表达较不明确、较不清晰的得3分； ③进度安排合理和可行较差的，施工进度表或网络图表达不明确、不清晰、较混乱的得1分；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供应商提供2022年1月1日至今类似项目业绩，每提供一个有效业绩得3分，最高得15分。（业绩以合同或中标通知书为准，时间以合同签订时间或中标通知书时间为准）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①针对本项目拟派的项目负责人具备建筑工程专业高级及以上职称得2分，中级职称得1分。 注：须提供合格有效的相关证书及供应商近半年内任意一个月为其缴纳社保的证明材料复印件并加盖公章，未提供不得分。 ②项目负责人具有丰富的工作经验，提供近三年（2022年1月1日至响应文件递交截止之日，以合同签订时间为准）的类似业绩，每提供一份得2分，最高4分。 注：以供应商加盖公章的合同复印件为准，合同中须体现项目负责人的姓名。项目负责人业绩与企业业绩不可重复计算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