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版本号：xmzbfz-2026073001.5B120260825001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2026年市发改委重大课题研究项目(二次)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xmzbfz-2026073001.5B1</w:t>
      </w:r>
      <w:r>
        <w:br/>
      </w:r>
      <w:r>
        <w:br/>
      </w:r>
      <w:r>
        <w:br/>
      </w:r>
    </w:p>
    <w:p>
      <w:pPr>
        <w:pStyle w:val="null3"/>
        <w:jc w:val="center"/>
        <w:outlineLvl w:val="2"/>
      </w:pPr>
      <w:r>
        <w:rPr>
          <w:rFonts w:ascii="仿宋_GB2312" w:hAnsi="仿宋_GB2312" w:cs="仿宋_GB2312" w:eastAsia="仿宋_GB2312"/>
          <w:sz w:val="28"/>
          <w:b/>
        </w:rPr>
        <w:t>西安市发展和改革委员会（本级）</w:t>
      </w:r>
    </w:p>
    <w:p>
      <w:pPr>
        <w:pStyle w:val="null3"/>
        <w:jc w:val="center"/>
        <w:outlineLvl w:val="2"/>
      </w:pPr>
      <w:r>
        <w:rPr>
          <w:rFonts w:ascii="仿宋_GB2312" w:hAnsi="仿宋_GB2312" w:cs="仿宋_GB2312" w:eastAsia="仿宋_GB2312"/>
          <w:sz w:val="28"/>
          <w:b/>
        </w:rPr>
        <w:t>陕西雄迈工程项目管理有限公司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陕西雄迈工程项目管理有限公司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西安市发展和改革委员会（本级）</w:t>
      </w:r>
      <w:r>
        <w:rPr>
          <w:rFonts w:ascii="仿宋_GB2312" w:hAnsi="仿宋_GB2312" w:cs="仿宋_GB2312" w:eastAsia="仿宋_GB2312"/>
        </w:rPr>
        <w:t>委托，拟对</w:t>
      </w:r>
      <w:r>
        <w:rPr>
          <w:rFonts w:ascii="仿宋_GB2312" w:hAnsi="仿宋_GB2312" w:cs="仿宋_GB2312" w:eastAsia="仿宋_GB2312"/>
        </w:rPr>
        <w:t>2026年市发改委重大课题研究项目(二次)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xmzbfz-2026073001.5B1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2026年市发改委重大课题研究项目(二次)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市发改委重大课题研究项目；主要功能或目标:围绕规划类、综合类、产业类、社会类4大研究领域设置伴随式服务团队，分别由分管领导牵头，相关处室具体负责。其中，规划类重点围绕“十五五”西安都市圈同城化、城市高质量发展及低空经济典型应用场景拓展开展；综合类重点围绕经济运行监测新模式、西咸一体化发展、电力市场分析与研究开展；产业类重点围绕场景培育和开放、“人工智能+”、专业服务能级提升开展；社会类重点围绕生活性服务业发展、基本公共服务均等化与物业服务收费管理开展，涉及4个牵头处室和18个参与处室；同时设置1个委学术委交流咨询服务项目，重点开展专家评审、研究成果汇编等服务，形成“4+1”研究计划。</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采购包1（西安市发改委学术委员会学术研究交流咨询服务）：属于专门面向中小企业采购。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委托书：供应商应授权合法的人员参加磋商全过程，其中法定代表人直接参加磋商的，须提供法定代表人身份证复印件加盖公章，并与营业执照上信息一致。法定代表人授权代表参加磋商的，须提供法定代表人授权书及授权代表身份证复印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西安市发展和改革委员会（本级）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西安市发展和改革委员会（本级）</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029-86788871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陕西雄迈工程项目管理有限公司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西安市雁塔区电子三路西京国际电气中心A座906室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029-68969891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代理服务费收费标准：按定额收取，由成交供应商在领取成交通知书前一次性支付。 采购包1（西安市发改委学术委员会学术研究交流咨询服务）服务费：2,500.00元。 名 称：陕西雄迈工程项目管理有限公司 开户行：中国民生银行股份有限公司西安太白路支行 账 号：6323 3691 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西安市发展和改革委员会（本级）</w:t>
      </w:r>
      <w:r>
        <w:rPr>
          <w:rFonts w:ascii="仿宋_GB2312" w:hAnsi="仿宋_GB2312" w:cs="仿宋_GB2312" w:eastAsia="仿宋_GB2312"/>
        </w:rPr>
        <w:t>和</w:t>
      </w:r>
      <w:r>
        <w:rPr>
          <w:rFonts w:ascii="仿宋_GB2312" w:hAnsi="仿宋_GB2312" w:cs="仿宋_GB2312" w:eastAsia="仿宋_GB2312"/>
        </w:rPr>
        <w:t>陕西雄迈工程项目管理有限公司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西安市发展和改革委员会（本级）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陕西雄迈工程项目管理有限公司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西安市发展和改革委员会（本级）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陕西雄迈工程项目管理有限公司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联系人：王工</w:t>
      </w:r>
    </w:p>
    <w:p>
      <w:pPr>
        <w:pStyle w:val="null3"/>
      </w:pPr>
      <w:r>
        <w:rPr>
          <w:rFonts w:ascii="仿宋_GB2312" w:hAnsi="仿宋_GB2312" w:cs="仿宋_GB2312" w:eastAsia="仿宋_GB2312"/>
        </w:rPr>
        <w:t>联系电话：029-68969891</w:t>
      </w:r>
    </w:p>
    <w:p>
      <w:pPr>
        <w:pStyle w:val="null3"/>
      </w:pPr>
      <w:r>
        <w:rPr>
          <w:rFonts w:ascii="仿宋_GB2312" w:hAnsi="仿宋_GB2312" w:cs="仿宋_GB2312" w:eastAsia="仿宋_GB2312"/>
        </w:rPr>
        <w:t>地址：陕西省西安市雁塔区电子三路西京电气中心A座906室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市发改委重大课题研究项目；主要功能或目标:围绕规划类、综合类、产业类、社会类4大研究领域设置伴随式服务团队，分别由分管领导牵头，相关处室具体负责。其中，规划类重点围绕“十五五”西安都市圈同城化、城市高质量发展及低空经济典型应用场景拓展开展；综合类重点围绕经济运行监测新模式、西咸一体化发展、电力市场分析与研究开展；产业类重点围绕场景培育和开放、“人工智能+”、专业服务能级提升开展；社会类重点围绕生活性服务业发展、基本公共服务均等化与物业服务收费管理开展，涉及4个牵头处室和18个参与处室；同时设置1个委学术委交流咨询服务项目，重点开展专家评审、研究成果汇编等服务，形成“4+1”研究计划。</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w:t>
      </w:r>
    </w:p>
    <w:p>
      <w:pPr>
        <w:pStyle w:val="null3"/>
      </w:pPr>
      <w:r>
        <w:rPr>
          <w:rFonts w:ascii="仿宋_GB2312" w:hAnsi="仿宋_GB2312" w:cs="仿宋_GB2312" w:eastAsia="仿宋_GB2312"/>
        </w:rPr>
        <w:t>采购包最高限价（元）: 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西安市发改委学术委员会学术研究交流咨询服务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标的名称：西安市发改委学术委员会学术研究交流咨询服务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一、项目概况</w:t>
            </w:r>
          </w:p>
          <w:p>
            <w:pPr>
              <w:pStyle w:val="null3"/>
            </w:pPr>
            <w:r>
              <w:rPr>
                <w:rFonts w:ascii="仿宋_GB2312" w:hAnsi="仿宋_GB2312" w:cs="仿宋_GB2312" w:eastAsia="仿宋_GB2312"/>
                <w:sz w:val="20"/>
              </w:rPr>
              <w:t>为进一步提升我委干部队伍政策研究和综合分析能力，更好发挥我委作为全市发展的</w:t>
            </w:r>
            <w:r>
              <w:rPr>
                <w:rFonts w:ascii="仿宋_GB2312" w:hAnsi="仿宋_GB2312" w:cs="仿宋_GB2312" w:eastAsia="仿宋_GB2312"/>
                <w:sz w:val="20"/>
              </w:rPr>
              <w:t>“参谋部”智库作用，需聘请第三方服务机构开展专家评审、研究成果汇编等学术研究及交流活动，协助保障我委学术研究交流系列活动顺利开展。</w:t>
            </w:r>
          </w:p>
          <w:p>
            <w:pPr>
              <w:pStyle w:val="null3"/>
            </w:pPr>
            <w:r>
              <w:rPr>
                <w:rFonts w:ascii="仿宋_GB2312" w:hAnsi="仿宋_GB2312" w:cs="仿宋_GB2312" w:eastAsia="仿宋_GB2312"/>
                <w:sz w:val="20"/>
              </w:rPr>
              <w:t>二、服务要求</w:t>
            </w:r>
          </w:p>
          <w:p>
            <w:pPr>
              <w:pStyle w:val="null3"/>
            </w:pPr>
            <w:r>
              <w:rPr>
                <w:rFonts w:ascii="仿宋_GB2312" w:hAnsi="仿宋_GB2312" w:cs="仿宋_GB2312" w:eastAsia="仿宋_GB2312"/>
                <w:sz w:val="20"/>
              </w:rPr>
              <w:t>具备相关学术交流活动及学术成果汇编类项目经验。</w:t>
            </w:r>
          </w:p>
          <w:p>
            <w:pPr>
              <w:pStyle w:val="null3"/>
            </w:pPr>
            <w:r>
              <w:rPr>
                <w:rFonts w:ascii="仿宋_GB2312" w:hAnsi="仿宋_GB2312" w:cs="仿宋_GB2312" w:eastAsia="仿宋_GB2312"/>
                <w:sz w:val="20"/>
              </w:rPr>
              <w:t>三、服务内容</w:t>
            </w:r>
          </w:p>
          <w:p>
            <w:pPr>
              <w:pStyle w:val="null3"/>
            </w:pPr>
            <w:r>
              <w:rPr>
                <w:rFonts w:ascii="仿宋_GB2312" w:hAnsi="仿宋_GB2312" w:cs="仿宋_GB2312" w:eastAsia="仿宋_GB2312"/>
                <w:sz w:val="20"/>
              </w:rPr>
              <w:t>乙方协助甲方组织开展全委学术研究交流有关活动。乙方按要求组织编印委学术委员会年度专项课题及智库成果汇编</w:t>
            </w:r>
            <w:r>
              <w:rPr>
                <w:rFonts w:ascii="仿宋_GB2312" w:hAnsi="仿宋_GB2312" w:cs="仿宋_GB2312" w:eastAsia="仿宋_GB2312"/>
                <w:sz w:val="20"/>
              </w:rPr>
              <w:t>300份，负责设计、排版、印刷等工作并配合支撑后续修订完善，直至甲方满意通过，由此产生的费用将不再收取。</w:t>
            </w:r>
          </w:p>
          <w:p>
            <w:pPr>
              <w:pStyle w:val="null3"/>
            </w:pPr>
            <w:r>
              <w:rPr>
                <w:rFonts w:ascii="仿宋_GB2312" w:hAnsi="仿宋_GB2312" w:cs="仿宋_GB2312" w:eastAsia="仿宋_GB2312"/>
                <w:sz w:val="20"/>
              </w:rPr>
              <w:t>四、服务期限</w:t>
            </w:r>
          </w:p>
          <w:p>
            <w:pPr>
              <w:pStyle w:val="null3"/>
            </w:pPr>
            <w:r>
              <w:rPr>
                <w:rFonts w:ascii="仿宋_GB2312" w:hAnsi="仿宋_GB2312" w:cs="仿宋_GB2312" w:eastAsia="仿宋_GB2312"/>
                <w:sz w:val="20"/>
              </w:rPr>
              <w:t>合同签订日起至</w:t>
            </w:r>
            <w:r>
              <w:rPr>
                <w:rFonts w:ascii="仿宋_GB2312" w:hAnsi="仿宋_GB2312" w:cs="仿宋_GB2312" w:eastAsia="仿宋_GB2312"/>
                <w:sz w:val="20"/>
              </w:rPr>
              <w:t>2026年12月30日前。</w:t>
            </w:r>
          </w:p>
          <w:p>
            <w:pPr>
              <w:pStyle w:val="null3"/>
            </w:pPr>
            <w:r>
              <w:rPr>
                <w:rFonts w:ascii="仿宋_GB2312" w:hAnsi="仿宋_GB2312" w:cs="仿宋_GB2312" w:eastAsia="仿宋_GB2312"/>
                <w:sz w:val="20"/>
              </w:rPr>
              <w:t>五、编制成果提交要求</w:t>
            </w:r>
          </w:p>
          <w:p>
            <w:pPr>
              <w:pStyle w:val="null3"/>
            </w:pPr>
            <w:r>
              <w:rPr>
                <w:rFonts w:ascii="仿宋_GB2312" w:hAnsi="仿宋_GB2312" w:cs="仿宋_GB2312" w:eastAsia="仿宋_GB2312"/>
                <w:sz w:val="20"/>
              </w:rPr>
              <w:t>1.乙方必须保证在规定的期限内按要求向采购人提交成果印刷材料。且成果资料所有权属于采购人，未经同意不得擅自对外发表或出版。</w:t>
            </w:r>
          </w:p>
          <w:p>
            <w:pPr>
              <w:pStyle w:val="null3"/>
            </w:pPr>
            <w:r>
              <w:rPr>
                <w:rFonts w:ascii="仿宋_GB2312" w:hAnsi="仿宋_GB2312" w:cs="仿宋_GB2312" w:eastAsia="仿宋_GB2312"/>
                <w:sz w:val="20"/>
              </w:rPr>
              <w:t>2.本项目最终提交的成果文件应当包括全部研究成果（PDF与WORD版本），以备留存查阅。</w:t>
            </w:r>
          </w:p>
          <w:p>
            <w:pPr>
              <w:pStyle w:val="null3"/>
            </w:pPr>
            <w:r>
              <w:rPr>
                <w:rFonts w:ascii="仿宋_GB2312" w:hAnsi="仿宋_GB2312" w:cs="仿宋_GB2312" w:eastAsia="仿宋_GB2312"/>
                <w:sz w:val="20"/>
              </w:rPr>
              <w:t>3.服务项目内容需涵盖所有服务内容。</w:t>
            </w:r>
          </w:p>
          <w:p>
            <w:pPr>
              <w:pStyle w:val="null3"/>
            </w:pPr>
            <w:r>
              <w:rPr>
                <w:rFonts w:ascii="仿宋_GB2312" w:hAnsi="仿宋_GB2312" w:cs="仿宋_GB2312" w:eastAsia="仿宋_GB2312"/>
                <w:sz w:val="20"/>
              </w:rPr>
              <w:t>4.各项服务必须符合国家、省、市相关政策规定和标准要求，可操作性强，符合采购人实际需求。</w:t>
            </w:r>
          </w:p>
          <w:p>
            <w:pPr>
              <w:pStyle w:val="null3"/>
            </w:pPr>
            <w:r>
              <w:rPr>
                <w:rFonts w:ascii="仿宋_GB2312" w:hAnsi="仿宋_GB2312" w:cs="仿宋_GB2312" w:eastAsia="仿宋_GB2312"/>
                <w:sz w:val="20"/>
              </w:rPr>
              <w:t>5.服务期内，免费提供方案的修改，7*24小时技术响应，由此产生的费用均不再收取。</w:t>
            </w:r>
          </w:p>
          <w:p>
            <w:pPr>
              <w:pStyle w:val="null3"/>
            </w:pPr>
            <w:r>
              <w:rPr>
                <w:rFonts w:ascii="仿宋_GB2312" w:hAnsi="仿宋_GB2312" w:cs="仿宋_GB2312" w:eastAsia="仿宋_GB2312"/>
                <w:sz w:val="20"/>
              </w:rPr>
              <w:t>6.采购人对本项目如有后续的修改意见，供应商应予积极配合，此项服务免费提供。</w:t>
            </w:r>
          </w:p>
          <w:p>
            <w:pPr>
              <w:pStyle w:val="null3"/>
            </w:pPr>
            <w:r>
              <w:rPr>
                <w:rFonts w:ascii="仿宋_GB2312" w:hAnsi="仿宋_GB2312" w:cs="仿宋_GB2312" w:eastAsia="仿宋_GB2312"/>
                <w:sz w:val="20"/>
              </w:rPr>
              <w:t>六、结算方式</w:t>
            </w:r>
          </w:p>
          <w:p>
            <w:pPr>
              <w:pStyle w:val="null3"/>
            </w:pPr>
            <w:r>
              <w:rPr>
                <w:rFonts w:ascii="仿宋_GB2312" w:hAnsi="仿宋_GB2312" w:cs="仿宋_GB2312" w:eastAsia="仿宋_GB2312"/>
                <w:sz w:val="20"/>
              </w:rPr>
              <w:t>1.付款方式：分两次付清，第一次为合同签订后15个工作日内，采购人向成交供应商支付合同总金额的50%；剩余合同总款的50%待项目验收合格后，无任何质量问题、无争议索赔的情况下15个工作日内不计利息一次付清。</w:t>
            </w:r>
          </w:p>
          <w:p>
            <w:pPr>
              <w:pStyle w:val="null3"/>
            </w:pPr>
            <w:r>
              <w:rPr>
                <w:rFonts w:ascii="仿宋_GB2312" w:hAnsi="仿宋_GB2312" w:cs="仿宋_GB2312" w:eastAsia="仿宋_GB2312"/>
                <w:sz w:val="20"/>
              </w:rPr>
              <w:t>2.支付方式：银行转账。</w:t>
            </w:r>
          </w:p>
          <w:p>
            <w:pPr>
              <w:pStyle w:val="null3"/>
            </w:pPr>
            <w:r>
              <w:rPr>
                <w:rFonts w:ascii="仿宋_GB2312" w:hAnsi="仿宋_GB2312" w:cs="仿宋_GB2312" w:eastAsia="仿宋_GB2312"/>
                <w:sz w:val="20"/>
              </w:rPr>
              <w:t>3.结算方式：成交供应商持发票、成交通知书、服务合同，与采购人结算。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提供1名负责人、至少1名团队成员。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无，本项目不涉及。</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无，本项目不涉及。</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合同签订日起至2026年12月30日前。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符合采购人的要求，行业验收标准。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进度款，待项目验收合格后，无任何质量问题、无争议索赔的情况下，达到付款条件起15个工作日内，支付合同总金额的50.0%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并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供应商需在项目电子化交易系统中按要求提供材料并进行电子签章。 1、具有独立承担民事责任的能力（企业法人应提供统 一社会信用代码的营业执照；事业法人应提供事业单位法人证、组织机构代码证等证明文件 ；其他组织应提供合法证明文件；自然人提供身份证明文件）； 2、具有良好的商业信誉和健 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 详见附件）；4、有依法缴纳税收和社会保障资金的良好记录（提供开标前12个月内任一月份的社保和缴纳税收的证明，依法不需要缴纳社 会保障资金、免税或无须缴纳税款的供应商，应提供相关证明文件)；5、参加政府采购活动 前 3 年内在经营活动中没有重大违法记录的书 面声明（格式详见附件）。</w:t>
            </w:r>
          </w:p>
        </w:tc>
        <w:tc>
          <w:tcPr>
            <w:tcW w:type="dxa" w:w="1661"/>
          </w:tcPr>
          <w:p>
            <w:pPr>
              <w:pStyle w:val="null3"/>
            </w:pPr>
            <w:r>
              <w:rPr>
                <w:rFonts w:ascii="仿宋_GB2312" w:hAnsi="仿宋_GB2312" w:cs="仿宋_GB2312" w:eastAsia="仿宋_GB2312"/>
              </w:rPr>
              <w:t>资格证明材料（专门面向）.docx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具有良好的商业信誉和健全的财务会计制度，提供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资格证明材料（专门面向）.docx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法定代表人或授权委托书</w:t>
            </w:r>
          </w:p>
        </w:tc>
        <w:tc>
          <w:tcPr>
            <w:tcW w:type="dxa" w:w="3322"/>
          </w:tcPr>
          <w:p>
            <w:pPr>
              <w:pStyle w:val="null3"/>
            </w:pPr>
            <w:r>
              <w:rPr>
                <w:rFonts w:ascii="仿宋_GB2312" w:hAnsi="仿宋_GB2312" w:cs="仿宋_GB2312" w:eastAsia="仿宋_GB2312"/>
              </w:rPr>
              <w:t>供应商应授权合法的人员参加磋商全过程，其中法定代表人直接参加磋商的，须提供法定代表人身份证复印件加盖公章，并与营业执照上信息一致。法定代表人授权代表参加磋商的，须提供法定代表人授权书及授权代表身份证复印件加盖公章。</w:t>
            </w:r>
          </w:p>
        </w:tc>
        <w:tc>
          <w:tcPr>
            <w:tcW w:type="dxa" w:w="1661"/>
          </w:tcPr>
          <w:p>
            <w:pPr>
              <w:pStyle w:val="null3"/>
            </w:pPr>
            <w:r>
              <w:rPr>
                <w:rFonts w:ascii="仿宋_GB2312" w:hAnsi="仿宋_GB2312" w:cs="仿宋_GB2312" w:eastAsia="仿宋_GB2312"/>
              </w:rPr>
              <w:t>资格证明材料（专门面向）.docx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付款方式、服务期限、响应文件有效期</w:t>
            </w:r>
          </w:p>
        </w:tc>
        <w:tc>
          <w:tcPr>
            <w:tcW w:type="dxa" w:w="3322"/>
          </w:tcPr>
          <w:p>
            <w:pPr>
              <w:pStyle w:val="null3"/>
            </w:pPr>
            <w:r>
              <w:rPr>
                <w:rFonts w:ascii="仿宋_GB2312" w:hAnsi="仿宋_GB2312" w:cs="仿宋_GB2312" w:eastAsia="仿宋_GB2312"/>
              </w:rPr>
              <w:t>（1）付款方式、服务期限是否完全响应； （2）响应文件有效期是否合格；</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磋商文件规定的其他情形</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项目了解</w:t>
            </w:r>
          </w:p>
        </w:tc>
        <w:tc>
          <w:tcPr>
            <w:tcW w:type="dxa" w:w="2492"/>
          </w:tcPr>
          <w:p>
            <w:pPr>
              <w:pStyle w:val="null3"/>
            </w:pPr>
            <w:r>
              <w:rPr>
                <w:rFonts w:ascii="仿宋_GB2312" w:hAnsi="仿宋_GB2312" w:cs="仿宋_GB2312" w:eastAsia="仿宋_GB2312"/>
              </w:rPr>
              <w:t>1.对西安市学术研究交流活动及成果汇编相关发展现状分析。分析详尽全面，具体描述合理得当得3分；分析比较全面，具体描述比较合理得2分；分析不充分，具体描述有欠妥当得1分； 2. 针对本项目学术交流活动组织及成果汇编需求的梳理与了解程度。叙述详尽全面得3分；叙述比较全面得2分；叙述不充分得1分； 3. 能正确识别本项目重难点（如内容编排、印刷质量把控、修订响应效率等）及解决对策。分析详尽、对策针对性强得3分；分析较全面、对策基本合理得2分；分析不充分、对策无针对性得1分。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1. 对项目服务内容（学术活动组织、成果汇编设计排版印刷等）详述及实施原则分析。分析详尽全面、合理得当得3分；分析较全面得2分；分析不充分得1分； 2. 具体服务方案，包括工作计划、服务方向、成果汇编设计排版方案、服务目标。方案详实、切实可行、针对性强得3分；方案较细致、基本可行得2分；方案模糊、目标不明确得1分； 3. 服务工作制度，包括过程管理制度、质量审核制度、内部校对制度、与采购人沟通机制。制度全面具体、针对性强得3分；制度较细致、基本符合得2分；制度不完整、模糊得1分； 4. 针对本项目后期修订完善及成果应用提供参考依据及可行性分析。内容详实、合规、切实可行得3分；内容较细致得2分；内容模糊得1分。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1.拟派负责人情况，具有高级职称或博士学位得10分，具有中级职称或硕士学位得3分，其他情况不计分； 2.拟派负责人具有（2023年1月至今，以合同签订的日期为准）同类项目业绩，每提供1份计5分，满分10分。 注：响应文件中提供合同复印件加盖供应商公章，与企业业绩不重复计分。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1.确保服务进度的保障措施。保障措施全面、合理、科学的得3分；保障措施基本满足采购需求得2分；保障措施不合理、可行性欠缺得1分； 2.确保服务质量的保障措施。保障措施全面、合理、科学的得3分；保障措施基本满足采购需求得2分；保障措施不合理、可行性欠缺得1分； 3.突发事件的应急措施方案。保障措施全面、合理、科学的得3分；保障措施基本满足采购需求得2分；保障措施不合理、可行性欠缺得1分。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供应商针对本项目具有完整、可行的后期服务承诺，承诺内容包括但不限于服务人员安排、服务响应速度。售后服务方案详实、人员配置全面、切实可行、科学合理，针对性强得5分；售后服务方案较细致、人员配置基本满足服务要求得3分；售后服务方案模糊、人员不足、目标不明确得1分； 2.对采购人提出的修改意见及时有效地执行且不额外收费的承诺。承诺内容详尽全面，具体内容合理得当得5分；承诺比较全面，具体内容比较合理得3分；承诺不充分，具体内容有欠妥当得1分。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供应商具有（2023年1月至今，以合同签订的日期为准）同类项目业绩，每提供1份计4分，满分20分。 注：响应文件中提供合同复印件加盖供应商公章，与拟派负责人业绩不重复计分。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满足磋商文件要求且磋商报价最低的供应商的价格为磋商基准价，其价格分为满分。其他供应商的价格分统一按照下列公式计算：磋商报价得分=（磋商基准价/磋商报价）×价格权值×100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详见附件：资格证明材料（专门面向）.docx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