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版本号：XACH2026-032、XDZ2026-54-Z20260507001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西安高新区老烟庄村集体土地上棚户区改造项目（安置）南地块公变供电监理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XACH2026-032、XDZ2026-54-Z</w:t>
      </w:r>
      <w:r>
        <w:br/>
      </w:r>
      <w:r>
        <w:br/>
      </w:r>
      <w:r>
        <w:br/>
      </w:r>
    </w:p>
    <w:p>
      <w:pPr>
        <w:pStyle w:val="null3"/>
        <w:jc w:val="center"/>
        <w:outlineLvl w:val="2"/>
      </w:pPr>
      <w:r>
        <w:rPr>
          <w:rFonts w:ascii="仿宋_GB2312" w:hAnsi="仿宋_GB2312" w:cs="仿宋_GB2312" w:eastAsia="仿宋_GB2312"/>
          <w:sz w:val="28"/>
          <w:b/>
        </w:rPr>
        <w:t>西安高新技术产业开发区公共项目建设管理中心</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委托，拟对</w:t>
      </w:r>
      <w:r>
        <w:rPr>
          <w:rFonts w:ascii="仿宋_GB2312" w:hAnsi="仿宋_GB2312" w:cs="仿宋_GB2312" w:eastAsia="仿宋_GB2312"/>
        </w:rPr>
        <w:t>西安高新区老烟庄村集体土地上棚户区改造项目（安置）南地块公变供电监理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XACH2026-032、XDZ2026-54-Z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西安高新区老烟庄村集体土地上棚户区改造项目（安置）南地块公变供电监理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西安高新区老烟庄村集体土地上棚户区改造项目（安置）南地块位于西安市高新区科技四路以南、化龙三路以东、化龙二路以西，总建筑面积223852.4平方米。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法定代表人参加磋商只需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4、资质证书：供应商具有建设行政主管部门核发的工程监理综合资质或电力工程专业监理乙级及以上资质；供应商需在项目电子化交易系统中按要求上传相应证明文件并进行电子签章。</w:t>
      </w:r>
    </w:p>
    <w:p>
      <w:pPr>
        <w:pStyle w:val="null3"/>
      </w:pPr>
      <w:r>
        <w:rPr>
          <w:rFonts w:ascii="仿宋_GB2312" w:hAnsi="仿宋_GB2312" w:cs="仿宋_GB2312" w:eastAsia="仿宋_GB2312"/>
        </w:rPr>
        <w:t>5、总监理工程师：具有电力工程专业注册监理工程师执业资格，且在本单位注册；供应商需在项目电子化交易系统中按要求上传相应证明文件并进行电子签章。</w:t>
      </w:r>
    </w:p>
    <w:p>
      <w:pPr>
        <w:pStyle w:val="null3"/>
      </w:pPr>
      <w:r>
        <w:rPr>
          <w:rFonts w:ascii="仿宋_GB2312" w:hAnsi="仿宋_GB2312" w:cs="仿宋_GB2312" w:eastAsia="仿宋_GB2312"/>
        </w:rPr>
        <w:t>6、非联合体磋商：非联合体磋商声明；供应商需在项目电子化交易系统中按要求上传相应证明文件并进行电子签章。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西安高新技术产业开发区公共项目建设管理中心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高新区丝路创智谷6号楼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18092757988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文奕奕、商碧红、王文文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58%计算，不足5000元，按照5000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达到国家、省市或相关行业规范“合格”标准要求。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联系人：文奕奕、商碧红、王文文</w:t>
      </w:r>
    </w:p>
    <w:p>
      <w:pPr>
        <w:pStyle w:val="null3"/>
      </w:pPr>
      <w:r>
        <w:rPr>
          <w:rFonts w:ascii="仿宋_GB2312" w:hAnsi="仿宋_GB2312" w:cs="仿宋_GB2312" w:eastAsia="仿宋_GB2312"/>
        </w:rPr>
        <w:t>联系电话：029-87563729</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西安高新区老烟庄村集体土地上棚户区改造项目（安置）南地块位于西安市高新区科技四路以南、化龙三路以东、化龙二路以西，总建筑面积223852.4平方米。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西安高新区老烟庄村集体土地上棚户区改造项目（安置）南地块公变供电监理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标的名称：西安高新区老烟庄村集体土地上棚户区改造项目（安置）南地块公变供电监理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一、项目概况：</w:t>
            </w:r>
          </w:p>
          <w:p>
            <w:pPr>
              <w:pStyle w:val="null3"/>
              <w:ind w:firstLine="544"/>
              <w:jc w:val="left"/>
            </w:pPr>
            <w:r>
              <w:rPr>
                <w:rFonts w:ascii="仿宋_GB2312" w:hAnsi="仿宋_GB2312" w:cs="仿宋_GB2312" w:eastAsia="仿宋_GB2312"/>
                <w:sz w:val="24"/>
                <w:color w:val="000000"/>
              </w:rPr>
              <w:t>西安高新区老烟庄村集体土地上棚户区改造项目（安置）南地块位于西安市高新区科技四路以南、化龙三路以东、化龙二路以西，总建筑面积</w:t>
            </w:r>
            <w:r>
              <w:rPr>
                <w:rFonts w:ascii="仿宋_GB2312" w:hAnsi="仿宋_GB2312" w:cs="仿宋_GB2312" w:eastAsia="仿宋_GB2312"/>
                <w:sz w:val="24"/>
                <w:color w:val="000000"/>
              </w:rPr>
              <w:t>223852.4平方米。</w:t>
            </w:r>
          </w:p>
          <w:p>
            <w:pPr>
              <w:pStyle w:val="null3"/>
              <w:jc w:val="left"/>
            </w:pPr>
            <w:r>
              <w:rPr>
                <w:rFonts w:ascii="仿宋_GB2312" w:hAnsi="仿宋_GB2312" w:cs="仿宋_GB2312" w:eastAsia="仿宋_GB2312"/>
                <w:sz w:val="24"/>
                <w:b/>
                <w:color w:val="000000"/>
              </w:rPr>
              <w:t>二、服务内容</w:t>
            </w:r>
          </w:p>
          <w:p>
            <w:pPr>
              <w:pStyle w:val="null3"/>
              <w:ind w:firstLine="544"/>
              <w:jc w:val="left"/>
            </w:pPr>
            <w:r>
              <w:rPr>
                <w:rFonts w:ascii="仿宋_GB2312" w:hAnsi="仿宋_GB2312" w:cs="仿宋_GB2312" w:eastAsia="仿宋_GB2312"/>
                <w:sz w:val="24"/>
                <w:color w:val="000000"/>
              </w:rPr>
              <w:t>为西安高新区老烟庄村集体土地上棚户区改造项目（安置）南地块公变供电监理服务，涵盖施工全过程、竣工验收及保修阶段的全部监理工作内容，同时包含相关手续配合办理、多方沟通协调等全方位、全过程监理服务。</w:t>
            </w:r>
          </w:p>
          <w:p>
            <w:pPr>
              <w:pStyle w:val="null3"/>
              <w:jc w:val="left"/>
            </w:pPr>
            <w:r>
              <w:rPr>
                <w:rFonts w:ascii="仿宋_GB2312" w:hAnsi="仿宋_GB2312" w:cs="仿宋_GB2312" w:eastAsia="仿宋_GB2312"/>
                <w:sz w:val="24"/>
                <w:b/>
                <w:color w:val="000000"/>
              </w:rPr>
              <w:t>三、技术要求</w:t>
            </w:r>
          </w:p>
          <w:p>
            <w:pPr>
              <w:pStyle w:val="null3"/>
              <w:ind w:firstLine="544"/>
              <w:jc w:val="left"/>
            </w:pPr>
            <w:r>
              <w:rPr>
                <w:rFonts w:ascii="仿宋_GB2312" w:hAnsi="仿宋_GB2312" w:cs="仿宋_GB2312" w:eastAsia="仿宋_GB2312"/>
                <w:sz w:val="24"/>
                <w:color w:val="000000"/>
              </w:rPr>
              <w:t>严格按建设部</w:t>
            </w:r>
            <w:r>
              <w:rPr>
                <w:rFonts w:ascii="仿宋_GB2312" w:hAnsi="仿宋_GB2312" w:cs="仿宋_GB2312" w:eastAsia="仿宋_GB2312"/>
                <w:sz w:val="24"/>
                <w:color w:val="000000"/>
              </w:rPr>
              <w:t>GB50319-2013《建设工程监理规范》、国家工程建设强制性条文、规范、标准、规程、规定及正式施工图、设计变更等对受监范围内的工程实施监理，做好“四控制、两管理、一协调”，即质量控制、进度控制、投资控制、安全生产管理控制、合同管理、信息管理以及参建各方之间的协调，确保达到约定的控制工程目标。</w:t>
            </w:r>
          </w:p>
          <w:p>
            <w:pPr>
              <w:pStyle w:val="null3"/>
              <w:jc w:val="left"/>
            </w:pPr>
            <w:r>
              <w:rPr>
                <w:rFonts w:ascii="仿宋_GB2312" w:hAnsi="仿宋_GB2312" w:cs="仿宋_GB2312" w:eastAsia="仿宋_GB2312"/>
                <w:sz w:val="24"/>
                <w:b/>
                <w:color w:val="000000"/>
              </w:rPr>
              <w:t>四、服务要求</w:t>
            </w:r>
          </w:p>
          <w:p>
            <w:pPr>
              <w:pStyle w:val="null3"/>
              <w:ind w:firstLine="544"/>
              <w:jc w:val="left"/>
            </w:pPr>
            <w:r>
              <w:rPr>
                <w:rFonts w:ascii="仿宋_GB2312" w:hAnsi="仿宋_GB2312" w:cs="仿宋_GB2312" w:eastAsia="仿宋_GB2312"/>
                <w:sz w:val="24"/>
                <w:color w:val="000000"/>
              </w:rPr>
              <w:t>1、监理工作要求：</w:t>
            </w:r>
          </w:p>
          <w:p>
            <w:pPr>
              <w:pStyle w:val="null3"/>
              <w:ind w:firstLine="544"/>
              <w:jc w:val="left"/>
            </w:pPr>
            <w:r>
              <w:rPr>
                <w:rFonts w:ascii="仿宋_GB2312" w:hAnsi="仿宋_GB2312" w:cs="仿宋_GB2312" w:eastAsia="仿宋_GB2312"/>
                <w:sz w:val="24"/>
                <w:color w:val="000000"/>
              </w:rPr>
              <w:t>施工准备阶段、竣工验收资料移交城建档案、整改、工程移交及实物移交、工程结算、竣工备案等的质量、进度、投资控制、安全生产监督管理、合同、信息等方面的协调管理</w:t>
            </w:r>
            <w:r>
              <w:rPr>
                <w:rFonts w:ascii="仿宋_GB2312" w:hAnsi="仿宋_GB2312" w:cs="仿宋_GB2312" w:eastAsia="仿宋_GB2312"/>
                <w:sz w:val="24"/>
                <w:color w:val="000000"/>
              </w:rPr>
              <w:t>，供应商还须按采购人的要求提前进场参与开工前期的准备和筹划工作，协助采购人制定各参建方职责及有关事务性工作等。</w:t>
            </w:r>
          </w:p>
          <w:p>
            <w:pPr>
              <w:pStyle w:val="null3"/>
              <w:ind w:firstLine="544"/>
              <w:jc w:val="left"/>
            </w:pPr>
            <w:r>
              <w:rPr>
                <w:rFonts w:ascii="仿宋_GB2312" w:hAnsi="仿宋_GB2312" w:cs="仿宋_GB2312" w:eastAsia="仿宋_GB2312"/>
                <w:sz w:val="24"/>
                <w:color w:val="000000"/>
              </w:rPr>
              <w:t>2、监理人员要求：</w:t>
            </w:r>
          </w:p>
          <w:p>
            <w:pPr>
              <w:pStyle w:val="null3"/>
              <w:ind w:firstLine="544"/>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1）监理单位有健全的组织机构。</w:t>
            </w:r>
          </w:p>
          <w:p>
            <w:pPr>
              <w:pStyle w:val="null3"/>
              <w:ind w:firstLine="544"/>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监理单位应根据项目特点配备经验丰富的总监理工程师、专业监理工程师和监理员。其中专业监理工程师不少于4人，专业要求为电气、机电等相关专业。派驻现场的人员要熟悉所从事的业务，具备胜任监理业务的能力，具有良好的沟通、协调能力。对施工单位在项目实施过程中要严格按照质量管理体系要求进行监督，并对施工单位在实施过程中存在的问题提出改进意见。监理单位不得随意更换总监理工程师，否则，采购人有权终止监理合同，监理单位如更换专业监理员必须征得采购人同意。</w:t>
            </w:r>
          </w:p>
          <w:p>
            <w:pPr>
              <w:pStyle w:val="null3"/>
              <w:ind w:firstLine="544"/>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监理单位应该及时提供与全面完成监理工作相适应的人员、设备，监理单位不得随意更换总监理工程师及其他监理人员，如有特殊情况需要更换人员，监理单位应提前告知采购人，并将更换人员名单报至采购人书面批准。</w:t>
            </w:r>
          </w:p>
          <w:p>
            <w:pPr>
              <w:pStyle w:val="null3"/>
              <w:ind w:firstLine="544"/>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4）监理人员应该在监理期间内及时完成合同约定的监理范围内的监理工作，为项目采购人提供优质的服务，确保工程安全、质量、进度要求，合理控制工程造价。</w:t>
            </w:r>
          </w:p>
          <w:p>
            <w:pPr>
              <w:pStyle w:val="null3"/>
              <w:jc w:val="left"/>
            </w:pPr>
            <w:r>
              <w:rPr>
                <w:rFonts w:ascii="仿宋_GB2312" w:hAnsi="仿宋_GB2312" w:cs="仿宋_GB2312" w:eastAsia="仿宋_GB2312"/>
                <w:sz w:val="24"/>
                <w:b/>
                <w:color w:val="000000"/>
              </w:rPr>
              <w:t>五、服务期限</w:t>
            </w:r>
          </w:p>
          <w:p>
            <w:pPr>
              <w:pStyle w:val="null3"/>
              <w:ind w:firstLine="544"/>
              <w:jc w:val="left"/>
            </w:pPr>
            <w:r>
              <w:rPr>
                <w:rFonts w:ascii="仿宋_GB2312" w:hAnsi="仿宋_GB2312" w:cs="仿宋_GB2312" w:eastAsia="仿宋_GB2312"/>
                <w:sz w:val="24"/>
                <w:color w:val="000000"/>
              </w:rPr>
              <w:t>从合同签订后至供电日结束，具体依据现场施工实际情况而定。</w:t>
            </w:r>
          </w:p>
          <w:p>
            <w:pPr>
              <w:pStyle w:val="null3"/>
              <w:jc w:val="left"/>
            </w:pPr>
            <w:r>
              <w:rPr>
                <w:rFonts w:ascii="仿宋_GB2312" w:hAnsi="仿宋_GB2312" w:cs="仿宋_GB2312" w:eastAsia="仿宋_GB2312"/>
                <w:sz w:val="24"/>
                <w:b/>
                <w:color w:val="000000"/>
              </w:rPr>
              <w:t>六、质量标准</w:t>
            </w:r>
          </w:p>
          <w:p>
            <w:pPr>
              <w:pStyle w:val="null3"/>
            </w:pPr>
            <w:r>
              <w:rPr>
                <w:rFonts w:ascii="仿宋_GB2312" w:hAnsi="仿宋_GB2312" w:cs="仿宋_GB2312" w:eastAsia="仿宋_GB2312"/>
                <w:sz w:val="24"/>
              </w:rPr>
              <w:t xml:space="preserve">    达到国家、省市或相关行业</w:t>
            </w:r>
            <w:r>
              <w:rPr>
                <w:rFonts w:ascii="仿宋_GB2312" w:hAnsi="仿宋_GB2312" w:cs="仿宋_GB2312" w:eastAsia="仿宋_GB2312"/>
                <w:sz w:val="24"/>
              </w:rPr>
              <w:t>规范</w:t>
            </w:r>
            <w:r>
              <w:rPr>
                <w:rFonts w:ascii="仿宋_GB2312" w:hAnsi="仿宋_GB2312" w:cs="仿宋_GB2312" w:eastAsia="仿宋_GB2312"/>
                <w:sz w:val="24"/>
              </w:rPr>
              <w:t>“合格”标准要求</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人员配置要求详见 3.2.2服务要求 技术参数与性能指标内容。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设施设备要求详见 3.2.2服务要求 技术参数与性能指标内容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从合同签订后至供电日结束，具体依据现场施工实际情况而定。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西安高新区老烟庄村集体土地上棚户区改造项目（安置）南地块位于西安市高新区科技四路以南、化龙三路以东、化龙二路以西。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1、由采购人组织或委托相关部门服务期间进行现场巡检、验收。 2、验收依据：合同文本、成交单位的磋商响应文件和磋商文件。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合同签订后预付10%的监理费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工程竣工验收后付至监理费的80%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工程结算审核完成后付至监理费结算金额的100%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1、违约责任：详见合同 2、解决争议的方法： 本合同在履行过程中发生争议时，双方应及时协商解决。协商不成的按下列第（二）种方式解决：（一）提交※仲裁委员会仲裁；（二）依法向西安市人民法院起诉。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竞争性磋商报价为完成本项目竞争性磋商文件中所提出的工作范围及要求的全部内容，并达到国家及采购人验收标准而产生的所有费用，包括但不限于人工费、监理服务费、管理费、交通费、住宿费、办公费、招标代理服务费、利润、税金、风险、验收等完成本项目所需的全部费用。任何错报、漏报由供应商自行负责。 3.4.2磋商报价中列明的费率一次性包死，不因最终结算基准价的变化而调整。监理酬金最终根据工程结算额乘以监理费费率据实结算。 3.4.3最高限价 本次监理服务费报价上限控制价：95万元，建筑安装工程费4428万元（费率：2.145%）。凡报价高于最高限价或费率的投标报价均为无效报价，不得参与评审。 3.4.4成交人领取成交通知书时须向代理机构提交纸质版响应文件：正本壹份、副本贰份、电子版（U盘）贰份。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供应商需在项目电子化交易系统中按要求上传相应证明文件（承诺函）并进行电子签章。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供应商具有建设行政主管部门核发的工程监理综合资质或电力工程专业监理乙级及以上资质；供应商需在项目电子化交易系统中按要求上传相应证明文件并进行电子签章。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总监理工程师</w:t>
            </w:r>
          </w:p>
        </w:tc>
        <w:tc>
          <w:tcPr>
            <w:tcW w:type="dxa" w:w="3322"/>
          </w:tcPr>
          <w:p>
            <w:pPr>
              <w:pStyle w:val="null3"/>
            </w:pPr>
            <w:r>
              <w:rPr>
                <w:rFonts w:ascii="仿宋_GB2312" w:hAnsi="仿宋_GB2312" w:cs="仿宋_GB2312" w:eastAsia="仿宋_GB2312"/>
              </w:rPr>
              <w:t>具有电力工程专业注册监理工程师执业资格，且在本单位注册；供应商需在项目电子化交易系统中按要求上传相应证明文件并进行电子签章。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（一）出现下列情形之一的，磋商小组应当启动异常低价投标（响应）审查程序：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4.磋商小组基于专业判断，认为供应商报价过低，有可能影响产品质量或者不能诚信履约的其他情形。 （二）磋商小组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报价一览表及分项报价表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服务内容及服务邀请应答表 报价一览表及分项报价表 中小企业声明函 商务应答表 承诺书 报价表 响应文件封面 资格证明文件 响应方案说明 残疾人福利性单位声明函 标的清单 响应函 业绩证明文件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报价一览表及分项报价表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服务内容及服务邀请应答表 报价一览表及分项报价表 中小企业声明函 商务应答表 承诺书 报价表 响应文件封面 资格证明文件 响应方案说明 残疾人福利性单位声明函 标的清单 响应函 业绩证明文件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服务内容及服务邀请应答表 报价一览表及分项报价表 中小企业声明函 商务应答表 承诺书 报价表 响应文件封面 响应方案说明 资格证明文件 残疾人福利性单位声明函 标的清单 响应函 业绩证明文件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服务内容及服务邀请应答表 报价一览表及分项报价表 中小企业声明函 商务应答表 承诺书 报价表 响应文件封面 响应方案说明 资格证明文件 残疾人福利性单位声明函 标的清单 响应函 业绩证明文件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提供2023年以来类似项目业绩合同（以合同签订时间为准），每份业绩计1分，满分5分。 （注：以上证明文件在磋商响应文件中附业绩合同扫描件并加盖公司公章。）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vMerge/>
          </w:tcP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一、评审内容 ①对项目的理解分析；②监理总体的工作目标；③监理内容；④服务方式；⑤监理流程。 二、评审标准 1.完整性：方案须全面，对评审内容中的各项要求有详细描述； 2.可实施性：切合本项目实际情况，实施步骤清晰、合理； 3.针对性：方案能够紧扣项目实际情况，内容科学合理。 三、赋分标准 ①对项目的理解分析：每完全满足一项评审标准计1分，满分3分。②监理总体的工作目标：每完全满足一项评审标准计1分，满分3分。 ③监理内容：每完全满足一项评审标准计1分，满分3分。 ④服务方式：每完全满足一项评审标准计1分，满分3分。 ⑤监理流程：每完全满足一项评审标准计1分，满分3分。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一、评审内容 ①项目进度保障措施；②项目质量控制的方法和措施；③人员作业安全措施；④变更控制的方法和措施；⑤投资控制的方法和措施；⑥合同管理、信息管理方法和措施。 二、评审标准 1.完整性：方案须全面，对评审内容中的各项要求有详细描述； 2.可实施性：切合本项目实际情况，实施步骤清晰、合理； 3.针对性：方案能够紧扣项目实际情况，内容科学合理。 三、赋分标准 ①项目进度保障措施：每完全满足一项评审标准计1分，满分3分。②项目质量控制的方法和措施：每完全满足一项评审标准计1分，满分3分。③人员作业安全措施：每完全满足一项评审标准计1分，满分3分。 ④变更控制的方法和措施：每完全满足一项评审标准计1分，满分3分。 ⑤投资控制的方法和措施：每完全满足一项评审标准计1分，满分3分。⑥合同管理、信息管理方法和措施：每完全满足一项评审标准计1分，满分3分。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拟投入本项目的监理检测设备</w:t>
            </w:r>
          </w:p>
        </w:tc>
        <w:tc>
          <w:tcPr>
            <w:tcW w:type="dxa" w:w="2492"/>
          </w:tcPr>
          <w:p>
            <w:pPr>
              <w:pStyle w:val="null3"/>
            </w:pPr>
            <w:r>
              <w:rPr>
                <w:rFonts w:ascii="仿宋_GB2312" w:hAnsi="仿宋_GB2312" w:cs="仿宋_GB2312" w:eastAsia="仿宋_GB2312"/>
              </w:rPr>
              <w:t>根据检测设备配备情况 检测设备完整齐全，能够完全满足和保障监理服务需求得6分；检测设备有缺漏，能够保障监理服务需求得3分；检测设备不足，无法完全满足监理服务得1分。未提供的得0分。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监理机构及人员配置方案</w:t>
            </w:r>
          </w:p>
        </w:tc>
        <w:tc>
          <w:tcPr>
            <w:tcW w:type="dxa" w:w="2492"/>
          </w:tcPr>
          <w:p>
            <w:pPr>
              <w:pStyle w:val="null3"/>
            </w:pPr>
            <w:r>
              <w:rPr>
                <w:rFonts w:ascii="仿宋_GB2312" w:hAnsi="仿宋_GB2312" w:cs="仿宋_GB2312" w:eastAsia="仿宋_GB2312"/>
              </w:rPr>
              <w:t>一、评审内容①机构设置；②组成人员情况（相关工作经验、相关证书等证明材料）；③岗位职责 二、评审标准 1.完整性：方案须全面，对评审内容中的各项要求有详细描述； 2.可实施性：切合本项目实际情况，实施步骤清晰、合理； 3.针对性：方案能够紧扣项目实际情况，内容科学合理。 三、赋分标准 ①机构设置：每完全满足一项评审标准计1分，满分3分。②组成人员情况（相关工作经验、相关证书等证明材料）：每完全满足一项评审标准计1分，满分3分。 ③岗位职责：每完全满足一项评审标准计1分，满分3分。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重点、难点及解决对策方案</w:t>
            </w:r>
          </w:p>
        </w:tc>
        <w:tc>
          <w:tcPr>
            <w:tcW w:type="dxa" w:w="2492"/>
          </w:tcPr>
          <w:p>
            <w:pPr>
              <w:pStyle w:val="null3"/>
            </w:pPr>
            <w:r>
              <w:rPr>
                <w:rFonts w:ascii="仿宋_GB2312" w:hAnsi="仿宋_GB2312" w:cs="仿宋_GB2312" w:eastAsia="仿宋_GB2312"/>
              </w:rPr>
              <w:t>一、评审内容①重点、难点分析；②解决对策的响应程度。 二、评审标准 1.完整性：方案须全面，对评审内容中的各项要求有详细描述； 2.可实施性：切合本项目实际情况，实施步骤清晰、合理； 3.针对性：方案能够紧扣项目实际情况，内容科学合理。 三、赋分标准 ①重点、难点分析：每完全满足一项评审标准计1分，满分3分。②解决对策的响应程度：每完全满足一项评审标准计1分，满分3分。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一、评审内容①应急组织机构；②应急响应时间；③应急保障措施。 二、评审标准 1.完整性：方案须全面，对评审内容中的各项要求有详细描述； 2.可实施性：切合本项目实际情况，实施步骤清晰、合理； 3.针对性：方案能够紧扣项目实际情况，内容科学合理。 三、赋分标准 ①应急组织机构：每完全满足一项评审标准计1分，满分3分。②应急响应时间：每完全满足一项评审标准计1分，满分3分。 ③应急保障措施：每完全满足一项评审标准计1分，满分3分。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①人员配备响应承诺；②服务质量承诺；③服务优化与改进机制；④承诺在合同履行中采购人若提出意见全力配合整改。 二、评审标准 1.完整性：方案须全面，对评审内容中的各项要求有详细描述； 2.可实施性：切合本项目实际情况，实施步骤清晰、合理； 3.针对性：方案能够紧扣项目实际情况，内容科学合理。 三、赋分标准 ①人员配备响应承诺：每完全满足一项评审标准计1分，满分3分。 ②服务质量承诺：每完全满足一项评审标准计1分，满分3分。 ③服务优化与改进机制：每完全满足一项评审标准计1分，满分3分。 ④承诺在合同履行中采购人若提出意见全力配合整改：每完全满足一项评审标准计1分，满分3分。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报价一览表及分项报价表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及《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中小企业划分标准所属行业：其他未列明行业。根据《工业和信息化部、国家统计局、国家发展和改革委员会、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报价一览表及分项报价表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详见附件：报价一览表及分项报价表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详见附件：响应方案说明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