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BF5D94">
      <w:pPr>
        <w:keepNext w:val="0"/>
        <w:keepLines w:val="0"/>
        <w:pageBreakBefore w:val="0"/>
        <w:kinsoku/>
        <w:wordWrap/>
        <w:overflowPunct/>
        <w:topLinePunct w:val="0"/>
        <w:bidi w:val="0"/>
        <w:spacing w:line="360" w:lineRule="auto"/>
        <w:jc w:val="center"/>
        <w:textAlignment w:val="auto"/>
        <w:outlineLvl w:val="0"/>
        <w:rPr>
          <w:rFonts w:hint="eastAsia" w:ascii="仿宋" w:hAnsi="仿宋" w:eastAsia="仿宋" w:cs="仿宋"/>
          <w:b/>
          <w:bCs/>
          <w:kern w:val="2"/>
          <w:sz w:val="36"/>
          <w:szCs w:val="36"/>
          <w:highlight w:val="none"/>
        </w:rPr>
      </w:pPr>
      <w:r>
        <w:rPr>
          <w:rFonts w:hint="eastAsia" w:ascii="仿宋" w:hAnsi="仿宋" w:eastAsia="仿宋" w:cs="仿宋"/>
          <w:b/>
          <w:bCs/>
          <w:kern w:val="2"/>
          <w:sz w:val="36"/>
          <w:szCs w:val="36"/>
          <w:highlight w:val="none"/>
          <w:lang w:val="en-US" w:eastAsia="zh-CN"/>
        </w:rPr>
        <w:t>合</w:t>
      </w:r>
      <w:r>
        <w:rPr>
          <w:rFonts w:hint="eastAsia" w:ascii="仿宋" w:hAnsi="仿宋" w:eastAsia="仿宋" w:cs="仿宋"/>
          <w:b/>
          <w:bCs/>
          <w:kern w:val="2"/>
          <w:sz w:val="36"/>
          <w:szCs w:val="36"/>
          <w:highlight w:val="none"/>
        </w:rPr>
        <w:t>同条款及格式</w:t>
      </w:r>
    </w:p>
    <w:p w14:paraId="7BFE6A19">
      <w:pPr>
        <w:pStyle w:val="5"/>
        <w:keepNext w:val="0"/>
        <w:keepLines w:val="0"/>
        <w:pageBreakBefore w:val="0"/>
        <w:kinsoku/>
        <w:wordWrap/>
        <w:overflowPunct/>
        <w:topLinePunct w:val="0"/>
        <w:bidi w:val="0"/>
        <w:spacing w:line="360" w:lineRule="auto"/>
        <w:jc w:val="center"/>
        <w:textAlignment w:val="auto"/>
        <w:rPr>
          <w:rFonts w:hint="eastAsia" w:ascii="仿宋" w:hAnsi="仿宋" w:eastAsia="仿宋" w:cs="仿宋"/>
          <w:b/>
          <w:bCs/>
          <w:sz w:val="22"/>
          <w:szCs w:val="22"/>
          <w:highlight w:val="none"/>
        </w:rPr>
      </w:pPr>
      <w:r>
        <w:rPr>
          <w:rFonts w:hint="eastAsia" w:ascii="仿宋" w:hAnsi="仿宋" w:eastAsia="仿宋" w:cs="仿宋"/>
          <w:b/>
          <w:bCs/>
          <w:sz w:val="22"/>
          <w:szCs w:val="22"/>
          <w:highlight w:val="none"/>
        </w:rPr>
        <w:t>（本合同模板仅供参考，合同具体条款由采购人与中标供应商自行协商，最终合同以采购人给出的合同定稿为准。）</w:t>
      </w:r>
    </w:p>
    <w:p w14:paraId="39CDEED2">
      <w:pPr>
        <w:keepNext w:val="0"/>
        <w:keepLines w:val="0"/>
        <w:pageBreakBefore w:val="0"/>
        <w:kinsoku/>
        <w:wordWrap/>
        <w:overflowPunct/>
        <w:topLinePunct w:val="0"/>
        <w:bidi w:val="0"/>
        <w:spacing w:line="360" w:lineRule="auto"/>
        <w:jc w:val="center"/>
        <w:textAlignment w:val="auto"/>
        <w:rPr>
          <w:rFonts w:hint="eastAsia" w:ascii="仿宋" w:hAnsi="仿宋" w:eastAsia="仿宋" w:cs="仿宋"/>
          <w:sz w:val="36"/>
          <w:szCs w:val="36"/>
          <w:highlight w:val="none"/>
        </w:rPr>
      </w:pPr>
    </w:p>
    <w:p w14:paraId="41C7BE09">
      <w:pPr>
        <w:keepNext w:val="0"/>
        <w:keepLines w:val="0"/>
        <w:pageBreakBefore w:val="0"/>
        <w:kinsoku/>
        <w:wordWrap/>
        <w:overflowPunct/>
        <w:topLinePunct w:val="0"/>
        <w:bidi w:val="0"/>
        <w:spacing w:line="360" w:lineRule="auto"/>
        <w:jc w:val="center"/>
        <w:textAlignment w:val="auto"/>
        <w:rPr>
          <w:rFonts w:hint="eastAsia" w:ascii="仿宋" w:hAnsi="仿宋" w:eastAsia="仿宋" w:cs="仿宋"/>
          <w:sz w:val="36"/>
          <w:szCs w:val="36"/>
          <w:highlight w:val="none"/>
        </w:rPr>
      </w:pPr>
    </w:p>
    <w:p w14:paraId="6104D15E">
      <w:pPr>
        <w:keepNext w:val="0"/>
        <w:keepLines w:val="0"/>
        <w:pageBreakBefore w:val="0"/>
        <w:kinsoku/>
        <w:wordWrap/>
        <w:overflowPunct/>
        <w:topLinePunct w:val="0"/>
        <w:bidi w:val="0"/>
        <w:spacing w:line="360" w:lineRule="auto"/>
        <w:jc w:val="center"/>
        <w:textAlignment w:val="auto"/>
        <w:rPr>
          <w:rFonts w:hint="eastAsia" w:ascii="仿宋" w:hAnsi="仿宋" w:eastAsia="仿宋" w:cs="仿宋"/>
          <w:sz w:val="36"/>
          <w:szCs w:val="36"/>
          <w:highlight w:val="none"/>
        </w:rPr>
      </w:pPr>
    </w:p>
    <w:p w14:paraId="47D4B0BA">
      <w:pPr>
        <w:keepNext w:val="0"/>
        <w:keepLines w:val="0"/>
        <w:pageBreakBefore w:val="0"/>
        <w:kinsoku/>
        <w:wordWrap/>
        <w:overflowPunct/>
        <w:topLinePunct w:val="0"/>
        <w:bidi w:val="0"/>
        <w:spacing w:line="360" w:lineRule="auto"/>
        <w:jc w:val="center"/>
        <w:textAlignment w:val="auto"/>
        <w:rPr>
          <w:rFonts w:hint="eastAsia" w:ascii="仿宋" w:hAnsi="仿宋" w:eastAsia="仿宋" w:cs="仿宋"/>
          <w:sz w:val="36"/>
          <w:szCs w:val="36"/>
          <w:highlight w:val="none"/>
        </w:rPr>
      </w:pPr>
    </w:p>
    <w:p w14:paraId="48D4B280">
      <w:pPr>
        <w:keepNext w:val="0"/>
        <w:keepLines w:val="0"/>
        <w:pageBreakBefore w:val="0"/>
        <w:kinsoku/>
        <w:wordWrap/>
        <w:overflowPunct/>
        <w:topLinePunct w:val="0"/>
        <w:bidi w:val="0"/>
        <w:spacing w:line="360" w:lineRule="auto"/>
        <w:jc w:val="center"/>
        <w:textAlignment w:val="auto"/>
        <w:rPr>
          <w:rFonts w:hint="eastAsia" w:ascii="仿宋" w:hAnsi="仿宋" w:eastAsia="仿宋" w:cs="仿宋"/>
          <w:sz w:val="36"/>
          <w:szCs w:val="36"/>
          <w:highlight w:val="none"/>
        </w:rPr>
      </w:pPr>
    </w:p>
    <w:p w14:paraId="12D3BC47">
      <w:pPr>
        <w:keepNext w:val="0"/>
        <w:keepLines w:val="0"/>
        <w:pageBreakBefore w:val="0"/>
        <w:kinsoku/>
        <w:wordWrap/>
        <w:overflowPunct/>
        <w:topLinePunct w:val="0"/>
        <w:bidi w:val="0"/>
        <w:spacing w:line="360" w:lineRule="auto"/>
        <w:jc w:val="center"/>
        <w:textAlignment w:val="auto"/>
        <w:rPr>
          <w:rFonts w:hint="eastAsia" w:ascii="仿宋" w:hAnsi="仿宋" w:eastAsia="仿宋" w:cs="仿宋"/>
          <w:b/>
          <w:bCs/>
          <w:sz w:val="36"/>
          <w:szCs w:val="36"/>
          <w:highlight w:val="none"/>
        </w:rPr>
      </w:pPr>
    </w:p>
    <w:p w14:paraId="33777A3E">
      <w:pPr>
        <w:pStyle w:val="4"/>
        <w:keepNext w:val="0"/>
        <w:keepLines w:val="0"/>
        <w:pageBreakBefore w:val="0"/>
        <w:kinsoku/>
        <w:wordWrap/>
        <w:overflowPunct/>
        <w:topLinePunct w:val="0"/>
        <w:bidi w:val="0"/>
        <w:spacing w:line="360" w:lineRule="auto"/>
        <w:textAlignment w:val="auto"/>
        <w:rPr>
          <w:rFonts w:hint="eastAsia" w:ascii="仿宋" w:hAnsi="仿宋" w:eastAsia="仿宋" w:cs="仿宋"/>
          <w:b/>
          <w:bCs/>
          <w:sz w:val="36"/>
          <w:szCs w:val="36"/>
          <w:highlight w:val="none"/>
        </w:rPr>
      </w:pPr>
    </w:p>
    <w:p w14:paraId="28DF4E84">
      <w:pPr>
        <w:pStyle w:val="4"/>
        <w:keepNext w:val="0"/>
        <w:keepLines w:val="0"/>
        <w:pageBreakBefore w:val="0"/>
        <w:kinsoku/>
        <w:wordWrap/>
        <w:overflowPunct/>
        <w:topLinePunct w:val="0"/>
        <w:bidi w:val="0"/>
        <w:spacing w:line="360" w:lineRule="auto"/>
        <w:textAlignment w:val="auto"/>
        <w:rPr>
          <w:rFonts w:hint="eastAsia" w:ascii="仿宋" w:hAnsi="仿宋" w:eastAsia="仿宋" w:cs="仿宋"/>
          <w:b/>
          <w:bCs/>
          <w:sz w:val="36"/>
          <w:szCs w:val="36"/>
          <w:highlight w:val="none"/>
        </w:rPr>
      </w:pPr>
    </w:p>
    <w:p w14:paraId="513F386D">
      <w:pPr>
        <w:keepNext w:val="0"/>
        <w:keepLines w:val="0"/>
        <w:pageBreakBefore w:val="0"/>
        <w:kinsoku/>
        <w:wordWrap/>
        <w:overflowPunct/>
        <w:topLinePunct w:val="0"/>
        <w:bidi w:val="0"/>
        <w:spacing w:line="360" w:lineRule="auto"/>
        <w:jc w:val="center"/>
        <w:textAlignment w:val="auto"/>
        <w:rPr>
          <w:rFonts w:hint="eastAsia" w:ascii="仿宋" w:hAnsi="仿宋" w:eastAsia="仿宋" w:cs="仿宋"/>
          <w:b/>
          <w:bCs/>
          <w:sz w:val="36"/>
          <w:szCs w:val="36"/>
          <w:highlight w:val="none"/>
        </w:rPr>
      </w:pPr>
    </w:p>
    <w:p w14:paraId="00692901">
      <w:pPr>
        <w:keepNext w:val="0"/>
        <w:keepLines w:val="0"/>
        <w:pageBreakBefore w:val="0"/>
        <w:kinsoku/>
        <w:wordWrap/>
        <w:overflowPunct/>
        <w:topLinePunct w:val="0"/>
        <w:bidi w:val="0"/>
        <w:spacing w:line="360" w:lineRule="auto"/>
        <w:jc w:val="center"/>
        <w:textAlignment w:val="auto"/>
        <w:rPr>
          <w:rFonts w:hint="eastAsia" w:ascii="仿宋" w:hAnsi="仿宋" w:eastAsia="仿宋" w:cs="仿宋"/>
          <w:b/>
          <w:bCs/>
          <w:sz w:val="36"/>
          <w:szCs w:val="36"/>
          <w:highlight w:val="none"/>
        </w:rPr>
      </w:pPr>
    </w:p>
    <w:p w14:paraId="419EF199">
      <w:pPr>
        <w:keepNext w:val="0"/>
        <w:keepLines w:val="0"/>
        <w:pageBreakBefore w:val="0"/>
        <w:kinsoku/>
        <w:wordWrap/>
        <w:overflowPunct/>
        <w:topLinePunct w:val="0"/>
        <w:bidi w:val="0"/>
        <w:spacing w:line="360" w:lineRule="auto"/>
        <w:jc w:val="center"/>
        <w:textAlignment w:val="auto"/>
        <w:rPr>
          <w:rFonts w:hint="eastAsia" w:ascii="仿宋" w:hAnsi="仿宋" w:eastAsia="仿宋" w:cs="仿宋"/>
          <w:b/>
          <w:bCs/>
          <w:sz w:val="36"/>
          <w:szCs w:val="36"/>
          <w:highlight w:val="none"/>
        </w:rPr>
      </w:pPr>
    </w:p>
    <w:p w14:paraId="631C4EB6">
      <w:pPr>
        <w:keepNext w:val="0"/>
        <w:keepLines w:val="0"/>
        <w:pageBreakBefore w:val="0"/>
        <w:kinsoku/>
        <w:wordWrap/>
        <w:overflowPunct/>
        <w:topLinePunct w:val="0"/>
        <w:bidi w:val="0"/>
        <w:spacing w:line="360" w:lineRule="auto"/>
        <w:ind w:firstLine="2107" w:firstLineChars="656"/>
        <w:jc w:val="left"/>
        <w:textAlignment w:val="auto"/>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 xml:space="preserve">采购人（全称）：                 </w:t>
      </w:r>
    </w:p>
    <w:p w14:paraId="7EFF78E6">
      <w:pPr>
        <w:keepNext w:val="0"/>
        <w:keepLines w:val="0"/>
        <w:pageBreakBefore w:val="0"/>
        <w:kinsoku/>
        <w:wordWrap/>
        <w:overflowPunct/>
        <w:topLinePunct w:val="0"/>
        <w:bidi w:val="0"/>
        <w:spacing w:line="360" w:lineRule="auto"/>
        <w:ind w:firstLine="2107" w:firstLineChars="656"/>
        <w:jc w:val="left"/>
        <w:textAlignment w:val="auto"/>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 xml:space="preserve">供应商（全称）：                 </w:t>
      </w:r>
    </w:p>
    <w:p w14:paraId="0119C593">
      <w:pPr>
        <w:keepNext w:val="0"/>
        <w:keepLines w:val="0"/>
        <w:pageBreakBefore w:val="0"/>
        <w:kinsoku/>
        <w:wordWrap/>
        <w:overflowPunct/>
        <w:topLinePunct w:val="0"/>
        <w:bidi w:val="0"/>
        <w:spacing w:line="360" w:lineRule="auto"/>
        <w:jc w:val="center"/>
        <w:textAlignment w:val="auto"/>
        <w:rPr>
          <w:rFonts w:hint="eastAsia" w:ascii="仿宋" w:hAnsi="仿宋" w:eastAsia="仿宋" w:cs="仿宋"/>
          <w:b/>
          <w:bCs/>
          <w:sz w:val="36"/>
          <w:szCs w:val="36"/>
          <w:highlight w:val="none"/>
        </w:rPr>
      </w:pPr>
    </w:p>
    <w:p w14:paraId="0E10B586">
      <w:pPr>
        <w:keepNext w:val="0"/>
        <w:keepLines w:val="0"/>
        <w:pageBreakBefore w:val="0"/>
        <w:kinsoku/>
        <w:wordWrap/>
        <w:overflowPunct/>
        <w:topLinePunct w:val="0"/>
        <w:bidi w:val="0"/>
        <w:spacing w:line="360" w:lineRule="auto"/>
        <w:jc w:val="center"/>
        <w:textAlignment w:val="auto"/>
        <w:rPr>
          <w:rFonts w:hint="eastAsia" w:ascii="仿宋" w:hAnsi="仿宋" w:eastAsia="仿宋" w:cs="仿宋"/>
          <w:b/>
          <w:bCs/>
          <w:sz w:val="36"/>
          <w:szCs w:val="36"/>
          <w:highlight w:val="none"/>
        </w:rPr>
      </w:pPr>
      <w:r>
        <w:rPr>
          <w:rFonts w:hint="eastAsia" w:ascii="仿宋" w:hAnsi="仿宋" w:eastAsia="仿宋" w:cs="仿宋"/>
          <w:b/>
          <w:bCs/>
          <w:sz w:val="36"/>
          <w:szCs w:val="36"/>
          <w:highlight w:val="none"/>
        </w:rPr>
        <w:t>202</w:t>
      </w:r>
      <w:r>
        <w:rPr>
          <w:rFonts w:hint="eastAsia" w:ascii="仿宋" w:hAnsi="仿宋" w:eastAsia="仿宋" w:cs="仿宋"/>
          <w:b/>
          <w:bCs/>
          <w:sz w:val="36"/>
          <w:szCs w:val="36"/>
          <w:highlight w:val="none"/>
          <w:lang w:val="en-US" w:eastAsia="zh-CN"/>
        </w:rPr>
        <w:t>6</w:t>
      </w:r>
      <w:r>
        <w:rPr>
          <w:rFonts w:hint="eastAsia" w:ascii="仿宋" w:hAnsi="仿宋" w:eastAsia="仿宋" w:cs="仿宋"/>
          <w:b/>
          <w:bCs/>
          <w:sz w:val="36"/>
          <w:szCs w:val="36"/>
          <w:highlight w:val="none"/>
        </w:rPr>
        <w:t>年    月</w:t>
      </w:r>
    </w:p>
    <w:p w14:paraId="50E2773C">
      <w:pPr>
        <w:keepNext w:val="0"/>
        <w:keepLines w:val="0"/>
        <w:pageBreakBefore w:val="0"/>
        <w:kinsoku/>
        <w:wordWrap/>
        <w:overflowPunct/>
        <w:topLinePunct w:val="0"/>
        <w:bidi w:val="0"/>
        <w:spacing w:line="360" w:lineRule="auto"/>
        <w:jc w:val="both"/>
        <w:textAlignment w:val="auto"/>
        <w:rPr>
          <w:rFonts w:hint="eastAsia" w:ascii="仿宋" w:hAnsi="仿宋" w:eastAsia="仿宋" w:cs="仿宋"/>
          <w:b/>
          <w:bCs/>
          <w:sz w:val="52"/>
          <w:szCs w:val="52"/>
          <w:highlight w:val="none"/>
        </w:rPr>
      </w:pPr>
    </w:p>
    <w:p w14:paraId="276AB584">
      <w:pPr>
        <w:keepNext w:val="0"/>
        <w:keepLines w:val="0"/>
        <w:pageBreakBefore w:val="0"/>
        <w:kinsoku/>
        <w:wordWrap/>
        <w:overflowPunct/>
        <w:topLinePunct w:val="0"/>
        <w:bidi w:val="0"/>
        <w:spacing w:line="360" w:lineRule="auto"/>
        <w:textAlignment w:val="auto"/>
        <w:rPr>
          <w:rFonts w:hint="eastAsia" w:ascii="仿宋" w:hAnsi="仿宋" w:eastAsia="仿宋" w:cs="仿宋"/>
          <w:b/>
          <w:bCs/>
          <w:szCs w:val="24"/>
          <w:highlight w:val="none"/>
        </w:rPr>
      </w:pPr>
      <w:r>
        <w:rPr>
          <w:rFonts w:hint="eastAsia" w:ascii="仿宋" w:hAnsi="仿宋" w:eastAsia="仿宋" w:cs="仿宋"/>
          <w:b/>
          <w:bCs/>
          <w:szCs w:val="24"/>
          <w:highlight w:val="none"/>
        </w:rPr>
        <w:br w:type="page"/>
      </w:r>
    </w:p>
    <w:p w14:paraId="3402C894">
      <w:pPr>
        <w:keepNext w:val="0"/>
        <w:keepLines w:val="0"/>
        <w:pageBreakBefore w:val="0"/>
        <w:widowControl w:val="0"/>
        <w:tabs>
          <w:tab w:val="left" w:pos="9030"/>
        </w:tabs>
        <w:kinsoku/>
        <w:wordWrap/>
        <w:overflowPunct/>
        <w:topLinePunct w:val="0"/>
        <w:autoSpaceDE/>
        <w:autoSpaceDN/>
        <w:bidi w:val="0"/>
        <w:adjustRightInd w:val="0"/>
        <w:snapToGrid w:val="0"/>
        <w:spacing w:line="360" w:lineRule="auto"/>
        <w:ind w:right="0"/>
        <w:jc w:val="center"/>
        <w:textAlignment w:val="auto"/>
        <w:outlineLvl w:val="0"/>
        <w:rPr>
          <w:rFonts w:hint="eastAsia" w:ascii="仿宋" w:hAnsi="仿宋" w:eastAsia="仿宋" w:cs="仿宋"/>
          <w:sz w:val="28"/>
          <w:szCs w:val="28"/>
        </w:rPr>
      </w:pPr>
      <w:r>
        <w:rPr>
          <w:rStyle w:val="9"/>
          <w:rFonts w:hint="eastAsia" w:ascii="仿宋" w:hAnsi="仿宋" w:eastAsia="仿宋" w:cs="仿宋"/>
          <w:b/>
          <w:bCs/>
          <w:sz w:val="28"/>
          <w:szCs w:val="28"/>
          <w:lang w:val="zh-CN" w:eastAsia="zh-CN"/>
        </w:rPr>
        <w:t>拟签订的合同条款文本</w:t>
      </w:r>
    </w:p>
    <w:p w14:paraId="7EC30F29">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 xml:space="preserve">甲方（采购人）： </w:t>
      </w:r>
    </w:p>
    <w:p w14:paraId="7B5FBD59">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乙方（</w:t>
      </w:r>
      <w:r>
        <w:rPr>
          <w:rFonts w:hint="eastAsia" w:ascii="仿宋" w:hAnsi="仿宋" w:eastAsia="仿宋" w:cs="仿宋"/>
          <w:bCs/>
          <w:sz w:val="24"/>
          <w:szCs w:val="24"/>
          <w:lang w:eastAsia="zh-CN"/>
        </w:rPr>
        <w:t>成交供应商</w:t>
      </w:r>
      <w:r>
        <w:rPr>
          <w:rFonts w:hint="eastAsia" w:ascii="仿宋" w:hAnsi="仿宋" w:eastAsia="仿宋" w:cs="仿宋"/>
          <w:bCs/>
          <w:sz w:val="24"/>
          <w:szCs w:val="24"/>
        </w:rPr>
        <w:t xml:space="preserve">）： </w:t>
      </w:r>
    </w:p>
    <w:p w14:paraId="6C3114FA">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CN"/>
        </w:rPr>
        <w:t>市管人行天桥通道定期检测项目（</w:t>
      </w:r>
      <w:r>
        <w:rPr>
          <w:rFonts w:hint="eastAsia" w:ascii="仿宋" w:hAnsi="仿宋" w:eastAsia="仿宋" w:cs="仿宋"/>
          <w:bCs/>
          <w:sz w:val="24"/>
          <w:szCs w:val="24"/>
          <w:lang w:val="en-US" w:eastAsia="zh-Hans"/>
        </w:rPr>
        <w:t>项目编号：SXHJZB-2026-1</w:t>
      </w:r>
      <w:r>
        <w:rPr>
          <w:rFonts w:hint="eastAsia" w:ascii="仿宋" w:hAnsi="仿宋" w:eastAsia="仿宋" w:cs="仿宋"/>
          <w:bCs/>
          <w:sz w:val="24"/>
          <w:szCs w:val="24"/>
          <w:lang w:val="en-US" w:eastAsia="zh-CN"/>
        </w:rPr>
        <w:t>5</w:t>
      </w:r>
      <w:r>
        <w:rPr>
          <w:rFonts w:hint="eastAsia" w:ascii="仿宋" w:hAnsi="仿宋" w:eastAsia="仿宋" w:cs="仿宋"/>
          <w:bCs/>
          <w:sz w:val="24"/>
          <w:szCs w:val="24"/>
          <w:lang w:val="en-US" w:eastAsia="zh-Hans"/>
        </w:rPr>
        <w:t>)，由陕西华璟项目管理有限公司组织招标，</w:t>
      </w:r>
      <w:r>
        <w:rPr>
          <w:rFonts w:hint="eastAsia" w:ascii="仿宋" w:hAnsi="仿宋" w:eastAsia="仿宋" w:cs="仿宋"/>
          <w:bCs/>
          <w:sz w:val="24"/>
          <w:szCs w:val="24"/>
          <w:u w:val="single"/>
          <w:lang w:val="en-US" w:eastAsia="zh-Hans"/>
        </w:rPr>
        <w:t xml:space="preserve">           </w:t>
      </w:r>
      <w:r>
        <w:rPr>
          <w:rFonts w:hint="eastAsia" w:ascii="仿宋" w:hAnsi="仿宋" w:eastAsia="仿宋" w:cs="仿宋"/>
          <w:bCs/>
          <w:sz w:val="24"/>
          <w:szCs w:val="24"/>
          <w:u w:val="single"/>
          <w:lang w:val="en-US" w:eastAsia="zh-CN"/>
        </w:rPr>
        <w:t xml:space="preserve">  </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以下简称“甲方”</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确定</w:t>
      </w:r>
      <w:r>
        <w:rPr>
          <w:rFonts w:hint="eastAsia" w:ascii="仿宋" w:hAnsi="仿宋" w:eastAsia="仿宋" w:cs="仿宋"/>
          <w:bCs/>
          <w:sz w:val="24"/>
          <w:szCs w:val="24"/>
          <w:u w:val="single"/>
          <w:lang w:val="en-US" w:eastAsia="zh-CN"/>
        </w:rPr>
        <w:t xml:space="preserve">     </w:t>
      </w:r>
      <w:r>
        <w:rPr>
          <w:rFonts w:hint="eastAsia" w:ascii="仿宋" w:hAnsi="仿宋" w:eastAsia="仿宋" w:cs="仿宋"/>
          <w:bCs/>
          <w:sz w:val="24"/>
          <w:szCs w:val="24"/>
          <w:lang w:val="en-US" w:eastAsia="zh-Hans"/>
        </w:rPr>
        <w:t>（以下简称“乙方”）为该项目的</w:t>
      </w:r>
      <w:r>
        <w:rPr>
          <w:rFonts w:hint="eastAsia" w:ascii="仿宋" w:hAnsi="仿宋" w:eastAsia="仿宋" w:cs="仿宋"/>
          <w:bCs/>
          <w:sz w:val="24"/>
          <w:szCs w:val="24"/>
          <w:lang w:val="en-US" w:eastAsia="zh-CN"/>
        </w:rPr>
        <w:t>成交供应商</w:t>
      </w:r>
      <w:r>
        <w:rPr>
          <w:rFonts w:hint="eastAsia" w:ascii="仿宋" w:hAnsi="仿宋" w:eastAsia="仿宋" w:cs="仿宋"/>
          <w:bCs/>
          <w:sz w:val="24"/>
          <w:szCs w:val="24"/>
          <w:lang w:val="en-US" w:eastAsia="zh-Hans"/>
        </w:rPr>
        <w:t>。</w:t>
      </w:r>
    </w:p>
    <w:p w14:paraId="45AB5E81">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lang w:val="en-US" w:eastAsia="zh-Hans"/>
        </w:rPr>
        <w:t>依据《中华人民共和国</w:t>
      </w:r>
      <w:r>
        <w:rPr>
          <w:rFonts w:hint="eastAsia" w:ascii="仿宋" w:hAnsi="仿宋" w:eastAsia="仿宋" w:cs="仿宋"/>
          <w:bCs/>
          <w:sz w:val="24"/>
          <w:szCs w:val="24"/>
          <w:lang w:val="en-US" w:eastAsia="zh-CN"/>
        </w:rPr>
        <w:t>民法典</w:t>
      </w:r>
      <w:r>
        <w:rPr>
          <w:rFonts w:hint="eastAsia" w:ascii="仿宋" w:hAnsi="仿宋" w:eastAsia="仿宋" w:cs="仿宋"/>
          <w:bCs/>
          <w:sz w:val="24"/>
          <w:szCs w:val="24"/>
          <w:lang w:val="en-US" w:eastAsia="zh-Hans"/>
        </w:rPr>
        <w:t>》和《中华人民共和国政府采购法》之规定，经双方在平等</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自愿</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互利的基础上，签订本合同，共同信守。</w:t>
      </w:r>
    </w:p>
    <w:p w14:paraId="6F3FBAD5">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一、合同价款</w:t>
      </w:r>
    </w:p>
    <w:p w14:paraId="7B52CEA9">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（一）</w:t>
      </w:r>
      <w:r>
        <w:rPr>
          <w:rFonts w:hint="eastAsia" w:ascii="仿宋" w:hAnsi="仿宋" w:eastAsia="仿宋" w:cs="仿宋"/>
          <w:bCs/>
          <w:sz w:val="24"/>
          <w:szCs w:val="24"/>
          <w:lang w:val="en-US" w:eastAsia="zh-CN"/>
        </w:rPr>
        <w:t>合同总价：人民币（大写）</w:t>
      </w:r>
      <w:r>
        <w:rPr>
          <w:rFonts w:hint="eastAsia" w:ascii="仿宋" w:hAnsi="仿宋" w:eastAsia="仿宋" w:cs="仿宋"/>
          <w:bCs/>
          <w:sz w:val="24"/>
          <w:szCs w:val="24"/>
          <w:u w:val="single"/>
          <w:lang w:val="en-US" w:eastAsia="zh-CN"/>
        </w:rPr>
        <w:t xml:space="preserve">        </w:t>
      </w:r>
      <w:r>
        <w:rPr>
          <w:rFonts w:hint="eastAsia" w:ascii="仿宋" w:hAnsi="仿宋" w:eastAsia="仿宋" w:cs="仿宋"/>
          <w:bCs/>
          <w:sz w:val="24"/>
          <w:szCs w:val="24"/>
          <w:lang w:val="en-US" w:eastAsia="zh-CN"/>
        </w:rPr>
        <w:t>（¥</w:t>
      </w:r>
      <w:r>
        <w:rPr>
          <w:rFonts w:hint="eastAsia" w:ascii="仿宋" w:hAnsi="仿宋" w:eastAsia="仿宋" w:cs="仿宋"/>
          <w:bCs/>
          <w:sz w:val="24"/>
          <w:szCs w:val="24"/>
          <w:u w:val="single"/>
          <w:lang w:val="en-US" w:eastAsia="zh-CN"/>
        </w:rPr>
        <w:t xml:space="preserve">         </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w:t>
      </w:r>
    </w:p>
    <w:p w14:paraId="1B7649D5">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Hans"/>
        </w:rPr>
        <w:t>（二）费用包含完成本次项目全部内容要求及工期的成本、利润、税金、开办费、技术措施费、组织措施费、交通安全措施费、各类机械进出场费、钻探费、风险费、复测费、竣工验收、政策性文件规定费用、技术规范要求的费用等所需的全部费用。采购人不再支付其他费用。</w:t>
      </w:r>
    </w:p>
    <w:p w14:paraId="6072EE0E">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二</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委托工作内容：</w:t>
      </w:r>
    </w:p>
    <w:p w14:paraId="18E3EB7E">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按照《城市桥梁养护技术标准》（CJJ99-2017）等规范要求，对123座人行天桥和地下通道开展结构检测，安全检查排查，其他应急检测和技术服务等内容。通过专业检测发现桥梁病害和运行隐患，评价桥梁技术状况，并提出针对性的养护技术意见，编制桥梁检测报告等。</w:t>
      </w:r>
    </w:p>
    <w:p w14:paraId="6A2C13B6">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三</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款项结算</w:t>
      </w:r>
    </w:p>
    <w:p w14:paraId="6336FE27">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bookmarkStart w:id="0" w:name="_Hlk69116164"/>
      <w:r>
        <w:rPr>
          <w:rFonts w:hint="eastAsia" w:ascii="仿宋" w:hAnsi="仿宋" w:eastAsia="仿宋" w:cs="仿宋"/>
          <w:bCs/>
          <w:sz w:val="24"/>
          <w:szCs w:val="24"/>
          <w:lang w:val="en-US" w:eastAsia="zh-Hans"/>
        </w:rPr>
        <w:t>（一）付款方式：</w:t>
      </w:r>
    </w:p>
    <w:bookmarkEnd w:id="0"/>
    <w:p w14:paraId="2B8912A9">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CN"/>
        </w:rPr>
        <w:t>1.</w:t>
      </w:r>
      <w:r>
        <w:rPr>
          <w:rFonts w:hint="eastAsia" w:ascii="仿宋" w:hAnsi="仿宋" w:eastAsia="仿宋" w:cs="仿宋"/>
          <w:bCs/>
          <w:sz w:val="24"/>
          <w:szCs w:val="24"/>
          <w:lang w:val="en-US" w:eastAsia="zh-Hans"/>
        </w:rPr>
        <w:t>合同签订后，支付预付款。甲方收到增值税发票后30日内，支付合同总金额的60.00%；</w:t>
      </w:r>
    </w:p>
    <w:p w14:paraId="4F266650">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CN"/>
        </w:rPr>
        <w:t>2.</w:t>
      </w:r>
      <w:r>
        <w:rPr>
          <w:rFonts w:hint="eastAsia" w:ascii="仿宋" w:hAnsi="仿宋" w:eastAsia="仿宋" w:cs="仿宋"/>
          <w:bCs/>
          <w:sz w:val="24"/>
          <w:szCs w:val="24"/>
          <w:lang w:val="en-US" w:eastAsia="zh-Hans"/>
        </w:rPr>
        <w:t>乙方完成合同全部内容，验收合格后，甲方收到增值税发票后30日内，支付合同总金额的40.00%。</w:t>
      </w:r>
    </w:p>
    <w:p w14:paraId="61AF18CD">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（二）结算方式：银行转账。</w:t>
      </w:r>
    </w:p>
    <w:p w14:paraId="6A267A97">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乙方账户信息：</w:t>
      </w:r>
    </w:p>
    <w:p w14:paraId="3861C764">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开户银行：</w:t>
      </w:r>
    </w:p>
    <w:p w14:paraId="643FCAB7">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户    名：</w:t>
      </w:r>
    </w:p>
    <w:p w14:paraId="4AED78FB">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账    号：</w:t>
      </w:r>
    </w:p>
    <w:p w14:paraId="2A7FBC11">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三）结算单位：由甲方负责结算，乙方在每次接受付款前，应按照甲方要求出具相应金额的发票。乙方出示非法发票的，视为违约行为，甲方有权暂停支付相应款项且不受上述条件的限制。两次出示非法发票的，甲方有权解除合同。给甲方造成损失的，乙方应承担赔偿责任。</w:t>
      </w:r>
    </w:p>
    <w:p w14:paraId="4F7BA842">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四</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服务地点及服务期</w:t>
      </w:r>
    </w:p>
    <w:p w14:paraId="6006F091">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（一）服务地点：甲方指定地点。</w:t>
      </w:r>
    </w:p>
    <w:p w14:paraId="52386575">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highlight w:val="none"/>
          <w:lang w:val="en-US" w:eastAsia="zh-CN"/>
        </w:rPr>
      </w:pPr>
      <w:r>
        <w:rPr>
          <w:rFonts w:hint="eastAsia" w:ascii="仿宋" w:hAnsi="仿宋" w:eastAsia="仿宋" w:cs="仿宋"/>
          <w:bCs/>
          <w:sz w:val="24"/>
          <w:szCs w:val="24"/>
          <w:lang w:val="en-US" w:eastAsia="zh-Hans"/>
        </w:rPr>
        <w:t>（二）</w:t>
      </w:r>
      <w:r>
        <w:rPr>
          <w:rFonts w:hint="eastAsia" w:ascii="仿宋" w:hAnsi="仿宋" w:eastAsia="仿宋" w:cs="仿宋"/>
          <w:bCs/>
          <w:sz w:val="24"/>
          <w:szCs w:val="24"/>
          <w:highlight w:val="none"/>
          <w:lang w:val="en-US" w:eastAsia="zh-Hans"/>
        </w:rPr>
        <w:t>服务期：本次桥梁检测外业工作、数据分析等应在签订合同后60日历天内完成，10月30日前提交最终检测报告</w:t>
      </w:r>
      <w:r>
        <w:rPr>
          <w:rFonts w:hint="eastAsia" w:ascii="仿宋" w:hAnsi="仿宋" w:eastAsia="仿宋" w:cs="仿宋"/>
          <w:bCs/>
          <w:sz w:val="24"/>
          <w:szCs w:val="24"/>
          <w:highlight w:val="none"/>
          <w:lang w:val="en-US" w:eastAsia="zh-CN"/>
        </w:rPr>
        <w:t>。</w:t>
      </w:r>
    </w:p>
    <w:p w14:paraId="38E3292A">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highlight w:val="none"/>
          <w:lang w:val="en-US" w:eastAsia="zh-Hans"/>
        </w:rPr>
      </w:pPr>
      <w:r>
        <w:rPr>
          <w:rFonts w:hint="eastAsia" w:ascii="仿宋" w:hAnsi="仿宋" w:eastAsia="仿宋" w:cs="仿宋"/>
          <w:bCs/>
          <w:sz w:val="24"/>
          <w:szCs w:val="24"/>
          <w:highlight w:val="none"/>
          <w:lang w:val="en-US" w:eastAsia="zh-Hans"/>
        </w:rPr>
        <w:t>五</w:t>
      </w:r>
      <w:bookmarkStart w:id="1" w:name="_Toc6938"/>
      <w:r>
        <w:rPr>
          <w:rFonts w:hint="eastAsia" w:ascii="仿宋" w:hAnsi="仿宋" w:eastAsia="仿宋" w:cs="仿宋"/>
          <w:bCs/>
          <w:sz w:val="24"/>
          <w:szCs w:val="24"/>
          <w:highlight w:val="none"/>
          <w:lang w:val="en-US" w:eastAsia="zh-CN"/>
        </w:rPr>
        <w:t>、</w:t>
      </w:r>
      <w:r>
        <w:rPr>
          <w:rFonts w:hint="eastAsia" w:ascii="仿宋" w:hAnsi="仿宋" w:eastAsia="仿宋" w:cs="仿宋"/>
          <w:bCs/>
          <w:sz w:val="24"/>
          <w:szCs w:val="24"/>
          <w:highlight w:val="none"/>
          <w:lang w:val="en-US" w:eastAsia="zh-Hans"/>
        </w:rPr>
        <w:t>双方的权利和义务</w:t>
      </w:r>
      <w:bookmarkEnd w:id="1"/>
    </w:p>
    <w:p w14:paraId="7AE040E3">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highlight w:val="none"/>
          <w:lang w:val="en-US" w:eastAsia="zh-Hans"/>
        </w:rPr>
        <w:t>（一）甲方的权利与义</w:t>
      </w:r>
      <w:r>
        <w:rPr>
          <w:rFonts w:hint="eastAsia" w:ascii="仿宋" w:hAnsi="仿宋" w:eastAsia="仿宋" w:cs="仿宋"/>
          <w:bCs/>
          <w:sz w:val="24"/>
          <w:szCs w:val="24"/>
          <w:lang w:val="en-US" w:eastAsia="zh-Hans"/>
        </w:rPr>
        <w:t>务</w:t>
      </w:r>
    </w:p>
    <w:p w14:paraId="20E94E71">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1.甲方负责配合本次项目服务工作；</w:t>
      </w:r>
    </w:p>
    <w:p w14:paraId="6B565B18">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2.甲方应按本合同的约定向乙方支付合同价款；</w:t>
      </w:r>
    </w:p>
    <w:p w14:paraId="77A48116">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3.甲方根据需要对乙方提供的服务方案进行审核，提供建议及意见，确定最终实施的服务方案，以便乙方遵照执行；</w:t>
      </w:r>
    </w:p>
    <w:p w14:paraId="41FA8727">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4.按照有</w:t>
      </w:r>
      <w:bookmarkStart w:id="4" w:name="_GoBack"/>
      <w:bookmarkEnd w:id="4"/>
      <w:r>
        <w:rPr>
          <w:rFonts w:hint="eastAsia" w:ascii="仿宋" w:hAnsi="仿宋" w:eastAsia="仿宋" w:cs="仿宋"/>
          <w:bCs/>
          <w:sz w:val="24"/>
          <w:szCs w:val="24"/>
          <w:lang w:val="en-US" w:eastAsia="zh-Hans"/>
        </w:rPr>
        <w:t>关要求，对项目的进度</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质量和保密等情况进行全程监督检查，并对相关成果进行抽查</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 xml:space="preserve">检查； </w:t>
      </w:r>
    </w:p>
    <w:p w14:paraId="0E9AA3D0">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5.组织对乙方形成的相关成果资料审核</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评审；</w:t>
      </w:r>
    </w:p>
    <w:p w14:paraId="55788D4A">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（二）乙方的权利与义务</w:t>
      </w:r>
    </w:p>
    <w:p w14:paraId="4202C755">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1.乙方的工作人员必须严格遵守甲方的规章制度，以良好的形象和积极的工作态度，按甲方要求开展工作；</w:t>
      </w:r>
    </w:p>
    <w:p w14:paraId="62D83502">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2.根据甲方提供的有关资料和委托要求，依据有关法规和规范等要求，按双方拟定的进度，按时</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保质</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 xml:space="preserve">保量提供相关数据及成果资料； </w:t>
      </w:r>
    </w:p>
    <w:p w14:paraId="6DAFD3B8">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3.定期向甲方汇报项目进展</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 xml:space="preserve">质量情况及存在问题； </w:t>
      </w:r>
    </w:p>
    <w:p w14:paraId="4E7368F5">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4.严格按照国家和地方的相关规程</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 xml:space="preserve">细则规定进行项目的实施，并对成果质量负责； </w:t>
      </w:r>
    </w:p>
    <w:p w14:paraId="192952D7">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 xml:space="preserve">5.乙方应做好成果检查验收工作； </w:t>
      </w:r>
    </w:p>
    <w:p w14:paraId="263983AD">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bookmarkStart w:id="2" w:name="_Toc18752"/>
      <w:bookmarkStart w:id="3" w:name="_Toc4603"/>
      <w:r>
        <w:rPr>
          <w:rFonts w:hint="eastAsia" w:ascii="仿宋" w:hAnsi="仿宋" w:eastAsia="仿宋" w:cs="仿宋"/>
          <w:bCs/>
          <w:sz w:val="24"/>
          <w:szCs w:val="24"/>
          <w:lang w:val="en-US" w:eastAsia="zh-Hans"/>
        </w:rPr>
        <w:t>六</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成果的交付及归属</w:t>
      </w:r>
    </w:p>
    <w:p w14:paraId="34889BAD">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（一）交付</w:t>
      </w:r>
    </w:p>
    <w:p w14:paraId="5AFCC5E3">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检测工作全部完成后应以书面文本及电子文本（书面文本3</w:t>
      </w:r>
      <w:r>
        <w:rPr>
          <w:rFonts w:hint="eastAsia" w:ascii="仿宋" w:hAnsi="仿宋" w:eastAsia="仿宋" w:cs="仿宋"/>
          <w:color w:val="000000" w:themeColor="text1"/>
          <w:sz w:val="24"/>
          <w:szCs w:val="24"/>
          <w:highlight w:val="none"/>
          <w:lang w:val="en-US" w:eastAsia="zh-CN"/>
          <w14:textFill>
            <w14:solidFill>
              <w14:schemeClr w14:val="tx1"/>
            </w14:solidFill>
          </w14:textFill>
        </w:rPr>
        <w:t>套，电子文本1套</w:t>
      </w:r>
      <w:r>
        <w:rPr>
          <w:rFonts w:hint="eastAsia" w:ascii="仿宋" w:hAnsi="仿宋" w:eastAsia="仿宋" w:cs="仿宋"/>
          <w:color w:val="auto"/>
          <w:sz w:val="24"/>
          <w:szCs w:val="24"/>
          <w:highlight w:val="none"/>
          <w:lang w:val="en-US" w:eastAsia="zh-CN"/>
        </w:rPr>
        <w:t>，电子文本使用U盘拷贝）形式提交。提交的内容分别有：（1）《桥梁定期检测评定报告》、《结构检算报告》、《桥梁抗震性能检测评定报告》等。（2）检测全部原始影像资料（U盘拷贝）；（3）根据《城市桥梁养护技术标准》完成附录B城市桥梁资料卡的更新完善。</w:t>
      </w:r>
    </w:p>
    <w:p w14:paraId="023AAA62">
      <w:pPr>
        <w:keepNext w:val="0"/>
        <w:keepLines w:val="0"/>
        <w:pageBreakBefore w:val="0"/>
        <w:widowControl w:val="0"/>
        <w:numPr>
          <w:ilvl w:val="0"/>
          <w:numId w:val="0"/>
        </w:numPr>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其中检测报告应详细、清晰、完整地反映检测过程，报告数据真实、内容完整、结论准确，报告中的数据作为指导采购人开展有效的桥梁应急抢险及养护维修工作的科学依据。检测报告也将作为道路桥梁安全评价及因道路桥梁结构安全问题造成的事故调查的法律依据。</w:t>
      </w:r>
    </w:p>
    <w:p w14:paraId="332A43B4">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（二）归属</w:t>
      </w:r>
    </w:p>
    <w:p w14:paraId="4C7290F4">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1.开展该项工作的全部原始资料</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中间过渡及最终成果所有权属于甲方。未经甲方书面授权许可，乙方不得擅自将原始资料</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 xml:space="preserve">中间过渡和最终成果复制自留或提供给其他任何单位和个人使用，为自己或其他任何单位和个人谋取利益。 </w:t>
      </w:r>
    </w:p>
    <w:p w14:paraId="10B279BB">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2.本次成果所有权</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使用权和著作权均属于甲方。乙方应确保提供服务过程中不会侵犯任何第三方的知识产权，否则承担由此产生的一切法律和经济责任。</w:t>
      </w:r>
    </w:p>
    <w:p w14:paraId="24347295">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3.本项目作业过程中的所有资料或数据均属甲方，乙方不得以任何借口留存相关数据，且不得在合同规定之外自行处置数据，即不得自行删除</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复制</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修改</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 xml:space="preserve">转移数据，同时不得以任何形式向第三方提供。 </w:t>
      </w:r>
    </w:p>
    <w:p w14:paraId="1DB4A8A0">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4.未经甲方允许，任何单位和个人不得转让和使用本项目的测绘成果。</w:t>
      </w:r>
    </w:p>
    <w:p w14:paraId="09656712">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七</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保密制度</w:t>
      </w:r>
      <w:bookmarkEnd w:id="2"/>
      <w:bookmarkEnd w:id="3"/>
    </w:p>
    <w:p w14:paraId="77CA37E0">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（一）乙方必须按国家有关保密法律法规的要求，采取有效的保密措施，严防甲方提供给乙方的成果和资料泄密。由于乙方原因造成成果资料泄密，一切责</w:t>
      </w:r>
      <w:r>
        <w:rPr>
          <w:rFonts w:hint="eastAsia" w:ascii="仿宋" w:hAnsi="仿宋" w:eastAsia="仿宋" w:cs="仿宋"/>
          <w:bCs/>
          <w:sz w:val="24"/>
          <w:szCs w:val="24"/>
          <w:lang w:val="en-US" w:eastAsia="zh-CN"/>
        </w:rPr>
        <w:t>任由</w:t>
      </w:r>
      <w:r>
        <w:rPr>
          <w:rFonts w:hint="eastAsia" w:ascii="仿宋" w:hAnsi="仿宋" w:eastAsia="仿宋" w:cs="仿宋"/>
          <w:bCs/>
          <w:sz w:val="24"/>
          <w:szCs w:val="24"/>
          <w:lang w:val="en-US" w:eastAsia="zh-Hans"/>
        </w:rPr>
        <w:t xml:space="preserve">乙方承担。 </w:t>
      </w:r>
    </w:p>
    <w:p w14:paraId="27295837">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（二）乙方不得利用甲方因执行本合同提供给乙方的成果和资料从事任何商业性活动。</w:t>
      </w:r>
    </w:p>
    <w:p w14:paraId="148F79F3">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（三）乙方应妥善保管项目相关资料及成果文件，未经甲方许可，不得复制</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转让（借）</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 xml:space="preserve">公开或销毁。乙方应与项目组所有成员签订保密协议，并将保密协议报送甲方备案。 </w:t>
      </w:r>
    </w:p>
    <w:p w14:paraId="33C9F9B8">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（四）除法律规定或合同另有约定外，未经甲方同意，乙方不得将甲方提供的相关资料</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 xml:space="preserve">数据和图件泄露给第三方。 </w:t>
      </w:r>
    </w:p>
    <w:p w14:paraId="482610DD">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（五）本合同的解除或终止不免除乙方应承担的保密义务。</w:t>
      </w:r>
    </w:p>
    <w:p w14:paraId="20AFCD24">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八</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知识产权</w:t>
      </w:r>
    </w:p>
    <w:p w14:paraId="6B30F9E6">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乙方应保证甲方在使用本项目服务及货物时，不承担任何涉及专利</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商标及知识产权等方面的法律诉讼责任。</w:t>
      </w:r>
    </w:p>
    <w:p w14:paraId="448FCAD4">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九</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其他事项</w:t>
      </w:r>
    </w:p>
    <w:p w14:paraId="66FE9797">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（一）乙方不得转让</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分包给</w:t>
      </w:r>
      <w:r>
        <w:rPr>
          <w:rFonts w:hint="eastAsia" w:ascii="仿宋" w:hAnsi="仿宋" w:eastAsia="仿宋" w:cs="仿宋"/>
          <w:bCs/>
          <w:sz w:val="24"/>
          <w:szCs w:val="24"/>
          <w:lang w:val="en-US" w:eastAsia="zh-CN"/>
        </w:rPr>
        <w:t>其他单位或个人</w:t>
      </w:r>
      <w:r>
        <w:rPr>
          <w:rFonts w:hint="eastAsia" w:ascii="仿宋" w:hAnsi="仿宋" w:eastAsia="仿宋" w:cs="仿宋"/>
          <w:bCs/>
          <w:sz w:val="24"/>
          <w:szCs w:val="24"/>
          <w:lang w:val="en-US" w:eastAsia="zh-Hans"/>
        </w:rPr>
        <w:t>。</w:t>
      </w:r>
    </w:p>
    <w:p w14:paraId="2972B933">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（二）乙方的投标文件和承诺等内容将列入合同。</w:t>
      </w:r>
    </w:p>
    <w:p w14:paraId="7D08C2BD">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十</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验收</w:t>
      </w:r>
    </w:p>
    <w:p w14:paraId="7325867E">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检测项目的竣工验收采取专家评审验收的形式进行，以最终评审结论确定。检测项目完成后，采购人组织行业内相关专家组成验收小组（专家评审费用由成交商承担）对本次检测成果进行专项评审。</w:t>
      </w:r>
    </w:p>
    <w:p w14:paraId="001A8DC3">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CN"/>
        </w:rPr>
        <w:t>验收主要针对检测内容、前期资料收集整理、病害定位、病害核查、病害成因分析、检测结论和建议、风险等级评定、报告内容和格式、后期服务内容等方面对本次检测的全面性、真实性、有效性、科学性、规范性、检测成果资料完整性等进行全面评审。对验收评审不符合要求的，应按照评审专家及采购人的意见进行整改完善后，重新组织验收。</w:t>
      </w:r>
    </w:p>
    <w:p w14:paraId="0953ACFE">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十一</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违约责任</w:t>
      </w:r>
    </w:p>
    <w:p w14:paraId="0FCB4E84">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（一）甲方违约责任</w:t>
      </w:r>
    </w:p>
    <w:p w14:paraId="0DEC8F37">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1.本合同签订后，若由于非乙方原因，若乙方尚未进入现场，则甲方未支付的合同款项不再支付，已支付的款项，乙方应予以退还，若乙方已经进入现场工作的，甲方应按照乙方已完成实际工作量支付检测工程款。</w:t>
      </w:r>
    </w:p>
    <w:p w14:paraId="22353499">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2.甲方未按本合同约定期限支付乙方工程款的，每延迟一天，应按本合同约定的检测工程总价款的1‰的标准向乙方支付违约金。</w:t>
      </w:r>
    </w:p>
    <w:p w14:paraId="79752A26">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 xml:space="preserve">3.对于乙方提供的图纸资料以及检测成果等，甲方有义务保密，不得用于本合同项下检测工程以外的项目和目的，否则乙方有权要求甲方承担相应的违约责任。 </w:t>
      </w:r>
    </w:p>
    <w:p w14:paraId="52662479">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（二）乙方违约责任</w:t>
      </w:r>
    </w:p>
    <w:p w14:paraId="00C73EB8">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1.乙方未能按合同规定日期提交检测成果时，应向甲方偿付拖期损失费，每天的拖期损失费按本合同约定的检测工程总价款的1‰计算；</w:t>
      </w:r>
    </w:p>
    <w:p w14:paraId="4C1FE823">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2.乙方提供的检测成果质量不合格的，乙方应负责无偿予以重测或采取补救措施，以达到质量要求。因检测成果质量不符合合同要求（而又非甲方提供的图纸资料原因所致）给甲方造成损失时，乙方应对因此造成的直接损失负赔偿责任，并按本合同约定的检测工程款总额的20%向甲方支付违约金。乙方应在甲方指定的期限内返工并提交检测成果。</w:t>
      </w:r>
    </w:p>
    <w:p w14:paraId="047EE5B1">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3.对于甲方提供的图纸和技术资料以及属于甲方的检测成果，乙方有保密义务，不得以任何方式告知任何第三方，否则，甲方有权要求乙方赔偿损失，并按本合同约定的检测工程款总额的20%向甲方支付违约金。</w:t>
      </w:r>
    </w:p>
    <w:p w14:paraId="63ECEB47">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4.乙方擅自转包或分包本合同标的的，甲方有权解除合同，并有权要求乙方支付约定的检测工程款总额20%的违约金。</w:t>
      </w:r>
    </w:p>
    <w:p w14:paraId="75E81AD2">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十二</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合同争议解决的方式</w:t>
      </w:r>
    </w:p>
    <w:p w14:paraId="23A3C8DA">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本合同在履行过程中发生的争议，由甲</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乙双方当事人协商解决，协商不成的按下列第（二）种方式解决：</w:t>
      </w:r>
    </w:p>
    <w:p w14:paraId="0D04BE66">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（一）提交项目所在地仲裁委员会仲裁；</w:t>
      </w:r>
    </w:p>
    <w:p w14:paraId="63AB5CC9">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（二）依法向甲方所在地法院起诉。</w:t>
      </w:r>
    </w:p>
    <w:p w14:paraId="0E8B1F53">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十三</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合同生效</w:t>
      </w:r>
    </w:p>
    <w:p w14:paraId="2F00E92C">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（一）本合同须经甲</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乙双方的法定代表人（授权代表）在合同书上签字并加盖本单位公章后正式生效。</w:t>
      </w:r>
    </w:p>
    <w:p w14:paraId="6D35AD18">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（二）合同生效后，甲</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乙双方须严格执行本合同条款的规定，全面履行合同，违者</w:t>
      </w:r>
      <w:r>
        <w:rPr>
          <w:rFonts w:hint="eastAsia" w:ascii="仿宋" w:hAnsi="仿宋" w:eastAsia="仿宋" w:cs="仿宋"/>
          <w:bCs/>
          <w:sz w:val="24"/>
          <w:szCs w:val="24"/>
          <w:lang w:val="en-US" w:eastAsia="zh-CN"/>
        </w:rPr>
        <w:t>按照《中华人民共和国</w:t>
      </w:r>
      <w:r>
        <w:rPr>
          <w:rFonts w:hint="eastAsia" w:ascii="仿宋" w:hAnsi="仿宋" w:eastAsia="仿宋" w:cs="仿宋"/>
          <w:bCs/>
          <w:sz w:val="24"/>
          <w:szCs w:val="24"/>
          <w:lang w:val="en-US" w:eastAsia="zh-Hans"/>
        </w:rPr>
        <w:t>民法典》的有关规定承担相应责任。</w:t>
      </w:r>
    </w:p>
    <w:p w14:paraId="74F75E6D">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sz w:val="24"/>
          <w:szCs w:val="24"/>
          <w:lang w:val="en-US" w:eastAsia="zh-Hans"/>
        </w:rPr>
      </w:pPr>
      <w:r>
        <w:rPr>
          <w:rFonts w:hint="eastAsia" w:ascii="仿宋" w:hAnsi="仿宋" w:eastAsia="仿宋" w:cs="仿宋"/>
          <w:bCs/>
          <w:sz w:val="24"/>
          <w:szCs w:val="24"/>
          <w:lang w:val="en-US" w:eastAsia="zh-Hans"/>
        </w:rPr>
        <w:t>（三）本合同一式   份，甲乙双方各执    份。</w:t>
      </w:r>
    </w:p>
    <w:p w14:paraId="6E4928BE">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bCs/>
          <w:sz w:val="24"/>
          <w:szCs w:val="24"/>
          <w:lang w:val="en-US" w:eastAsia="zh-Hans"/>
        </w:rPr>
        <w:t>（四）本合同如有未尽事宜，甲</w:t>
      </w:r>
      <w:r>
        <w:rPr>
          <w:rFonts w:hint="eastAsia" w:ascii="仿宋" w:hAnsi="仿宋" w:eastAsia="仿宋" w:cs="仿宋"/>
          <w:bCs/>
          <w:sz w:val="24"/>
          <w:szCs w:val="24"/>
          <w:lang w:val="en-US" w:eastAsia="zh-CN"/>
        </w:rPr>
        <w:t>、</w:t>
      </w:r>
      <w:r>
        <w:rPr>
          <w:rFonts w:hint="eastAsia" w:ascii="仿宋" w:hAnsi="仿宋" w:eastAsia="仿宋" w:cs="仿宋"/>
          <w:bCs/>
          <w:sz w:val="24"/>
          <w:szCs w:val="24"/>
          <w:lang w:val="en-US" w:eastAsia="zh-Hans"/>
        </w:rPr>
        <w:t>乙双方协商解决。</w:t>
      </w:r>
    </w:p>
    <w:p w14:paraId="08E9B8E7">
      <w:pPr>
        <w:keepNext w:val="0"/>
        <w:keepLines w:val="0"/>
        <w:pageBreakBefore w:val="0"/>
        <w:kinsoku/>
        <w:wordWrap/>
        <w:overflowPunct/>
        <w:topLinePunct w:val="0"/>
        <w:bidi w:val="0"/>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br w:type="page"/>
      </w:r>
    </w:p>
    <w:tbl>
      <w:tblPr>
        <w:tblStyle w:val="7"/>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36"/>
        <w:gridCol w:w="4484"/>
      </w:tblGrid>
      <w:tr w14:paraId="29335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8" w:type="pct"/>
            <w:shd w:val="clear" w:color="auto" w:fill="D8D8D8"/>
            <w:noWrap w:val="0"/>
            <w:vAlign w:val="center"/>
          </w:tcPr>
          <w:p w14:paraId="27CA8732">
            <w:pPr>
              <w:keepNext w:val="0"/>
              <w:keepLines w:val="0"/>
              <w:pageBreakBefore w:val="0"/>
              <w:kinsoku/>
              <w:wordWrap/>
              <w:overflowPunct/>
              <w:topLinePunct w:val="0"/>
              <w:bidi w:val="0"/>
              <w:spacing w:line="360" w:lineRule="auto"/>
              <w:jc w:val="center"/>
              <w:textAlignment w:val="auto"/>
              <w:rPr>
                <w:rFonts w:hint="eastAsia" w:ascii="仿宋" w:hAnsi="仿宋" w:eastAsia="仿宋" w:cs="仿宋"/>
                <w:b/>
                <w:color w:val="000000"/>
                <w:highlight w:val="none"/>
              </w:rPr>
            </w:pPr>
            <w:r>
              <w:rPr>
                <w:rFonts w:hint="eastAsia" w:ascii="仿宋" w:hAnsi="仿宋" w:eastAsia="仿宋" w:cs="仿宋"/>
                <w:b/>
                <w:color w:val="000000"/>
                <w:highlight w:val="none"/>
              </w:rPr>
              <w:t>甲  方</w:t>
            </w:r>
          </w:p>
        </w:tc>
        <w:tc>
          <w:tcPr>
            <w:tcW w:w="2631" w:type="pct"/>
            <w:shd w:val="clear" w:color="auto" w:fill="D8D8D8"/>
            <w:noWrap w:val="0"/>
            <w:vAlign w:val="center"/>
          </w:tcPr>
          <w:p w14:paraId="27383495">
            <w:pPr>
              <w:keepNext w:val="0"/>
              <w:keepLines w:val="0"/>
              <w:pageBreakBefore w:val="0"/>
              <w:kinsoku/>
              <w:wordWrap/>
              <w:overflowPunct/>
              <w:topLinePunct w:val="0"/>
              <w:bidi w:val="0"/>
              <w:spacing w:line="360" w:lineRule="auto"/>
              <w:jc w:val="center"/>
              <w:textAlignment w:val="auto"/>
              <w:rPr>
                <w:rFonts w:hint="eastAsia" w:ascii="仿宋" w:hAnsi="仿宋" w:eastAsia="仿宋" w:cs="仿宋"/>
                <w:b/>
                <w:color w:val="000000"/>
                <w:highlight w:val="none"/>
              </w:rPr>
            </w:pPr>
            <w:r>
              <w:rPr>
                <w:rFonts w:hint="eastAsia" w:ascii="仿宋" w:hAnsi="仿宋" w:eastAsia="仿宋" w:cs="仿宋"/>
                <w:b/>
                <w:color w:val="000000"/>
                <w:highlight w:val="none"/>
              </w:rPr>
              <w:t>乙  方</w:t>
            </w:r>
          </w:p>
        </w:tc>
      </w:tr>
      <w:tr w14:paraId="6BC6E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 w:hRule="atLeast"/>
          <w:jc w:val="center"/>
        </w:trPr>
        <w:tc>
          <w:tcPr>
            <w:tcW w:w="2368" w:type="pct"/>
            <w:noWrap w:val="0"/>
            <w:vAlign w:val="center"/>
          </w:tcPr>
          <w:p w14:paraId="3122D385">
            <w:pPr>
              <w:keepNext w:val="0"/>
              <w:keepLines w:val="0"/>
              <w:pageBreakBefore w:val="0"/>
              <w:kinsoku/>
              <w:wordWrap/>
              <w:overflowPunct/>
              <w:topLinePunct w:val="0"/>
              <w:bidi w:val="0"/>
              <w:spacing w:line="360" w:lineRule="auto"/>
              <w:jc w:val="both"/>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采购人</w:t>
            </w:r>
          </w:p>
          <w:p w14:paraId="0F9359AF">
            <w:pPr>
              <w:keepNext w:val="0"/>
              <w:keepLines w:val="0"/>
              <w:pageBreakBefore w:val="0"/>
              <w:kinsoku/>
              <w:wordWrap/>
              <w:overflowPunct/>
              <w:topLinePunct w:val="0"/>
              <w:bidi w:val="0"/>
              <w:spacing w:line="360" w:lineRule="auto"/>
              <w:jc w:val="both"/>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（公章）</w:t>
            </w:r>
          </w:p>
        </w:tc>
        <w:tc>
          <w:tcPr>
            <w:tcW w:w="2631" w:type="pct"/>
            <w:noWrap w:val="0"/>
            <w:vAlign w:val="center"/>
          </w:tcPr>
          <w:p w14:paraId="097D1073">
            <w:pPr>
              <w:keepNext w:val="0"/>
              <w:keepLines w:val="0"/>
              <w:pageBreakBefore w:val="0"/>
              <w:kinsoku/>
              <w:wordWrap/>
              <w:overflowPunct/>
              <w:topLinePunct w:val="0"/>
              <w:bidi w:val="0"/>
              <w:spacing w:line="360" w:lineRule="auto"/>
              <w:jc w:val="both"/>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中标供应商</w:t>
            </w:r>
          </w:p>
          <w:p w14:paraId="5BD42553">
            <w:pPr>
              <w:keepNext w:val="0"/>
              <w:keepLines w:val="0"/>
              <w:pageBreakBefore w:val="0"/>
              <w:kinsoku/>
              <w:wordWrap/>
              <w:overflowPunct/>
              <w:topLinePunct w:val="0"/>
              <w:bidi w:val="0"/>
              <w:spacing w:line="360" w:lineRule="auto"/>
              <w:jc w:val="both"/>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（公章）</w:t>
            </w:r>
          </w:p>
        </w:tc>
      </w:tr>
      <w:tr w14:paraId="7F700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8" w:type="pct"/>
            <w:noWrap w:val="0"/>
            <w:vAlign w:val="center"/>
          </w:tcPr>
          <w:p w14:paraId="2119CD95">
            <w:pPr>
              <w:keepNext w:val="0"/>
              <w:keepLines w:val="0"/>
              <w:pageBreakBefore w:val="0"/>
              <w:kinsoku/>
              <w:wordWrap/>
              <w:overflowPunct/>
              <w:topLinePunct w:val="0"/>
              <w:bidi w:val="0"/>
              <w:spacing w:line="360" w:lineRule="auto"/>
              <w:jc w:val="both"/>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地址：</w:t>
            </w:r>
          </w:p>
        </w:tc>
        <w:tc>
          <w:tcPr>
            <w:tcW w:w="2631" w:type="pct"/>
            <w:noWrap w:val="0"/>
            <w:vAlign w:val="center"/>
          </w:tcPr>
          <w:p w14:paraId="30DD3CE1">
            <w:pPr>
              <w:keepNext w:val="0"/>
              <w:keepLines w:val="0"/>
              <w:pageBreakBefore w:val="0"/>
              <w:kinsoku/>
              <w:wordWrap/>
              <w:overflowPunct/>
              <w:topLinePunct w:val="0"/>
              <w:bidi w:val="0"/>
              <w:spacing w:line="360" w:lineRule="auto"/>
              <w:jc w:val="both"/>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地址：</w:t>
            </w:r>
          </w:p>
        </w:tc>
      </w:tr>
      <w:tr w14:paraId="73741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8" w:type="pct"/>
            <w:noWrap w:val="0"/>
            <w:vAlign w:val="center"/>
          </w:tcPr>
          <w:p w14:paraId="6BC3E277">
            <w:pPr>
              <w:keepNext w:val="0"/>
              <w:keepLines w:val="0"/>
              <w:pageBreakBefore w:val="0"/>
              <w:kinsoku/>
              <w:wordWrap/>
              <w:overflowPunct/>
              <w:topLinePunct w:val="0"/>
              <w:bidi w:val="0"/>
              <w:spacing w:line="360" w:lineRule="auto"/>
              <w:jc w:val="both"/>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邮编：</w:t>
            </w:r>
          </w:p>
        </w:tc>
        <w:tc>
          <w:tcPr>
            <w:tcW w:w="2631" w:type="pct"/>
            <w:noWrap w:val="0"/>
            <w:vAlign w:val="center"/>
          </w:tcPr>
          <w:p w14:paraId="30A789E3">
            <w:pPr>
              <w:keepNext w:val="0"/>
              <w:keepLines w:val="0"/>
              <w:pageBreakBefore w:val="0"/>
              <w:kinsoku/>
              <w:wordWrap/>
              <w:overflowPunct/>
              <w:topLinePunct w:val="0"/>
              <w:bidi w:val="0"/>
              <w:spacing w:line="360" w:lineRule="auto"/>
              <w:jc w:val="both"/>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邮编：</w:t>
            </w:r>
          </w:p>
        </w:tc>
      </w:tr>
      <w:tr w14:paraId="481E8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8" w:type="pct"/>
            <w:noWrap w:val="0"/>
            <w:vAlign w:val="center"/>
          </w:tcPr>
          <w:p w14:paraId="4C833EB7">
            <w:pPr>
              <w:keepNext w:val="0"/>
              <w:keepLines w:val="0"/>
              <w:pageBreakBefore w:val="0"/>
              <w:kinsoku/>
              <w:wordWrap/>
              <w:overflowPunct/>
              <w:topLinePunct w:val="0"/>
              <w:bidi w:val="0"/>
              <w:spacing w:line="360" w:lineRule="auto"/>
              <w:jc w:val="both"/>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w:t>
            </w:r>
          </w:p>
        </w:tc>
        <w:tc>
          <w:tcPr>
            <w:tcW w:w="2631" w:type="pct"/>
            <w:noWrap w:val="0"/>
            <w:vAlign w:val="center"/>
          </w:tcPr>
          <w:p w14:paraId="375A2975">
            <w:pPr>
              <w:keepNext w:val="0"/>
              <w:keepLines w:val="0"/>
              <w:pageBreakBefore w:val="0"/>
              <w:kinsoku/>
              <w:wordWrap/>
              <w:overflowPunct/>
              <w:topLinePunct w:val="0"/>
              <w:bidi w:val="0"/>
              <w:spacing w:line="360" w:lineRule="auto"/>
              <w:jc w:val="both"/>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w:t>
            </w:r>
          </w:p>
        </w:tc>
      </w:tr>
      <w:tr w14:paraId="02B4A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8" w:type="pct"/>
            <w:noWrap w:val="0"/>
            <w:vAlign w:val="center"/>
          </w:tcPr>
          <w:p w14:paraId="736C7B27">
            <w:pPr>
              <w:keepNext w:val="0"/>
              <w:keepLines w:val="0"/>
              <w:pageBreakBefore w:val="0"/>
              <w:kinsoku/>
              <w:wordWrap/>
              <w:overflowPunct/>
              <w:topLinePunct w:val="0"/>
              <w:bidi w:val="0"/>
              <w:spacing w:line="360" w:lineRule="auto"/>
              <w:jc w:val="both"/>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负责人</w:t>
            </w:r>
            <w:r>
              <w:rPr>
                <w:rFonts w:hint="eastAsia" w:ascii="仿宋" w:hAnsi="仿宋" w:eastAsia="仿宋" w:cs="仿宋"/>
                <w:color w:val="000000"/>
                <w:sz w:val="24"/>
                <w:szCs w:val="24"/>
                <w:highlight w:val="none"/>
              </w:rPr>
              <w:t>：（签字）</w:t>
            </w:r>
          </w:p>
        </w:tc>
        <w:tc>
          <w:tcPr>
            <w:tcW w:w="2631" w:type="pct"/>
            <w:noWrap w:val="0"/>
            <w:vAlign w:val="center"/>
          </w:tcPr>
          <w:p w14:paraId="52FE1DC7">
            <w:pPr>
              <w:keepNext w:val="0"/>
              <w:keepLines w:val="0"/>
              <w:pageBreakBefore w:val="0"/>
              <w:kinsoku/>
              <w:wordWrap/>
              <w:overflowPunct/>
              <w:topLinePunct w:val="0"/>
              <w:bidi w:val="0"/>
              <w:spacing w:line="360" w:lineRule="auto"/>
              <w:jc w:val="both"/>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负责人</w:t>
            </w:r>
            <w:r>
              <w:rPr>
                <w:rFonts w:hint="eastAsia" w:ascii="仿宋" w:hAnsi="仿宋" w:eastAsia="仿宋" w:cs="仿宋"/>
                <w:color w:val="000000"/>
                <w:sz w:val="24"/>
                <w:szCs w:val="24"/>
                <w:highlight w:val="none"/>
              </w:rPr>
              <w:t>：（签字）</w:t>
            </w:r>
          </w:p>
        </w:tc>
      </w:tr>
      <w:tr w14:paraId="2CB0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8" w:type="pct"/>
            <w:noWrap w:val="0"/>
            <w:vAlign w:val="center"/>
          </w:tcPr>
          <w:p w14:paraId="2CC5CC7F">
            <w:pPr>
              <w:keepNext w:val="0"/>
              <w:keepLines w:val="0"/>
              <w:pageBreakBefore w:val="0"/>
              <w:kinsoku/>
              <w:wordWrap/>
              <w:overflowPunct/>
              <w:topLinePunct w:val="0"/>
              <w:bidi w:val="0"/>
              <w:spacing w:line="360" w:lineRule="auto"/>
              <w:jc w:val="both"/>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电话：</w:t>
            </w:r>
          </w:p>
        </w:tc>
        <w:tc>
          <w:tcPr>
            <w:tcW w:w="2631" w:type="pct"/>
            <w:noWrap w:val="0"/>
            <w:vAlign w:val="center"/>
          </w:tcPr>
          <w:p w14:paraId="7F7654A3">
            <w:pPr>
              <w:keepNext w:val="0"/>
              <w:keepLines w:val="0"/>
              <w:pageBreakBefore w:val="0"/>
              <w:kinsoku/>
              <w:wordWrap/>
              <w:overflowPunct/>
              <w:topLinePunct w:val="0"/>
              <w:bidi w:val="0"/>
              <w:spacing w:line="360" w:lineRule="auto"/>
              <w:jc w:val="both"/>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电话：</w:t>
            </w:r>
          </w:p>
        </w:tc>
      </w:tr>
      <w:tr w14:paraId="352F5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8" w:type="pct"/>
            <w:noWrap w:val="0"/>
            <w:vAlign w:val="center"/>
          </w:tcPr>
          <w:p w14:paraId="643D2F21">
            <w:pPr>
              <w:keepNext w:val="0"/>
              <w:keepLines w:val="0"/>
              <w:pageBreakBefore w:val="0"/>
              <w:kinsoku/>
              <w:wordWrap/>
              <w:overflowPunct/>
              <w:topLinePunct w:val="0"/>
              <w:bidi w:val="0"/>
              <w:spacing w:line="360" w:lineRule="auto"/>
              <w:jc w:val="both"/>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传真：</w:t>
            </w:r>
          </w:p>
        </w:tc>
        <w:tc>
          <w:tcPr>
            <w:tcW w:w="2631" w:type="pct"/>
            <w:noWrap w:val="0"/>
            <w:vAlign w:val="center"/>
          </w:tcPr>
          <w:p w14:paraId="0DF4445B">
            <w:pPr>
              <w:keepNext w:val="0"/>
              <w:keepLines w:val="0"/>
              <w:pageBreakBefore w:val="0"/>
              <w:kinsoku/>
              <w:wordWrap/>
              <w:overflowPunct/>
              <w:topLinePunct w:val="0"/>
              <w:bidi w:val="0"/>
              <w:spacing w:line="360" w:lineRule="auto"/>
              <w:jc w:val="both"/>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传真：</w:t>
            </w:r>
          </w:p>
        </w:tc>
      </w:tr>
      <w:tr w14:paraId="0F26F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8" w:type="pct"/>
            <w:noWrap w:val="0"/>
            <w:vAlign w:val="center"/>
          </w:tcPr>
          <w:p w14:paraId="08E2E95B">
            <w:pPr>
              <w:keepNext w:val="0"/>
              <w:keepLines w:val="0"/>
              <w:pageBreakBefore w:val="0"/>
              <w:kinsoku/>
              <w:wordWrap/>
              <w:overflowPunct/>
              <w:topLinePunct w:val="0"/>
              <w:bidi w:val="0"/>
              <w:spacing w:line="360" w:lineRule="auto"/>
              <w:jc w:val="both"/>
              <w:textAlignment w:val="auto"/>
              <w:rPr>
                <w:rFonts w:hint="eastAsia" w:ascii="仿宋" w:hAnsi="仿宋" w:eastAsia="仿宋" w:cs="仿宋"/>
                <w:color w:val="000000"/>
                <w:sz w:val="24"/>
                <w:szCs w:val="24"/>
                <w:highlight w:val="none"/>
              </w:rPr>
            </w:pPr>
          </w:p>
        </w:tc>
        <w:tc>
          <w:tcPr>
            <w:tcW w:w="2631" w:type="pct"/>
            <w:noWrap w:val="0"/>
            <w:vAlign w:val="center"/>
          </w:tcPr>
          <w:p w14:paraId="56EAEF5D">
            <w:pPr>
              <w:keepNext w:val="0"/>
              <w:keepLines w:val="0"/>
              <w:pageBreakBefore w:val="0"/>
              <w:kinsoku/>
              <w:wordWrap/>
              <w:overflowPunct/>
              <w:topLinePunct w:val="0"/>
              <w:bidi w:val="0"/>
              <w:spacing w:line="360" w:lineRule="auto"/>
              <w:jc w:val="both"/>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开户银行：</w:t>
            </w:r>
          </w:p>
        </w:tc>
      </w:tr>
      <w:tr w14:paraId="6B693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8" w:type="pct"/>
            <w:noWrap w:val="0"/>
            <w:vAlign w:val="center"/>
          </w:tcPr>
          <w:p w14:paraId="4F3A0B7E">
            <w:pPr>
              <w:keepNext w:val="0"/>
              <w:keepLines w:val="0"/>
              <w:pageBreakBefore w:val="0"/>
              <w:kinsoku/>
              <w:wordWrap/>
              <w:overflowPunct/>
              <w:topLinePunct w:val="0"/>
              <w:bidi w:val="0"/>
              <w:spacing w:line="360" w:lineRule="auto"/>
              <w:jc w:val="both"/>
              <w:textAlignment w:val="auto"/>
              <w:rPr>
                <w:rFonts w:hint="eastAsia" w:ascii="仿宋" w:hAnsi="仿宋" w:eastAsia="仿宋" w:cs="仿宋"/>
                <w:color w:val="000000"/>
                <w:sz w:val="24"/>
                <w:szCs w:val="24"/>
                <w:highlight w:val="none"/>
              </w:rPr>
            </w:pPr>
          </w:p>
        </w:tc>
        <w:tc>
          <w:tcPr>
            <w:tcW w:w="2631" w:type="pct"/>
            <w:noWrap w:val="0"/>
            <w:vAlign w:val="center"/>
          </w:tcPr>
          <w:p w14:paraId="365F3AC4">
            <w:pPr>
              <w:keepNext w:val="0"/>
              <w:keepLines w:val="0"/>
              <w:pageBreakBefore w:val="0"/>
              <w:kinsoku/>
              <w:wordWrap/>
              <w:overflowPunct/>
              <w:topLinePunct w:val="0"/>
              <w:bidi w:val="0"/>
              <w:spacing w:line="360" w:lineRule="auto"/>
              <w:jc w:val="both"/>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账号：</w:t>
            </w:r>
          </w:p>
        </w:tc>
      </w:tr>
      <w:tr w14:paraId="22DC0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8" w:type="pct"/>
            <w:noWrap w:val="0"/>
            <w:vAlign w:val="center"/>
          </w:tcPr>
          <w:p w14:paraId="2D6B9AF0">
            <w:pPr>
              <w:keepNext w:val="0"/>
              <w:keepLines w:val="0"/>
              <w:pageBreakBefore w:val="0"/>
              <w:kinsoku/>
              <w:wordWrap/>
              <w:overflowPunct/>
              <w:topLinePunct w:val="0"/>
              <w:bidi w:val="0"/>
              <w:spacing w:line="360" w:lineRule="auto"/>
              <w:jc w:val="both"/>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   年  月  日</w:t>
            </w:r>
          </w:p>
        </w:tc>
        <w:tc>
          <w:tcPr>
            <w:tcW w:w="2631" w:type="pct"/>
            <w:noWrap w:val="0"/>
            <w:vAlign w:val="center"/>
          </w:tcPr>
          <w:p w14:paraId="7E6B00F2">
            <w:pPr>
              <w:keepNext w:val="0"/>
              <w:keepLines w:val="0"/>
              <w:pageBreakBefore w:val="0"/>
              <w:kinsoku/>
              <w:wordWrap/>
              <w:overflowPunct/>
              <w:topLinePunct w:val="0"/>
              <w:bidi w:val="0"/>
              <w:spacing w:line="360" w:lineRule="auto"/>
              <w:jc w:val="both"/>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   年  月  日</w:t>
            </w:r>
          </w:p>
        </w:tc>
      </w:tr>
    </w:tbl>
    <w:p w14:paraId="3B936EBB">
      <w:pPr>
        <w:pStyle w:val="6"/>
        <w:keepNext w:val="0"/>
        <w:keepLines w:val="0"/>
        <w:pageBreakBefore w:val="0"/>
        <w:kinsoku/>
        <w:wordWrap/>
        <w:overflowPunct/>
        <w:topLinePunct w:val="0"/>
        <w:bidi w:val="0"/>
        <w:spacing w:line="360" w:lineRule="auto"/>
        <w:textAlignment w:val="auto"/>
        <w:rPr>
          <w:rFonts w:hint="eastAsia" w:ascii="仿宋" w:hAnsi="仿宋" w:eastAsia="仿宋" w:cs="仿宋"/>
          <w:highlight w:val="none"/>
        </w:rPr>
      </w:pPr>
    </w:p>
    <w:p w14:paraId="4A4EA0D4">
      <w:pPr>
        <w:keepNext w:val="0"/>
        <w:keepLines w:val="0"/>
        <w:pageBreakBefore w:val="0"/>
        <w:kinsoku/>
        <w:wordWrap/>
        <w:overflowPunct/>
        <w:topLinePunct w:val="0"/>
        <w:bidi w:val="0"/>
        <w:spacing w:line="360" w:lineRule="auto"/>
        <w:textAlignment w:val="auto"/>
        <w:rPr>
          <w:rFonts w:hint="eastAsia" w:ascii="仿宋" w:hAnsi="仿宋" w:eastAsia="仿宋" w:cs="仿宋"/>
        </w:rPr>
      </w:pPr>
    </w:p>
    <w:p w14:paraId="64E366E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145E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Light" w:hAnsi="Calibri Light" w:eastAsia="华文仿宋" w:cs="Times New Roman"/>
      <w:kern w:val="2"/>
      <w:sz w:val="21"/>
      <w:szCs w:val="24"/>
      <w:lang w:val="en-US" w:eastAsia="zh-CN" w:bidi="ar-SA"/>
    </w:rPr>
  </w:style>
  <w:style w:type="paragraph" w:styleId="3">
    <w:name w:val="heading 1"/>
    <w:basedOn w:val="1"/>
    <w:next w:val="1"/>
    <w:link w:val="9"/>
    <w:qFormat/>
    <w:uiPriority w:val="0"/>
    <w:pPr>
      <w:keepNext/>
      <w:jc w:val="center"/>
      <w:outlineLvl w:val="0"/>
    </w:pPr>
    <w:rPr>
      <w:rFonts w:ascii="黑体" w:eastAsia="黑体"/>
      <w:sz w:val="28"/>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2"/>
    <w:basedOn w:val="1"/>
    <w:qFormat/>
    <w:uiPriority w:val="99"/>
    <w:pPr>
      <w:ind w:right="26"/>
    </w:pPr>
    <w:rPr>
      <w:rFonts w:ascii="宋体"/>
      <w:szCs w:val="20"/>
    </w:rPr>
  </w:style>
  <w:style w:type="paragraph" w:styleId="4">
    <w:name w:val="Body Text"/>
    <w:basedOn w:val="1"/>
    <w:next w:val="1"/>
    <w:qFormat/>
    <w:uiPriority w:val="0"/>
  </w:style>
  <w:style w:type="paragraph" w:styleId="5">
    <w:name w:val="Plain Text"/>
    <w:basedOn w:val="1"/>
    <w:qFormat/>
    <w:uiPriority w:val="0"/>
    <w:rPr>
      <w:rFonts w:hAnsi="Courier New"/>
      <w:kern w:val="2"/>
      <w:sz w:val="21"/>
    </w:rPr>
  </w:style>
  <w:style w:type="paragraph" w:styleId="6">
    <w:name w:val="footer"/>
    <w:basedOn w:val="1"/>
    <w:next w:val="4"/>
    <w:qFormat/>
    <w:uiPriority w:val="0"/>
    <w:pPr>
      <w:tabs>
        <w:tab w:val="center" w:pos="4153"/>
        <w:tab w:val="right" w:pos="8306"/>
      </w:tabs>
      <w:snapToGrid w:val="0"/>
      <w:jc w:val="left"/>
    </w:pPr>
    <w:rPr>
      <w:sz w:val="18"/>
    </w:rPr>
  </w:style>
  <w:style w:type="character" w:customStyle="1" w:styleId="9">
    <w:name w:val="标题 1 Char"/>
    <w:link w:val="3"/>
    <w:qFormat/>
    <w:uiPriority w:val="0"/>
    <w:rPr>
      <w:rFonts w:ascii="黑体" w:eastAsia="黑体"/>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2026-06-25T05:38:29Z</dcterms:created>
  <dc:creator>hj_pb</dc:creator>
  <cp:lastModifiedBy>MY WAY、</cp:lastModifiedBy>
  <dcterms:modified xsi:type="dcterms:W3CDTF">2026-06-25T05:39:48Z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eyJoZGlkIjoiMzI2YWM0NTM0ZjgyZWZlYmQ5MmU2ZGE3NjFhODc4NDYiLCJ1c2VySWQiOiI2MTg4NTQ0MzUifQ==</vt:lpwstr>
  </property>
  <property fmtid="{D5CDD505-2E9C-101B-9397-08002B2CF9AE}" pid="4" name="ICV">
    <vt:lpwstr>B58FA0F63DA64590BC1DA38F0C6AC24B_12</vt:lpwstr>
  </property>
</Properties>
</file>