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版本号：HXCG-2026-HZ-05-0220260528001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关于2026年度西乡县城南街道泾洋村养殖产业路改造项目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HXCG-2026-HZ-05-02</w:t>
      </w:r>
      <w:r>
        <w:br/>
      </w:r>
      <w:r>
        <w:br/>
      </w:r>
      <w:r>
        <w:br/>
      </w:r>
    </w:p>
    <w:p>
      <w:pPr>
        <w:pStyle w:val="null3"/>
        <w:jc w:val="center"/>
        <w:outlineLvl w:val="2"/>
      </w:pPr>
      <w:r>
        <w:rPr>
          <w:rFonts w:ascii="仿宋_GB2312" w:hAnsi="仿宋_GB2312" w:cs="仿宋_GB2312" w:eastAsia="仿宋_GB2312"/>
          <w:sz w:val="28"/>
          <w:b/>
        </w:rPr>
        <w:t>西乡县城南街道办事处</w:t>
      </w:r>
    </w:p>
    <w:p>
      <w:pPr>
        <w:pStyle w:val="null3"/>
        <w:jc w:val="center"/>
        <w:outlineLvl w:val="2"/>
      </w:pPr>
      <w:r>
        <w:rPr>
          <w:rFonts w:ascii="仿宋_GB2312" w:hAnsi="仿宋_GB2312" w:cs="仿宋_GB2312" w:eastAsia="仿宋_GB2312"/>
          <w:sz w:val="28"/>
          <w:b/>
        </w:rPr>
        <w:t>横信项目管理有限公司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横信项目管理有限公司</w:t>
      </w:r>
      <w:r>
        <w:rPr>
          <w:rFonts w:ascii="仿宋_GB2312" w:hAnsi="仿宋_GB2312" w:cs="仿宋_GB2312" w:eastAsia="仿宋_GB2312"/>
        </w:rPr>
        <w:t>（以下简称“代理机构”）受</w:t>
      </w:r>
      <w:r>
        <w:rPr>
          <w:rFonts w:ascii="仿宋_GB2312" w:hAnsi="仿宋_GB2312" w:cs="仿宋_GB2312" w:eastAsia="仿宋_GB2312"/>
        </w:rPr>
        <w:t>西乡县城南街道办事处</w:t>
      </w:r>
      <w:r>
        <w:rPr>
          <w:rFonts w:ascii="仿宋_GB2312" w:hAnsi="仿宋_GB2312" w:cs="仿宋_GB2312" w:eastAsia="仿宋_GB2312"/>
        </w:rPr>
        <w:t>委托，拟对</w:t>
      </w:r>
      <w:r>
        <w:rPr>
          <w:rFonts w:ascii="仿宋_GB2312" w:hAnsi="仿宋_GB2312" w:cs="仿宋_GB2312" w:eastAsia="仿宋_GB2312"/>
        </w:rPr>
        <w:t>关于2026年度西乡县城南街道泾洋村养殖产业路改造项目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HXCG-2026-HZ-05-02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关于2026年度西乡县城南街道泾洋村养殖产业路改造项目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1.养殖产业路改造线路⻓1328m，设5%⽔泥⽯渣稳定层厚0.16⽶，宽4.12⽶;路⾯4.0MPa⽔泥混凝⼟，宽3.5⽶，厚0.18⽶;2.路基防护为M7.5浆砌⽯挡墙，共10段，⻓565⽶，直墙⾼1.5⼀4.5⽶。3.埋设预制砼涵管10座，⻓68 ⽶:盖板涵⼀座;新建混凝⼟边沟⻓1106⽶。4.安装Gr-C-4型护栏⻓936⽶。</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采购包1（关于2026年度西乡县城南街道泾洋村养殖产业路改造项目）：属于专门面向中小企业采购。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2、法定代表人或授权委托人身份证明：法定代表人或负责人直接参与磋商时需提供身份证明书及身份证复印件加盖公章 ；被授权人参与磋商时需提供法定代表人或负责人授权委托书（附法定代表人或负责人及被授权人身份证复印件并加盖公章）；</w:t>
      </w:r>
    </w:p>
    <w:p>
      <w:pPr>
        <w:pStyle w:val="null3"/>
      </w:pPr>
      <w:r>
        <w:rPr>
          <w:rFonts w:ascii="仿宋_GB2312" w:hAnsi="仿宋_GB2312" w:cs="仿宋_GB2312" w:eastAsia="仿宋_GB2312"/>
        </w:rPr>
        <w:t>3、供应商资质和专业要求：供应商须具备建设行政主管部门核发的公路工程施工总承包三级（含三级）及以上资质，并具有建设行政主管部门颁发的安全生产许可证；</w:t>
      </w:r>
    </w:p>
    <w:p>
      <w:pPr>
        <w:pStyle w:val="null3"/>
      </w:pPr>
      <w:r>
        <w:rPr>
          <w:rFonts w:ascii="仿宋_GB2312" w:hAnsi="仿宋_GB2312" w:cs="仿宋_GB2312" w:eastAsia="仿宋_GB2312"/>
        </w:rPr>
        <w:t>4、项目经理：项目经理须具有公路工程专业二级及以上注册建造师执业资格，具有水行政主管部门颁发的安全生产考核合格证且无在建工程（提供无在建承诺书）</w:t>
      </w:r>
    </w:p>
    <w:p>
      <w:pPr>
        <w:pStyle w:val="null3"/>
      </w:pPr>
      <w:r>
        <w:rPr>
          <w:rFonts w:ascii="仿宋_GB2312" w:hAnsi="仿宋_GB2312" w:cs="仿宋_GB2312" w:eastAsia="仿宋_GB2312"/>
        </w:rPr>
        <w:t>5、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西乡县城南街道办事处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西乡县东渡村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西乡县城南街道办事处经办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15191659753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横信项目管理有限公司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陕西省西安市经济技术开发区首创国际城八期64栋楼307室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18192640071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采购包1：1,769,584.00元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发展改革委员会办公厅颁发的《关于招标代理服务费收费有关问题的通知》（发改办价格[2003]857号）及《调整后的招标代理服务收费标准》(发改价格〔2011〕534号)规定.</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西乡县城南街道办事处</w:t>
      </w:r>
      <w:r>
        <w:rPr>
          <w:rFonts w:ascii="仿宋_GB2312" w:hAnsi="仿宋_GB2312" w:cs="仿宋_GB2312" w:eastAsia="仿宋_GB2312"/>
        </w:rPr>
        <w:t>和</w:t>
      </w:r>
      <w:r>
        <w:rPr>
          <w:rFonts w:ascii="仿宋_GB2312" w:hAnsi="仿宋_GB2312" w:cs="仿宋_GB2312" w:eastAsia="仿宋_GB2312"/>
        </w:rPr>
        <w:t>横信项目管理有限公司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西乡县城南街道办事处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横信项目管理有限公司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西乡县城南街道办事处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横信项目管理有限公司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联系人：程工</w:t>
      </w:r>
    </w:p>
    <w:p>
      <w:pPr>
        <w:pStyle w:val="null3"/>
      </w:pPr>
      <w:r>
        <w:rPr>
          <w:rFonts w:ascii="仿宋_GB2312" w:hAnsi="仿宋_GB2312" w:cs="仿宋_GB2312" w:eastAsia="仿宋_GB2312"/>
        </w:rPr>
        <w:t>联系电话：18192640071</w:t>
      </w:r>
    </w:p>
    <w:p>
      <w:pPr>
        <w:pStyle w:val="null3"/>
      </w:pPr>
      <w:r>
        <w:rPr>
          <w:rFonts w:ascii="仿宋_GB2312" w:hAnsi="仿宋_GB2312" w:cs="仿宋_GB2312" w:eastAsia="仿宋_GB2312"/>
        </w:rPr>
        <w:t>地址：陕西省西安市经济技术开发区首创国际城八期64栋楼307室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1,769,584.00</w:t>
      </w:r>
    </w:p>
    <w:p>
      <w:pPr>
        <w:pStyle w:val="null3"/>
      </w:pPr>
      <w:r>
        <w:rPr>
          <w:rFonts w:ascii="仿宋_GB2312" w:hAnsi="仿宋_GB2312" w:cs="仿宋_GB2312" w:eastAsia="仿宋_GB2312"/>
        </w:rPr>
        <w:t>采购包最高限价（元）: 1,769,584.00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2026年度西乡县城南街道泾洋村养殖产业路改造项目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1,769,584.00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标的名称：2026年度西乡县城南街道泾洋村养殖产业路改造项目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2553"/>
            </w:tblGrid>
            <w:tr>
              <w:tc>
                <w:tcPr>
                  <w:tcW w:type="dxa" w:w="2553"/>
                </w:tcPr>
                <w:p>
                  <w:pPr>
                    <w:pStyle w:val="null3"/>
                  </w:pPr>
                  <w:r>
                    <w:rPr>
                      <w:rFonts w:ascii="仿宋_GB2312" w:hAnsi="仿宋_GB2312" w:cs="仿宋_GB2312" w:eastAsia="仿宋_GB2312"/>
                    </w:rPr>
                    <w:t xml:space="preserve">商务要求： </w:t>
                  </w:r>
                </w:p>
                <w:p>
                  <w:pPr>
                    <w:pStyle w:val="null3"/>
                  </w:pPr>
                  <w:r>
                    <w:rPr>
                      <w:rFonts w:ascii="仿宋_GB2312" w:hAnsi="仿宋_GB2312" w:cs="仿宋_GB2312" w:eastAsia="仿宋_GB2312"/>
                    </w:rPr>
                    <w:t xml:space="preserve"> 1. 工期：合同签订后90个日历天。 </w:t>
                  </w:r>
                </w:p>
                <w:p>
                  <w:pPr>
                    <w:pStyle w:val="null3"/>
                  </w:pPr>
                  <w:r>
                    <w:rPr>
                      <w:rFonts w:ascii="仿宋_GB2312" w:hAnsi="仿宋_GB2312" w:cs="仿宋_GB2312" w:eastAsia="仿宋_GB2312"/>
                    </w:rPr>
                    <w:t>2. 质量要求：符合国家现行有关施工质量验收规范“合格”要求 。</w:t>
                  </w:r>
                </w:p>
                <w:p>
                  <w:pPr>
                    <w:pStyle w:val="null3"/>
                  </w:pPr>
                  <w:r>
                    <w:rPr>
                      <w:rFonts w:ascii="仿宋_GB2312" w:hAnsi="仿宋_GB2312" w:cs="仿宋_GB2312" w:eastAsia="仿宋_GB2312"/>
                    </w:rPr>
                    <w:t xml:space="preserve"> 3. 缺陷责任期：工程验收合格后 12个月。</w:t>
                  </w:r>
                </w:p>
                <w:p>
                  <w:pPr>
                    <w:pStyle w:val="null3"/>
                  </w:pPr>
                  <w:r>
                    <w:rPr>
                      <w:rFonts w:ascii="仿宋_GB2312" w:hAnsi="仿宋_GB2312" w:cs="仿宋_GB2312" w:eastAsia="仿宋_GB2312"/>
                    </w:rPr>
                    <w:t xml:space="preserve"> 4. 漏项处理：施工过程中发现工程量清单中存在漏项工程的，该漏项工程作为本项目采购的组成部分， 采购人和供应商可以按照双方合同的规定协商解决 。</w:t>
                  </w:r>
                </w:p>
                <w:p>
                  <w:pPr>
                    <w:pStyle w:val="null3"/>
                  </w:pPr>
                  <w:r>
                    <w:rPr>
                      <w:rFonts w:ascii="仿宋_GB2312" w:hAnsi="仿宋_GB2312" w:cs="仿宋_GB2312" w:eastAsia="仿宋_GB2312"/>
                    </w:rPr>
                    <w:t xml:space="preserve"> 5. 施工要求： 5.1 遵守国家相关法律、法规，遵守国家相关技术规范； 5.2 所选材料必须保证质 量可靠、进货渠道正常，符合国家环保等相关标准，满足施工要求； 5.3 工程质量符合国家有关规范 ，确保达到合格； 5.4 遵守有关施工规范和安全操作规程，采取有效的安全保障措施，确保施工安全 ，包括悬挂警示标牌、装设围栏 、配备安全人员等，并承担事故的全部费用和责任； 5.5 施工单位 必须服从当地对治安、卫生、环保、 社会保险等工程建设的统一管理，并按有关规定交纳费用以及因违反相关规定而造成的罚款； 5.6 本工程不允许转包； 5.7 供应商自行办理垃圾清理手续，遵守当地政府垃圾分类处理有关规定，承担自行处置不当导致的全部费用和责 任。 </w:t>
                  </w:r>
                </w:p>
                <w:p>
                  <w:pPr>
                    <w:pStyle w:val="null3"/>
                  </w:pPr>
                  <w:r>
                    <w:rPr>
                      <w:rFonts w:ascii="仿宋_GB2312" w:hAnsi="仿宋_GB2312" w:cs="仿宋_GB2312" w:eastAsia="仿宋_GB2312"/>
                    </w:rPr>
                    <w:t xml:space="preserve">6.质量 验收标准或规范 ： 6.1 国家现行有关法律、法规、环保和技术指标； 6.2 本项目施工合同； 6.3 经批准的设计文件及工程变更文件； 6.4 有关部政府部门的规定。 </w:t>
                  </w:r>
                </w:p>
                <w:p>
                  <w:pPr>
                    <w:pStyle w:val="null3"/>
                  </w:pPr>
                  <w:r>
                    <w:rPr>
                      <w:rFonts w:ascii="仿宋_GB2312" w:hAnsi="仿宋_GB2312" w:cs="仿宋_GB2312" w:eastAsia="仿宋_GB2312"/>
                    </w:rPr>
                    <w:t xml:space="preserve">7.项目检验与验收： 7.1 成交供应商向采购人提交项目实施过程中的所有资料； 7.2 验收须以合同、磋商文件及响应文件、澄清、及国家相应的标准、规范等为依据。 8.合同的变更、中止、终止：合同一经签订，不得擅自变更、中止或者终止合同。对确需变更、调整或者中止、终止合同的，由双方协商解决。 </w:t>
                  </w:r>
                </w:p>
                <w:p>
                  <w:pPr>
                    <w:pStyle w:val="null3"/>
                  </w:pPr>
                  <w:r>
                    <w:rPr>
                      <w:rFonts w:ascii="仿宋_GB2312" w:hAnsi="仿宋_GB2312" w:cs="仿宋_GB2312" w:eastAsia="仿宋_GB2312"/>
                    </w:rPr>
                    <w:t xml:space="preserve">9.合同争议的处理：合同在履行过程中发生的争议，当事人双方应协商解决，协商达不成一致时，可向采购方所在 地仲裁委员会申请仲裁或者向人民法院提请诉讼。 </w:t>
                  </w:r>
                </w:p>
                <w:p>
                  <w:pPr>
                    <w:pStyle w:val="null3"/>
                  </w:pPr>
                  <w:r>
                    <w:rPr>
                      <w:rFonts w:ascii="仿宋_GB2312" w:hAnsi="仿宋_GB2312" w:cs="仿宋_GB2312" w:eastAsia="仿宋_GB2312"/>
                    </w:rPr>
                    <w:t>10.违约责任： 10.1 按《中华人民共和国政府采购法》《中华人民共和 国民法典》中的相关条款执行； 10.2 未按要求提供货物、质量、环保标准不能满足技术要求的，施工方必须无条件更换，否则，采购单位有权终 止 合同，并对施工方的违约行为报监管机构进行相应的处罚</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1、所有工程须符合行业标准及相关规定； 2、所有工程须符合国家有关规范和执行标准。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1.特别注意:为顺利推进政府采购电子化交易平台应用工作，供应商均在线提交所有通过电子化交易平台实施的政府采购项目的磋商响应文件。 2.成交供应商在采购结果发布后3个工作日内向代理机构提交纸质版响应文件以便于存档，响应文件正本1份，副本1份（可以使用签章文件直接打印），电子版文件1份（以U盘为载体，PDF格式）。 3.如磋商文件中中小企业融资相关内容与新政策要求有出入，按照最新要求执行。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业绩.docx 供应商提供的相关资格证明文件.docx 项目管理组成人员.docx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应急实施⽅案.docx ⾬季施⼯管理措施.docx 企业控股关联关系说明.docx 施工进度计划措施.docx 商务响应偏离表.docx 质量保证措施.docx 响应函 施⼯机械配备和材料投⼊计划.docx 施工组织设计.docx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法定代表人或授权委托人身份证明</w:t>
            </w:r>
          </w:p>
        </w:tc>
        <w:tc>
          <w:tcPr>
            <w:tcW w:type="dxa" w:w="3322"/>
          </w:tcPr>
          <w:p>
            <w:pPr>
              <w:pStyle w:val="null3"/>
            </w:pPr>
            <w:r>
              <w:rPr>
                <w:rFonts w:ascii="仿宋_GB2312" w:hAnsi="仿宋_GB2312" w:cs="仿宋_GB2312" w:eastAsia="仿宋_GB2312"/>
              </w:rPr>
              <w:t>法定代表人或负责人直接参与磋商时需提供身份证明书及身份证复印件加盖公章 ；被授权人参与磋商时需提供法定代表人或负责人授权委托书（附法定代表人或负责人及被授权人身份证复印件并加盖公章）；</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供应商资质和专业要求</w:t>
            </w:r>
          </w:p>
        </w:tc>
        <w:tc>
          <w:tcPr>
            <w:tcW w:type="dxa" w:w="3322"/>
          </w:tcPr>
          <w:p>
            <w:pPr>
              <w:pStyle w:val="null3"/>
            </w:pPr>
            <w:r>
              <w:rPr>
                <w:rFonts w:ascii="仿宋_GB2312" w:hAnsi="仿宋_GB2312" w:cs="仿宋_GB2312" w:eastAsia="仿宋_GB2312"/>
              </w:rPr>
              <w:t>供应商须具备建设行政主管部门核发的公路工程施工总承包三级（含三级）及以上资质，并具有建设行政主管部门颁发的安全生产许可证；</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项目经理须具有公路工程专业二级及以上注册建造师执业资格，具有水行政主管部门颁发的安全生产考核合格证且无在建工程（提供无在建承诺书）</w:t>
            </w:r>
          </w:p>
        </w:tc>
        <w:tc>
          <w:tcPr>
            <w:tcW w:type="dxa" w:w="1661"/>
          </w:tcPr>
          <w:p>
            <w:pPr>
              <w:pStyle w:val="null3"/>
            </w:pPr>
            <w:r>
              <w:rPr>
                <w:rFonts w:ascii="仿宋_GB2312" w:hAnsi="仿宋_GB2312" w:cs="仿宋_GB2312" w:eastAsia="仿宋_GB2312"/>
              </w:rPr>
              <w:t>供应商提供的相关资格证明文件.docx 项目管理机构组成表 项目管理组成人员.docx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tc>
        <w:tc>
          <w:tcPr>
            <w:tcW w:type="dxa" w:w="1661"/>
          </w:tcPr>
          <w:p>
            <w:pPr>
              <w:pStyle w:val="null3"/>
            </w:pPr>
            <w:r>
              <w:rPr>
                <w:rFonts w:ascii="仿宋_GB2312" w:hAnsi="仿宋_GB2312" w:cs="仿宋_GB2312" w:eastAsia="仿宋_GB2312"/>
              </w:rPr>
              <w:t>供应商提供的相关资格证明文件.docx 企业控股关联关系说明.docx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响应签字、盖章</w:t>
            </w:r>
          </w:p>
        </w:tc>
        <w:tc>
          <w:tcPr>
            <w:tcW w:type="dxa" w:w="3322"/>
          </w:tcPr>
          <w:p>
            <w:pPr>
              <w:pStyle w:val="null3"/>
            </w:pPr>
            <w:r>
              <w:rPr>
                <w:rFonts w:ascii="仿宋_GB2312" w:hAnsi="仿宋_GB2312" w:cs="仿宋_GB2312" w:eastAsia="仿宋_GB2312"/>
              </w:rPr>
              <w:t>响应文件签署、盖章是否按竞争性磋商文件要求盖章。</w:t>
            </w:r>
          </w:p>
        </w:tc>
        <w:tc>
          <w:tcPr>
            <w:tcW w:type="dxa" w:w="1661"/>
          </w:tcPr>
          <w:p>
            <w:pPr>
              <w:pStyle w:val="null3"/>
            </w:pPr>
            <w:r>
              <w:rPr>
                <w:rFonts w:ascii="仿宋_GB2312" w:hAnsi="仿宋_GB2312" w:cs="仿宋_GB2312" w:eastAsia="仿宋_GB2312"/>
              </w:rPr>
              <w:t>业绩.docx 已标价工程量清单 ⾬季施⼯管理措施.docx 施工进度计划措施.docx 企业控股关联关系说明.docx 中小企业声明函 质量保证措施.docx 施工组织设计.docx 强制优先采购产品承诺函 响应文件封面 应急实施⽅案.docx 供应商提供的相关资格证明文件.docx 商务响应偏离表.docx 项目管理机构组成表 残疾人福利性单位声明函 报价函 标的清单 项目管理组成人员.docx 响应函 施⼯机械配备和材料投⼊计划.docx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施工组织计划</w:t>
            </w:r>
          </w:p>
        </w:tc>
        <w:tc>
          <w:tcPr>
            <w:tcW w:type="dxa" w:w="2492"/>
          </w:tcPr>
          <w:p>
            <w:pPr>
              <w:pStyle w:val="null3"/>
            </w:pPr>
            <w:r>
              <w:rPr>
                <w:rFonts w:ascii="仿宋_GB2312" w:hAnsi="仿宋_GB2312" w:cs="仿宋_GB2312" w:eastAsia="仿宋_GB2312"/>
              </w:rPr>
              <w:t>根据供应商提供的针对本项目的实施方案，包含以下内容：①施工图设计深化 实施方案；②具体施工组织方案；③成本目标；④各专业施工工艺及技术措施。⑤工程重难点及解决措 施根据响应内容进行综合评审。 方案各部分内容全面详细、阐述条理清晰详尽，有针对性，切实可行，得25 分；以上分项每缺少一项内容扣 5 分；有某一项不完整或不能确保项目顺利实施或套用其他项目内容的扣1分。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施工进度计划措施.docx</w:t>
            </w:r>
          </w:p>
          <w:p>
            <w:pPr>
              <w:pStyle w:val="null3"/>
            </w:pPr>
            <w:r>
              <w:rPr>
                <w:rFonts w:ascii="仿宋_GB2312" w:hAnsi="仿宋_GB2312" w:cs="仿宋_GB2312" w:eastAsia="仿宋_GB2312"/>
              </w:rPr>
              <w:t>施⼯机械配备和材料投⼊计划.docx</w:t>
            </w:r>
          </w:p>
          <w:p>
            <w:pPr>
              <w:pStyle w:val="null3"/>
            </w:pPr>
            <w:r>
              <w:rPr>
                <w:rFonts w:ascii="仿宋_GB2312" w:hAnsi="仿宋_GB2312" w:cs="仿宋_GB2312" w:eastAsia="仿宋_GB2312"/>
              </w:rPr>
              <w:t>项目管理组成人员.docx</w:t>
            </w:r>
          </w:p>
          <w:p>
            <w:pPr>
              <w:pStyle w:val="null3"/>
            </w:pPr>
            <w:r>
              <w:rPr>
                <w:rFonts w:ascii="仿宋_GB2312" w:hAnsi="仿宋_GB2312" w:cs="仿宋_GB2312" w:eastAsia="仿宋_GB2312"/>
              </w:rPr>
              <w:t>应急实施⽅案.docx</w:t>
            </w:r>
          </w:p>
          <w:p>
            <w:pPr>
              <w:pStyle w:val="null3"/>
            </w:pPr>
            <w:r>
              <w:rPr>
                <w:rFonts w:ascii="仿宋_GB2312" w:hAnsi="仿宋_GB2312" w:cs="仿宋_GB2312" w:eastAsia="仿宋_GB2312"/>
              </w:rPr>
              <w:t>质量保证措施.docx</w:t>
            </w:r>
          </w:p>
          <w:p>
            <w:pPr>
              <w:pStyle w:val="null3"/>
            </w:pPr>
            <w:r>
              <w:rPr>
                <w:rFonts w:ascii="仿宋_GB2312" w:hAnsi="仿宋_GB2312" w:cs="仿宋_GB2312" w:eastAsia="仿宋_GB2312"/>
              </w:rPr>
              <w:t>⾬季施⼯管理措施.docx</w:t>
            </w:r>
          </w:p>
          <w:p>
            <w:pPr>
              <w:pStyle w:val="null3"/>
            </w:pPr>
            <w:r>
              <w:rPr>
                <w:rFonts w:ascii="仿宋_GB2312" w:hAnsi="仿宋_GB2312" w:cs="仿宋_GB2312" w:eastAsia="仿宋_GB2312"/>
              </w:rPr>
              <w:t>企业控股关联关系说明.docx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对供应商提供的工程质量保障措施进行评审（内容包含：①质量目标 管理体系②施工质量的检验制度③ 确保质量的技术组织措施④施工质 量控制措施）： 1、措施内容完整、合理、明确的计6分；2、措施内容有缺漏、措施较为合理、明确的计3分；3、措施内容不完整，不合理、内容不明确的计1分；4、未提供的不计分；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质量保证措施.docx</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施工进度计划措施</w:t>
            </w:r>
          </w:p>
        </w:tc>
        <w:tc>
          <w:tcPr>
            <w:tcW w:type="dxa" w:w="2492"/>
          </w:tcPr>
          <w:p>
            <w:pPr>
              <w:pStyle w:val="null3"/>
            </w:pPr>
            <w:r>
              <w:rPr>
                <w:rFonts w:ascii="仿宋_GB2312" w:hAnsi="仿宋_GB2312" w:cs="仿宋_GB2312" w:eastAsia="仿宋_GB2312"/>
              </w:rPr>
              <w:t>对供应商提供的确保施工进度的技术组织措施进行评审（内容包含：①工期保证措施 ②进度计划保证措施。）： 1、措施完善、合理，有针对性的得6分； 2、措施较完善、合理的得3分； 3、措施不完善的得1分；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施工进度计划措施.docx</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项目管理组成人员</w:t>
            </w:r>
          </w:p>
        </w:tc>
        <w:tc>
          <w:tcPr>
            <w:tcW w:type="dxa" w:w="2492"/>
          </w:tcPr>
          <w:p>
            <w:pPr>
              <w:pStyle w:val="null3"/>
            </w:pPr>
            <w:r>
              <w:rPr>
                <w:rFonts w:ascii="仿宋_GB2312" w:hAnsi="仿宋_GB2312" w:cs="仿宋_GB2312" w:eastAsia="仿宋_GB2312"/>
              </w:rPr>
              <w:t>供应商针对本项目的项目管理机构(8分):包括 1项目管理机构图;2岗位安排及职责(配备技术人员、施工员、安全员、资料员、材料员、质量员等):3管理制度:4相应的协调措施。每缺一项扣2分，扣完为止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项目管理组成人员.docx</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对供应商提供的安全文明施工措施进行评审（内容包含：①安全管理制度、②文明施工管理制度、③人员管理制度、④安全文明施工管理体系进行评审）： 1、制度完善、合理，有针对性的得5分； 2、制度较完善、合理的得2分； 3、制度不完善的得1分；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对供应商施工机械配备和材料投入计划进行评审： 1、机械、材料配备完整且满足项目需求的得 5分； 2、机械、材料配备基本完整的得3分； 3、机械、材料配备不完善的得1分；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施⼯机械配备和材料投⼊计划.docx</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雨季施工管理措施</w:t>
            </w:r>
          </w:p>
        </w:tc>
        <w:tc>
          <w:tcPr>
            <w:tcW w:type="dxa" w:w="2492"/>
          </w:tcPr>
          <w:p>
            <w:pPr>
              <w:pStyle w:val="null3"/>
            </w:pPr>
            <w:r>
              <w:rPr>
                <w:rFonts w:ascii="仿宋_GB2312" w:hAnsi="仿宋_GB2312" w:cs="仿宋_GB2312" w:eastAsia="仿宋_GB2312"/>
              </w:rPr>
              <w:t>对供应商雨季施工管理方案进行评审： 1、雨季施工管理明确职责、措施及应急预案的计5分；2、雨季施工管理职责不全面、措施不完整及应急预案不合理的计3分；3、雨季施工管理职责不清晰，措施不得当、应急预案不合理的计1分；不提供的不计分。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⾬季施⼯管理措施.docx</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应急实施方案</w:t>
            </w:r>
          </w:p>
        </w:tc>
        <w:tc>
          <w:tcPr>
            <w:tcW w:type="dxa" w:w="2492"/>
          </w:tcPr>
          <w:p>
            <w:pPr>
              <w:pStyle w:val="null3"/>
            </w:pPr>
            <w:r>
              <w:rPr>
                <w:rFonts w:ascii="仿宋_GB2312" w:hAnsi="仿宋_GB2312" w:cs="仿宋_GB2312" w:eastAsia="仿宋_GB2312"/>
              </w:rPr>
              <w:t>1、方案内容全面、科学合理，措施具体明确且具有很强的可操作性和有效性，能够全面覆盖应急项目的所有关键环节得5分； 2、方案内容较为完整，措施相对具体，具备一定的可操作性和有效性，能够覆盖应急项目的主要方面得3分； 3、方案内容残缺不全，对应急项目的关键环节几乎没有涉及，措施空洞，不具备可操作性和有效性得1分；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应急实施⽅案.docx</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1日至今类似项目业绩（以合同扫描件和中标通知书为准，日期以合同签订时间为准，合同文本需体现合同范围、签订时间、首尾页及签字盖章页等），每提供一份得1分，最高得5分，不提供不计分。同类业绩：公路工程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价格分采用低价优先法计算，即满足竞争性磋商文件要求且磋商报价最低的磋商报价为评标基准价，其价格分为满分。其他供应商的价格分统一按照下列公式计算： 磋商报价得分=（评审基准价/磋商报价）×价格权值×100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详见附件：供应商提供的相关资格证明文件.docx</w:t>
      </w:r>
    </w:p>
    <w:p>
      <w:pPr>
        <w:pStyle w:val="null3"/>
        <w:ind w:firstLine="960"/>
      </w:pPr>
      <w:r>
        <w:rPr>
          <w:rFonts w:ascii="仿宋_GB2312" w:hAnsi="仿宋_GB2312" w:cs="仿宋_GB2312" w:eastAsia="仿宋_GB2312"/>
        </w:rPr>
        <w:t>详见附件：施工进度计划措施.docx</w:t>
      </w:r>
    </w:p>
    <w:p>
      <w:pPr>
        <w:pStyle w:val="null3"/>
        <w:ind w:firstLine="960"/>
      </w:pPr>
      <w:r>
        <w:rPr>
          <w:rFonts w:ascii="仿宋_GB2312" w:hAnsi="仿宋_GB2312" w:cs="仿宋_GB2312" w:eastAsia="仿宋_GB2312"/>
        </w:rPr>
        <w:t>详见附件：施⼯机械配备和材料投⼊计划.docx</w:t>
      </w:r>
    </w:p>
    <w:p>
      <w:pPr>
        <w:pStyle w:val="null3"/>
        <w:ind w:firstLine="960"/>
      </w:pPr>
      <w:r>
        <w:rPr>
          <w:rFonts w:ascii="仿宋_GB2312" w:hAnsi="仿宋_GB2312" w:cs="仿宋_GB2312" w:eastAsia="仿宋_GB2312"/>
        </w:rPr>
        <w:t>详见附件：项目管理组成人员.docx</w:t>
      </w:r>
    </w:p>
    <w:p>
      <w:pPr>
        <w:pStyle w:val="null3"/>
        <w:ind w:firstLine="960"/>
      </w:pPr>
      <w:r>
        <w:rPr>
          <w:rFonts w:ascii="仿宋_GB2312" w:hAnsi="仿宋_GB2312" w:cs="仿宋_GB2312" w:eastAsia="仿宋_GB2312"/>
        </w:rPr>
        <w:t>详见附件：应急实施⽅案.docx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详见附件：⾬季施⼯管理措施.docx</w:t>
      </w:r>
    </w:p>
    <w:p>
      <w:pPr>
        <w:pStyle w:val="null3"/>
        <w:ind w:firstLine="960"/>
      </w:pPr>
      <w:r>
        <w:rPr>
          <w:rFonts w:ascii="仿宋_GB2312" w:hAnsi="仿宋_GB2312" w:cs="仿宋_GB2312" w:eastAsia="仿宋_GB2312"/>
        </w:rPr>
        <w:t>详见附件：企业控股关联关系说明.docx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详见附件：商务响应偏离表.docx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