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版本号：JZZB2026-104620260624001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2026年第四届西安老博会西安市福利彩票发行中心参展服务采购项目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JZZB2026-1046</w:t>
      </w:r>
      <w:r>
        <w:br/>
      </w:r>
      <w:r>
        <w:br/>
      </w:r>
      <w:r>
        <w:br/>
      </w:r>
    </w:p>
    <w:p>
      <w:pPr>
        <w:pStyle w:val="null3"/>
        <w:jc w:val="center"/>
        <w:outlineLvl w:val="2"/>
      </w:pPr>
      <w:r>
        <w:rPr>
          <w:rFonts w:ascii="仿宋_GB2312" w:hAnsi="仿宋_GB2312" w:cs="仿宋_GB2312" w:eastAsia="仿宋_GB2312"/>
          <w:sz w:val="28"/>
          <w:b/>
        </w:rPr>
        <w:t>西安市福利彩票发行中心（本级）</w:t>
      </w:r>
    </w:p>
    <w:p>
      <w:pPr>
        <w:pStyle w:val="null3"/>
        <w:jc w:val="center"/>
        <w:outlineLvl w:val="2"/>
      </w:pPr>
      <w:r>
        <w:rPr>
          <w:rFonts w:ascii="仿宋_GB2312" w:hAnsi="仿宋_GB2312" w:cs="仿宋_GB2312" w:eastAsia="仿宋_GB2312"/>
          <w:sz w:val="28"/>
          <w:b/>
        </w:rPr>
        <w:t>陕西金字招标有限责任公司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陕西金字招标有限责任公司</w:t>
      </w:r>
      <w:r>
        <w:rPr>
          <w:rFonts w:ascii="仿宋_GB2312" w:hAnsi="仿宋_GB2312" w:cs="仿宋_GB2312" w:eastAsia="仿宋_GB2312"/>
        </w:rPr>
        <w:t>（以下简称“代理机构”）受</w:t>
      </w:r>
      <w:r>
        <w:rPr>
          <w:rFonts w:ascii="仿宋_GB2312" w:hAnsi="仿宋_GB2312" w:cs="仿宋_GB2312" w:eastAsia="仿宋_GB2312"/>
        </w:rPr>
        <w:t>西安市福利彩票发行中心（本级）</w:t>
      </w:r>
      <w:r>
        <w:rPr>
          <w:rFonts w:ascii="仿宋_GB2312" w:hAnsi="仿宋_GB2312" w:cs="仿宋_GB2312" w:eastAsia="仿宋_GB2312"/>
        </w:rPr>
        <w:t>委托，拟对</w:t>
      </w:r>
      <w:r>
        <w:rPr>
          <w:rFonts w:ascii="仿宋_GB2312" w:hAnsi="仿宋_GB2312" w:cs="仿宋_GB2312" w:eastAsia="仿宋_GB2312"/>
        </w:rPr>
        <w:t>2026年第四届西安老博会西安市福利彩票发行中心参展服务采购项目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JZZB2026-1046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2026年第四届西安老博会西安市福利彩票发行中心参展服务采购项目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市福彩中心计划充分利用第四届西安国际养老产业博览会契机，积极宣传福利彩票“扶老、助残、救孤、济困”发行宗旨，展示福利彩票公益成果，提升福利彩票社会美誉度；同时开展福彩游戏品牌推介，扩大双色球、3D、快乐8及即开票等游戏影响力；展示先进销售终端设备，洽谈渠道合作，招募代销者，拓展福彩销售渠道。现对展位租赁、搭建及配套服务等进行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采购包1（2026年第四届西安老博会西安市福利彩票发行中心参展服务采购项目）：属于专门面向中小企业采购。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1、有效的主体资格证明：供应商为合法注册的法人、其他组织或自然人，提供营业执照等证明文件。</w:t>
      </w:r>
    </w:p>
    <w:p>
      <w:pPr>
        <w:pStyle w:val="null3"/>
      </w:pPr>
      <w:r>
        <w:rPr>
          <w:rFonts w:ascii="仿宋_GB2312" w:hAnsi="仿宋_GB2312" w:cs="仿宋_GB2312" w:eastAsia="仿宋_GB2312"/>
        </w:rPr>
        <w:t>2、财务状况报告（任选其一）：供应商提供2024年度或2025年度经审计的财务报告或磋商截止时间前三个月内其基本开户银行出具的资信证明及账户开户许可证明材料或财政部门认可的政府采购专业担保机构开具的投标担保函。</w:t>
      </w:r>
    </w:p>
    <w:p>
      <w:pPr>
        <w:pStyle w:val="null3"/>
      </w:pPr>
      <w:r>
        <w:rPr>
          <w:rFonts w:ascii="仿宋_GB2312" w:hAnsi="仿宋_GB2312" w:cs="仿宋_GB2312" w:eastAsia="仿宋_GB2312"/>
        </w:rPr>
        <w:t>3、税收缴纳证明：提供响应文件递交截止日前一年内已缴存的至少一个月的纳税证明或完税证明。依法免税的供应商应提供相关文件证明。</w:t>
      </w:r>
    </w:p>
    <w:p>
      <w:pPr>
        <w:pStyle w:val="null3"/>
      </w:pPr>
      <w:r>
        <w:rPr>
          <w:rFonts w:ascii="仿宋_GB2312" w:hAnsi="仿宋_GB2312" w:cs="仿宋_GB2312" w:eastAsia="仿宋_GB2312"/>
        </w:rPr>
        <w:t>4、社会保障资金缴纳证明：提供响应文件递交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5、专业技术能力的声明：提供具有履行本合同所必需的设备和专业技术能力的声明或承诺。</w:t>
      </w:r>
    </w:p>
    <w:p>
      <w:pPr>
        <w:pStyle w:val="null3"/>
      </w:pPr>
      <w:r>
        <w:rPr>
          <w:rFonts w:ascii="仿宋_GB2312" w:hAnsi="仿宋_GB2312" w:cs="仿宋_GB2312" w:eastAsia="仿宋_GB2312"/>
        </w:rPr>
        <w:t>6、没有重大违法记录的书面声明：提供参加政府采购活动前三年内在经营活动中没有重大违法记录的书面声明。</w:t>
      </w:r>
    </w:p>
    <w:p>
      <w:pPr>
        <w:pStyle w:val="null3"/>
      </w:pPr>
      <w:r>
        <w:rPr>
          <w:rFonts w:ascii="仿宋_GB2312" w:hAnsi="仿宋_GB2312" w:cs="仿宋_GB2312" w:eastAsia="仿宋_GB2312"/>
        </w:rPr>
        <w:t>7、供应商信用：不得为“信用中国”网站(http://www.creditchina.gov.cn)列入“失信被执行人、重大税收违法失信主体”的供应商；不得为中国政府采购网(http://www.ccgp.gov.cn)“政府采购严重违法失信行为记录名单”中的供应商。（以代理机构开标当天查询结果为准）</w:t>
      </w:r>
    </w:p>
    <w:p>
      <w:pPr>
        <w:pStyle w:val="null3"/>
      </w:pPr>
      <w:r>
        <w:rPr>
          <w:rFonts w:ascii="仿宋_GB2312" w:hAnsi="仿宋_GB2312" w:cs="仿宋_GB2312" w:eastAsia="仿宋_GB2312"/>
        </w:rPr>
        <w:t>8、法定代表人授权书：法定代表人参加磋商的，须提供法人身份证明及本人身份证复印件；法定代表人授权他人参加磋商的，须提供法定代表人授权委托书。采购文件中凡是需要法定代表人盖章之处，非法人单位的负责人均参照执行。</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西安市福利彩票发行中心（本级）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西安市未央区北二环369号华帝金座A座9A</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高卓琳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029-86234104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陕西金字招标有限责任公司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西安市碑林区更新街13号铭爵大厦7楼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18302930046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采购包1：425,000.00元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依据成交金额，参照国家计委关于印发《招标代理服务收费管理暂行办法》的通知（计价格【2002】1980号）《国家发展改革委关于降低部分建设项目收费标准规范收费行为等有关问题的通知》（发改价格[2011]534号）文件的规定标准计算，不足6000元按照6000元计。 2.成交单位在领取成交通知书时向代理机构支付代理服务费。 3.缴纳账户如下： 名 称：陕西金字招标有限责任公司 开户行：陕西秦农农村商业银行永乐路支行 账 号：2701131901201000006934。</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西安市福利彩票发行中心（本级）</w:t>
      </w:r>
      <w:r>
        <w:rPr>
          <w:rFonts w:ascii="仿宋_GB2312" w:hAnsi="仿宋_GB2312" w:cs="仿宋_GB2312" w:eastAsia="仿宋_GB2312"/>
        </w:rPr>
        <w:t>和</w:t>
      </w:r>
      <w:r>
        <w:rPr>
          <w:rFonts w:ascii="仿宋_GB2312" w:hAnsi="仿宋_GB2312" w:cs="仿宋_GB2312" w:eastAsia="仿宋_GB2312"/>
        </w:rPr>
        <w:t>陕西金字招标有限责任公司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西安市福利彩票发行中心（本级）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陕西金字招标有限责任公司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西安市福利彩票发行中心（本级）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陕西金字招标有限责任公司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陕西金字招标有限责任公司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陕西金字招标有限责任公司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陕西金字招标有限责任公司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联系人：王婷</w:t>
      </w:r>
    </w:p>
    <w:p>
      <w:pPr>
        <w:pStyle w:val="null3"/>
      </w:pPr>
      <w:r>
        <w:rPr>
          <w:rFonts w:ascii="仿宋_GB2312" w:hAnsi="仿宋_GB2312" w:cs="仿宋_GB2312" w:eastAsia="仿宋_GB2312"/>
        </w:rPr>
        <w:t>联系电话：18302930046</w:t>
      </w:r>
    </w:p>
    <w:p>
      <w:pPr>
        <w:pStyle w:val="null3"/>
      </w:pPr>
      <w:r>
        <w:rPr>
          <w:rFonts w:ascii="仿宋_GB2312" w:hAnsi="仿宋_GB2312" w:cs="仿宋_GB2312" w:eastAsia="仿宋_GB2312"/>
        </w:rPr>
        <w:t>地址：西安市碑林区更新街13号铭爵大厦7楼</w:t>
      </w:r>
    </w:p>
    <w:p>
      <w:pPr>
        <w:pStyle w:val="null3"/>
      </w:pPr>
      <w:r>
        <w:rPr>
          <w:rFonts w:ascii="仿宋_GB2312" w:hAnsi="仿宋_GB2312" w:cs="仿宋_GB2312" w:eastAsia="仿宋_GB2312"/>
        </w:rPr>
        <w:t>邮编：710032</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市福彩中心计划充分利用第四届西安国际养老产业博览会契机，积极宣传福利彩票“扶老、助残、救孤、济困”发行宗旨，展示福利彩票公益成果，提升福利彩票社会美誉度；同时开展福彩游戏品牌推介，扩大双色球、3D、快乐8及即开票等游戏影响力；展示先进销售终端设备，洽谈渠道合作，招募代销者，拓展福彩销售渠道。现对展位租赁、搭建及配套服务等进行采购。</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425,000.00</w:t>
      </w:r>
    </w:p>
    <w:p>
      <w:pPr>
        <w:pStyle w:val="null3"/>
      </w:pPr>
      <w:r>
        <w:rPr>
          <w:rFonts w:ascii="仿宋_GB2312" w:hAnsi="仿宋_GB2312" w:cs="仿宋_GB2312" w:eastAsia="仿宋_GB2312"/>
        </w:rPr>
        <w:t>采购包最高限价（元）: 425,000.00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服务类</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425,000.00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（一）展位租赁服务：</w:t>
            </w:r>
          </w:p>
          <w:p>
            <w:pPr>
              <w:pStyle w:val="null3"/>
            </w:pPr>
            <w:r>
              <w:rPr>
                <w:rFonts w:ascii="仿宋_GB2312" w:hAnsi="仿宋_GB2312" w:cs="仿宋_GB2312" w:eastAsia="仿宋_GB2312"/>
                <w:sz w:val="21"/>
              </w:rPr>
              <w:t>展会室内空地租赁面积为</w:t>
            </w:r>
            <w:r>
              <w:rPr>
                <w:rFonts w:ascii="仿宋_GB2312" w:hAnsi="仿宋_GB2312" w:cs="仿宋_GB2312" w:eastAsia="仿宋_GB2312"/>
                <w:sz w:val="21"/>
              </w:rPr>
              <w:t>100</w:t>
            </w:r>
            <w:r>
              <w:rPr>
                <w:rFonts w:ascii="仿宋_GB2312" w:hAnsi="仿宋_GB2312" w:cs="仿宋_GB2312" w:eastAsia="仿宋_GB2312"/>
                <w:sz w:val="21"/>
              </w:rPr>
              <w:t>㎡左右，需提供基础电力接口（</w:t>
            </w:r>
            <w:r>
              <w:rPr>
                <w:rFonts w:ascii="仿宋_GB2312" w:hAnsi="仿宋_GB2312" w:cs="仿宋_GB2312" w:eastAsia="仿宋_GB2312"/>
                <w:sz w:val="21"/>
              </w:rPr>
              <w:t>220V/10kW</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条可接互联网网线及网络端口、</w:t>
            </w:r>
            <w:r>
              <w:rPr>
                <w:rFonts w:ascii="仿宋_GB2312" w:hAnsi="仿宋_GB2312" w:cs="仿宋_GB2312" w:eastAsia="仿宋_GB2312"/>
                <w:sz w:val="21"/>
              </w:rPr>
              <w:t>24</w:t>
            </w:r>
            <w:r>
              <w:rPr>
                <w:rFonts w:ascii="仿宋_GB2312" w:hAnsi="仿宋_GB2312" w:cs="仿宋_GB2312" w:eastAsia="仿宋_GB2312"/>
                <w:sz w:val="21"/>
              </w:rPr>
              <w:t>小时安保服务，包含展位租赁费、场地清洁押金及基础服务费。</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（二）展位搭建服务：</w:t>
            </w:r>
          </w:p>
          <w:p>
            <w:pPr>
              <w:pStyle w:val="null3"/>
              <w:jc w:val="both"/>
            </w:pPr>
            <w:r>
              <w:rPr>
                <w:rFonts w:ascii="仿宋_GB2312" w:hAnsi="仿宋_GB2312" w:cs="仿宋_GB2312" w:eastAsia="仿宋_GB2312"/>
              </w:rPr>
              <w:t>1.</w:t>
            </w:r>
            <w:r>
              <w:rPr>
                <w:rFonts w:ascii="仿宋_GB2312" w:hAnsi="仿宋_GB2312" w:cs="仿宋_GB2312" w:eastAsia="仿宋_GB2312"/>
              </w:rPr>
              <w:t>布展原则：按照“突出特色、简约大气、整体特装”的原则进行。布展设计，布展力求新颖、简洁、实用、凸显福彩公益事业主题特色。展区统一规划、统一设计制作，综合运用实物、模型、图片、声光电等方式进行特装布展。坚持与众不同、造型独特，利用现代高科技、新材料打造出一个全新形象。做到高雅大气、亮点突出、新颖现代，突出福彩元素，吸引更多来宾参观展览、洽谈合作。</w:t>
            </w:r>
          </w:p>
          <w:p>
            <w:pPr>
              <w:pStyle w:val="null3"/>
              <w:jc w:val="both"/>
            </w:pPr>
            <w:r>
              <w:rPr>
                <w:rFonts w:ascii="仿宋_GB2312" w:hAnsi="仿宋_GB2312" w:cs="仿宋_GB2312" w:eastAsia="仿宋_GB2312"/>
              </w:rPr>
              <w:t>2.</w:t>
            </w:r>
            <w:r>
              <w:rPr>
                <w:rFonts w:ascii="仿宋_GB2312" w:hAnsi="仿宋_GB2312" w:cs="仿宋_GB2312" w:eastAsia="仿宋_GB2312"/>
              </w:rPr>
              <w:t>展台整体方案：以切合福彩特色为主造型，形式新颖、色彩协调、通透性好，运用灯光、</w:t>
            </w:r>
            <w:r>
              <w:rPr>
                <w:rFonts w:ascii="仿宋_GB2312" w:hAnsi="仿宋_GB2312" w:cs="仿宋_GB2312" w:eastAsia="仿宋_GB2312"/>
              </w:rPr>
              <w:t>LED</w:t>
            </w:r>
            <w:r>
              <w:rPr>
                <w:rFonts w:ascii="仿宋_GB2312" w:hAnsi="仿宋_GB2312" w:cs="仿宋_GB2312" w:eastAsia="仿宋_GB2312"/>
              </w:rPr>
              <w:t>、灯箱、音响、写真、图片以及现代新型展示方式等多种手段，展现西安福彩助力老龄产业和老龄事业发展，展现福利彩票“扶老、助残、救孤、济困”的公益宗旨和社会使命。展厅内需设福彩公益成果展示区（展示公益事业）、电脑票游戏展示体验区（实物陈列）、刮刮乐体验区（现场互动）、礼品兑换区（现场活动）、合作招募区（商务接洽），充分展示中国福彩的功能、价值、产品系列、合作模式，为有意合作的企业全面介绍福彩优势。配备声光电设备及互动多媒体、饮水机、电源、音响、绿植等配套设施。</w:t>
            </w:r>
          </w:p>
          <w:p>
            <w:pPr>
              <w:pStyle w:val="null3"/>
              <w:jc w:val="both"/>
            </w:pPr>
            <w:r>
              <w:rPr>
                <w:rFonts w:ascii="仿宋_GB2312" w:hAnsi="仿宋_GB2312" w:cs="仿宋_GB2312" w:eastAsia="仿宋_GB2312"/>
              </w:rPr>
              <w:t>3.</w:t>
            </w:r>
            <w:r>
              <w:rPr>
                <w:rFonts w:ascii="仿宋_GB2312" w:hAnsi="仿宋_GB2312" w:cs="仿宋_GB2312" w:eastAsia="仿宋_GB2312"/>
              </w:rPr>
              <w:t>展台用图方案：展台用图方案展台搭建设计方案不得侵犯他人版权，如有侵犯，成交供应商承担全部责任。在比选文件中所用图片，明确图片名称、位置、尺寸、材质。图片不得侵犯他人版权；如有侵犯，成交供应商须承担全部责任。成交供应商中标后应根据中标方案结合采购人提出的效果展示方面的要求，进一步深化修改方案，并制作施工图纸。</w:t>
            </w:r>
          </w:p>
          <w:p>
            <w:pPr>
              <w:pStyle w:val="null3"/>
              <w:jc w:val="both"/>
            </w:pPr>
            <w:r>
              <w:rPr>
                <w:rFonts w:ascii="仿宋_GB2312" w:hAnsi="仿宋_GB2312" w:cs="仿宋_GB2312" w:eastAsia="仿宋_GB2312"/>
              </w:rPr>
              <w:t>4.</w:t>
            </w:r>
            <w:r>
              <w:rPr>
                <w:rFonts w:ascii="仿宋_GB2312" w:hAnsi="仿宋_GB2312" w:cs="仿宋_GB2312" w:eastAsia="仿宋_GB2312"/>
              </w:rPr>
              <w:t>展台材质要求：布展材质优良，选用优质、环保材质。</w:t>
            </w:r>
          </w:p>
          <w:p>
            <w:pPr>
              <w:pStyle w:val="null3"/>
            </w:pPr>
            <w:r>
              <w:rPr>
                <w:rFonts w:ascii="仿宋_GB2312" w:hAnsi="仿宋_GB2312" w:cs="仿宋_GB2312" w:eastAsia="仿宋_GB2312"/>
              </w:rPr>
              <w:t>5.项目服务要求：项目开展期间，成交服务商负责展位设计、搭建及特装搭建管理费、电费、维护维修等全部费用。展览结束后24小时内，按主办方及场馆要求完成撤展，并恢复场地原状，经采购人及场馆方验收合格后方可离场。</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（三）赠票管理服务：</w:t>
            </w:r>
          </w:p>
          <w:p>
            <w:pPr>
              <w:pStyle w:val="null3"/>
            </w:pPr>
            <w:r>
              <w:rPr>
                <w:rFonts w:ascii="仿宋_GB2312" w:hAnsi="仿宋_GB2312" w:cs="仿宋_GB2312" w:eastAsia="仿宋_GB2312"/>
              </w:rPr>
              <w:t>1.为5000名参展群众每人赠送1张面值10元的刮刮乐彩票，总采购金额5万元。彩票需从福彩官方渠道采购。</w:t>
            </w:r>
          </w:p>
          <w:p>
            <w:pPr>
              <w:pStyle w:val="null3"/>
            </w:pPr>
            <w:r>
              <w:rPr>
                <w:rFonts w:ascii="仿宋_GB2312" w:hAnsi="仿宋_GB2312" w:cs="仿宋_GB2312" w:eastAsia="仿宋_GB2312"/>
              </w:rPr>
              <w:t>2.制定详细赠票发放流程，设置独立赠票发放区域。群众凭前台领取的兑换券登记领取，工作人员需核对信息，做好发放记录。</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（四）宣传物料制作：</w:t>
            </w:r>
          </w:p>
          <w:p>
            <w:pPr>
              <w:pStyle w:val="null3"/>
            </w:pPr>
            <w:r>
              <w:rPr>
                <w:rFonts w:ascii="仿宋_GB2312" w:hAnsi="仿宋_GB2312" w:cs="仿宋_GB2312" w:eastAsia="仿宋_GB2312"/>
              </w:rPr>
              <w:t>1.宣传物料内容及要求①宣传页：设计并印刷宣传页及兑换券10000份，全彩印刷，内容涵盖福利彩票的发展历程、公益项目展示、各类游戏玩法介绍等。②展示展板或易拉宝：设计制作展示展板或易拉宝15个，材质坚固耐用，展示福彩历年公益金使用成果数据图表、受助案例、刮刮乐发放提示等。③赠送宣传品：采购定制赠送宣传品1000套，要求做工精细，带有福彩相关元素。</w:t>
            </w:r>
          </w:p>
          <w:p>
            <w:pPr>
              <w:pStyle w:val="null3"/>
            </w:pPr>
            <w:r>
              <w:rPr>
                <w:rFonts w:ascii="仿宋_GB2312" w:hAnsi="仿宋_GB2312" w:cs="仿宋_GB2312" w:eastAsia="仿宋_GB2312"/>
              </w:rPr>
              <w:t>2.制作周期：合同签订后按照要求时限完成所有宣传物料的制作，并确保在老博会开展前1天送达指定展会场地。</w:t>
            </w:r>
          </w:p>
          <w:p>
            <w:pPr>
              <w:pStyle w:val="null3"/>
            </w:pPr>
            <w:r>
              <w:rPr>
                <w:rFonts w:ascii="仿宋_GB2312" w:hAnsi="仿宋_GB2312" w:cs="仿宋_GB2312" w:eastAsia="仿宋_GB2312"/>
              </w:rPr>
              <w:t>3.质量标准：宣传物料制作工艺需符合行业标准，印刷色彩鲜艳、清晰，无偏色、重影等问题；材质环保、耐用，如宣传册装订牢固，手提袋承重力达标等。</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（五）人员保障服务：</w:t>
            </w:r>
          </w:p>
          <w:p>
            <w:pPr>
              <w:pStyle w:val="null3"/>
            </w:pPr>
            <w:r>
              <w:rPr>
                <w:rFonts w:ascii="仿宋_GB2312" w:hAnsi="仿宋_GB2312" w:cs="仿宋_GB2312" w:eastAsia="仿宋_GB2312"/>
              </w:rPr>
              <w:t>按照展位面积、功能分区、预期人流量及服务内容，提供充足且结构合理的人员配置，需包含总协调人、业务讲解员、互动体验区引导员、现场秩序维护人员、技术保障人员以及后勤保障人员等，并为参加展会服务的彩票兑换员、彩票销售员、现场咨询服务人员等现场人员提供好工作餐食、饮水等服务保障。展会期间，所有面向公众的服务人员应穿着有福彩标识的统一服装，具备良好的服务意识和沟通能力，态度热情、耐心、细致，关键岗位人员具有稳定性和连续性，不得随意更换。</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满足项目实际需求。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满足项目实际需求。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2026年7月30日至2026年9月20日（如遇特殊情况，服务日期可由双方协商调整）。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（1）验收要求：国家标准、行业标准及采购人要求。 （2）验收依据：项目实施完成后，甲方依据采购文件，响应文件和服务合同，确认服务标准和服务方式是否达到采购要求、国家相关的标准和规范，甲乙双方共同验收，乙方出具验收报告并填写验收单。</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 合同签订后，达到付款条件起10个工作日内，支付合同总金额的50.0%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进度款，合同执行完毕，验收合格后，达到付款条件起15个工作日内，支付合同总金额的50.0%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2.乙方未按合同约定及甲方要求提供服务或服务内容、质量不能满足合同要求，乙方须每次向甲方支付合同总价款5%的违约金，同时承担由此给甲方造成的所有损失。 3.在本合同履行过程中，双方因违约或造成对方经济、社会效益等损失的（不可抗力因素除外），由责任方负责赔偿全部损失。 4.乙方存在其他违约的，每次应向甲方支付合同总价款5%的违约金，同时承担由此给甲方及第三方造成的所有损失。乙方存在多项违约情形的，违约金可叠加。</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为顺利推进政府采购电子化交易平台试点应用工作，供应商需要在线提交所有通过电子化交易平台实施的政府采购项目的竞争性磋商响应文件。提交二次报价，二次报价环节须将二次报价表盖章作为附件进行上传。 2.成交通知书发出后，成交供应商须向采购人提交竞争性磋商响应文件纸质版一正一副（纸质版响应文件与电子版响应文件保持一致）。 3.采购文件2.6.1内容为电子化交易系统采购文件模板，无法修改。根据陕西省财政厅关于持续优化政府采购营商环境有关事项的通知--陕财办采〔2024〕9号的要求，采购人应在中标(成交)通知书发出之日起25日内，按照采购文件确定的事项与中标(成交)供应商签订政府采购合同。3.恶意质疑、投诉的法律后果 ：1.对捏造事实、提供虚假材料进⾏质疑、投诉的⾏为将予以严肃处理：《政府采购质疑和投诉办法》（财政部令第94号）规定，投诉⼈在全国范围内⼗⼆个⽉内三次以上投诉查⽆实据的，由财政部⻔列⼊不良⾏为记录名单。对于捏造事实、或提供虚假材料、或以⾮法⼿段取得证明材料（证据来源的合法性存在明显疑问，投诉⼈⽆法证明其取得⽅式合法的，视为以⾮法⼿段取得证明材料）进⾏投诉的，属于虚假、恶意投诉，由财政部⻔列⼊不良⾏为记录名单，并禁⽌其⼀⾄三年内参加政府采购活动。2.对捏造事实诬告陷害他⼈、诽谤他⼈的法律适⽤：（1）《中华⼈⺠共和国刑法》第243条【诬告陷害罪】捏造事实诬告陷害他⼈，意图使他⼈受刑事追究，情节严重的，处三年以下有期徒刑、拘役或者管制；造成严重后果的，处三年以上⼗年以下有期徒刑。（2）《中华⼈⺠共和国刑法》第246条【侮辱罪、诽谤罪】以暴⼒或者其他⽅法公然侮辱他⼈或者捏造事实诽谤他⼈，情节严重的，处三年以下有期徒刑、拘役、管制或者剥夺政治权利。</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供应商为合法注册的法人、其他组织或自然人，提供营业执照等证明文件。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财务状况报告（任选其一）</w:t>
            </w:r>
          </w:p>
        </w:tc>
        <w:tc>
          <w:tcPr>
            <w:tcW w:type="dxa" w:w="3322"/>
          </w:tcPr>
          <w:p>
            <w:pPr>
              <w:pStyle w:val="null3"/>
            </w:pPr>
            <w:r>
              <w:rPr>
                <w:rFonts w:ascii="仿宋_GB2312" w:hAnsi="仿宋_GB2312" w:cs="仿宋_GB2312" w:eastAsia="仿宋_GB2312"/>
              </w:rPr>
              <w:t>供应商提供2024年度或2025年度经审计的财务报告或磋商截止时间前三个月内其基本开户银行出具的资信证明及账户开户许可证明材料或财政部门认可的政府采购专业担保机构开具的投标担保函。</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提供响应文件递交截止日前一年内已缴存的至少一个月的纳税证明或完税证明。依法免税的供应商应提供相关文件证明。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提供响应文件递交截止日前一年内已缴存的至少一个月的社会保障资金缴存单据或社保机构开具的社会保险参保缴费情况证明，依法不需要缴纳社会保障资金的单位应提供相关证明材料。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专业技术能力的声明</w:t>
            </w:r>
          </w:p>
        </w:tc>
        <w:tc>
          <w:tcPr>
            <w:tcW w:type="dxa" w:w="3322"/>
          </w:tcPr>
          <w:p>
            <w:pPr>
              <w:pStyle w:val="null3"/>
            </w:pPr>
            <w:r>
              <w:rPr>
                <w:rFonts w:ascii="仿宋_GB2312" w:hAnsi="仿宋_GB2312" w:cs="仿宋_GB2312" w:eastAsia="仿宋_GB2312"/>
              </w:rPr>
              <w:t>提供具有履行本合同所必需的设备和专业技术能力的声明或承诺。</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供应商信用</w:t>
            </w:r>
          </w:p>
        </w:tc>
        <w:tc>
          <w:tcPr>
            <w:tcW w:type="dxa" w:w="3322"/>
          </w:tcPr>
          <w:p>
            <w:pPr>
              <w:pStyle w:val="null3"/>
            </w:pPr>
            <w:r>
              <w:rPr>
                <w:rFonts w:ascii="仿宋_GB2312" w:hAnsi="仿宋_GB2312" w:cs="仿宋_GB2312" w:eastAsia="仿宋_GB2312"/>
              </w:rPr>
              <w:t>不得为“信用中国”网站(http://www.creditchina.gov.cn)列入“失信被执行人、重大税收违法失信主体”的供应商；不得为中国政府采购网(http://www.ccgp.gov.cn)“政府采购严重违法失信行为记录名单”中的供应商。（以代理机构开标当天查询结果为准）</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法定代表人参加磋商的，须提供法人身份证明及本人身份证复印件；法定代表人授权他人参加磋商的，须提供法定代表人授权委托书。采购文件中凡是需要法定代表人盖章之处，非法人单位的负责人均参照执行。</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商务应答表 服务方案 标的清单 服务内容及服务要求应答表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报价不超过采购预算及最高限价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响应文件封面 商务应答表 服务方案 标的清单 服务内容及服务要求应答表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其他无效磋商的情形</w:t>
            </w:r>
          </w:p>
        </w:tc>
        <w:tc>
          <w:tcPr>
            <w:tcW w:type="dxa" w:w="3322"/>
          </w:tcPr>
          <w:p>
            <w:pPr>
              <w:pStyle w:val="null3"/>
            </w:pPr>
            <w:r>
              <w:rPr>
                <w:rFonts w:ascii="仿宋_GB2312" w:hAnsi="仿宋_GB2312" w:cs="仿宋_GB2312" w:eastAsia="仿宋_GB2312"/>
              </w:rPr>
              <w:t>没有出现法律法规或磋商文件明确规定的其他被视为“无效磋商”的情形及未实质性响应磋商文件的情况</w:t>
            </w:r>
          </w:p>
        </w:tc>
        <w:tc>
          <w:tcPr>
            <w:tcW w:type="dxa" w:w="1661"/>
          </w:tcPr>
          <w:p>
            <w:pPr>
              <w:pStyle w:val="null3"/>
            </w:pPr>
            <w:r>
              <w:rPr>
                <w:rFonts w:ascii="仿宋_GB2312" w:hAnsi="仿宋_GB2312" w:cs="仿宋_GB2312" w:eastAsia="仿宋_GB2312"/>
              </w:rPr>
              <w:t>响应文件封面 中小企业声明函 残疾人福利性单位声明函 商务应答表 供应商应提交的相关资格证明材料.pdf 服务方案 标的清单 服务内容及服务要求应答表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含展区设计、搭建、赠票管理、物料制作发放、展位布局、信息安全、质量保障七大模块：1. 全部模块齐全、方案详实、落地性极强、贴合现场实操15分；2. 模块齐全，方案完善，可落地性强12分；3. 核心模块齐全，细节略有欠缺，可正常履约8分；4. 内容简略，部分模块深度不足4分；5. 模块缺失、方案简陋，无法满足基本服务要求1分；未提供完整方案计0分。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项目分析及理解</w:t>
            </w:r>
          </w:p>
        </w:tc>
        <w:tc>
          <w:tcPr>
            <w:tcW w:type="dxa" w:w="2492"/>
          </w:tcPr>
          <w:p>
            <w:pPr>
              <w:pStyle w:val="null3"/>
            </w:pPr>
            <w:r>
              <w:rPr>
                <w:rFonts w:ascii="仿宋_GB2312" w:hAnsi="仿宋_GB2312" w:cs="仿宋_GB2312" w:eastAsia="仿宋_GB2312"/>
              </w:rPr>
              <w:t>供应商对本项目的背景、目标及定位理解清晰，对国家相关领域政策、标准的掌握熟练，对本项目需求分析和论述明确。 ①思路清晰，创新整合分析透彻、论述内容展现前瞻性的计5分； ②思路清晰，论述内容深度洞察能力强的计4分； ③思路基本清晰，论述内容具有结构化认知的计3分； ④思路相对清晰，论述内容具有层次感、分析到位的计2分。 ⑤思路欠缺，论述内容仅限于基础理解的计1分。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工作部署及进度方案</w:t>
            </w:r>
          </w:p>
        </w:tc>
        <w:tc>
          <w:tcPr>
            <w:tcW w:type="dxa" w:w="2492"/>
          </w:tcPr>
          <w:p>
            <w:pPr>
              <w:pStyle w:val="null3"/>
            </w:pPr>
            <w:r>
              <w:rPr>
                <w:rFonts w:ascii="仿宋_GB2312" w:hAnsi="仿宋_GB2312" w:cs="仿宋_GB2312" w:eastAsia="仿宋_GB2312"/>
              </w:rPr>
              <w:t>含进度计划、进度保障措施两项内容：1.节点精准、计划周密、保障措施全面可靠6分；2. 计划完整，保障措施合理有效4.5分；3.计划基本完整，保障措施常规可行 3分；4.计划简略，保障措施不完善 1.5分；5.计划缺项、无有效保障措施 1分；未提供方案计0分。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项目组织 管理机构</w:t>
            </w:r>
          </w:p>
        </w:tc>
        <w:tc>
          <w:tcPr>
            <w:tcW w:type="dxa" w:w="2492"/>
          </w:tcPr>
          <w:p>
            <w:pPr>
              <w:pStyle w:val="null3"/>
            </w:pPr>
            <w:r>
              <w:rPr>
                <w:rFonts w:ascii="仿宋_GB2312" w:hAnsi="仿宋_GB2312" w:cs="仿宋_GB2312" w:eastAsia="仿宋_GB2312"/>
              </w:rPr>
              <w:t>含组织架构、岗位职责、人员管理制度：1. 架构科学、职责清晰、管理制度健全规范8分；2.架构完整、职责明确、管理制度合理6分；3. 架构基本完整，制度满足基础管理需求4分；4.架构简略，管理制度不完善 2分；5.架构混乱、无完整管理制度1分；未提供方案计0分。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突发事件应急处理方案</w:t>
            </w:r>
          </w:p>
        </w:tc>
        <w:tc>
          <w:tcPr>
            <w:tcW w:type="dxa" w:w="2492"/>
          </w:tcPr>
          <w:p>
            <w:pPr>
              <w:pStyle w:val="null3"/>
            </w:pPr>
            <w:r>
              <w:rPr>
                <w:rFonts w:ascii="仿宋_GB2312" w:hAnsi="仿宋_GB2312" w:cs="仿宋_GB2312" w:eastAsia="仿宋_GB2312"/>
              </w:rPr>
              <w:t>含风险预判、应急处置机制、现场处置措施：1.风险预判全面，应急体系完善，处置方案可直接落地4分；2.覆盖主要风险，应急措施完整有效3分；3.基础风险全覆盖，措施基本齐全2分；4. 仅简单列明风险，处置措施简略1分；5.风险预判不足、无有效应急措施 0.5分；未提供方案计0分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合理化建议及服务承诺</w:t>
            </w:r>
          </w:p>
        </w:tc>
        <w:tc>
          <w:tcPr>
            <w:tcW w:type="dxa" w:w="2492"/>
          </w:tcPr>
          <w:p>
            <w:pPr>
              <w:pStyle w:val="null3"/>
            </w:pPr>
            <w:r>
              <w:rPr>
                <w:rFonts w:ascii="仿宋_GB2312" w:hAnsi="仿宋_GB2312" w:cs="仿宋_GB2312" w:eastAsia="仿宋_GB2312"/>
              </w:rPr>
              <w:t>含项目优化建议、服务标准、售后保障承诺：1.建议贴合项目实际，服务承诺全面、标准高于常规要求；2分；2.建议合理，服务承诺完整规1.5分；3. 无实质建议，服务承诺齐全合规 1分；4. 建议空洞，承诺条款简略0.5分；5. 无有效建议、承诺缺失/流于形式 0.2分；未提供计0分。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6月1日至今，以合同签订时间为准，附加盖公章合同复印件）：1.提供同类大型展会/综合服务项目业绩，每份计5分，最多计30分；2.提供一般同类服务项目业绩，每份计2分，最多计10分本项合计最高40分，无有效业绩计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终报价价格最低的报价为评审基准价，其价格分为满分。其他供应商的价格分统一按照下列公式计算：磋商报价得分=(评审基准价/最终报价)×20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