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12F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宋体" w:hAnsi="宋体" w:eastAsia="宋体" w:cs="宋体"/>
          <w:b w:val="0"/>
          <w:bCs w:val="0"/>
          <w:i w:val="0"/>
          <w:iCs w:val="0"/>
          <w:spacing w:val="0"/>
          <w:position w:val="0"/>
          <w:sz w:val="72"/>
          <w:szCs w:val="72"/>
          <w:u w:val="none" w:color="auto"/>
        </w:rPr>
      </w:pPr>
    </w:p>
    <w:p w14:paraId="7F1A80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方正小标宋简体" w:hAnsi="方正小标宋简体" w:eastAsia="方正小标宋简体" w:cs="方正小标宋简体"/>
          <w:b w:val="0"/>
          <w:bCs w:val="0"/>
          <w:i w:val="0"/>
          <w:iCs w:val="0"/>
          <w:spacing w:val="0"/>
          <w:position w:val="0"/>
          <w:sz w:val="72"/>
          <w:szCs w:val="72"/>
          <w:u w:val="none" w:color="auto"/>
        </w:rPr>
      </w:pPr>
      <w:r>
        <w:rPr>
          <w:rFonts w:hint="eastAsia" w:ascii="方正小标宋简体" w:hAnsi="方正小标宋简体" w:eastAsia="方正小标宋简体" w:cs="方正小标宋简体"/>
          <w:b w:val="0"/>
          <w:bCs w:val="0"/>
          <w:i w:val="0"/>
          <w:iCs w:val="0"/>
          <w:spacing w:val="0"/>
          <w:position w:val="0"/>
          <w:sz w:val="72"/>
          <w:szCs w:val="72"/>
          <w:u w:val="none" w:color="auto"/>
          <w:lang w:val="en-US" w:eastAsia="zh-CN"/>
        </w:rPr>
        <w:t>政府</w:t>
      </w:r>
      <w:r>
        <w:rPr>
          <w:rFonts w:hint="eastAsia" w:ascii="方正小标宋简体" w:hAnsi="方正小标宋简体" w:eastAsia="方正小标宋简体" w:cs="方正小标宋简体"/>
          <w:b w:val="0"/>
          <w:bCs w:val="0"/>
          <w:i w:val="0"/>
          <w:iCs w:val="0"/>
          <w:spacing w:val="0"/>
          <w:position w:val="0"/>
          <w:sz w:val="72"/>
          <w:szCs w:val="72"/>
          <w:u w:val="none" w:color="auto"/>
        </w:rPr>
        <w:t>采购</w:t>
      </w:r>
      <w:r>
        <w:rPr>
          <w:rFonts w:hint="eastAsia" w:ascii="方正小标宋简体" w:hAnsi="方正小标宋简体" w:eastAsia="方正小标宋简体" w:cs="方正小标宋简体"/>
          <w:b w:val="0"/>
          <w:bCs w:val="0"/>
          <w:i w:val="0"/>
          <w:iCs w:val="0"/>
          <w:spacing w:val="0"/>
          <w:position w:val="0"/>
          <w:sz w:val="72"/>
          <w:szCs w:val="72"/>
          <w:u w:val="none" w:color="auto"/>
          <w:lang w:val="en-US" w:eastAsia="zh-CN"/>
        </w:rPr>
        <w:t>服务</w:t>
      </w:r>
      <w:r>
        <w:rPr>
          <w:rFonts w:hint="eastAsia" w:ascii="方正小标宋简体" w:hAnsi="方正小标宋简体" w:eastAsia="方正小标宋简体" w:cs="方正小标宋简体"/>
          <w:b w:val="0"/>
          <w:bCs w:val="0"/>
          <w:i w:val="0"/>
          <w:iCs w:val="0"/>
          <w:spacing w:val="0"/>
          <w:position w:val="0"/>
          <w:sz w:val="72"/>
          <w:szCs w:val="72"/>
          <w:u w:val="none" w:color="auto"/>
        </w:rPr>
        <w:t>合同</w:t>
      </w:r>
    </w:p>
    <w:p w14:paraId="2A0B1EA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方正小标宋简体" w:hAnsi="方正小标宋简体" w:eastAsia="方正小标宋简体" w:cs="方正小标宋简体"/>
          <w:b w:val="0"/>
          <w:bCs w:val="0"/>
          <w:i w:val="0"/>
          <w:iCs w:val="0"/>
          <w:spacing w:val="0"/>
          <w:position w:val="0"/>
          <w:sz w:val="24"/>
          <w:szCs w:val="24"/>
          <w:u w:val="none" w:color="auto"/>
          <w:lang w:eastAsia="zh-CN"/>
        </w:rPr>
      </w:pPr>
    </w:p>
    <w:p w14:paraId="6A41C557">
      <w:pPr>
        <w:pStyle w:val="4"/>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jc w:val="center"/>
        <w:textAlignment w:val="baseline"/>
        <w:rPr>
          <w:rFonts w:hint="eastAsia" w:ascii="方正小标宋简体" w:hAnsi="方正小标宋简体" w:eastAsia="方正小标宋简体" w:cs="方正小标宋简体"/>
          <w:b w:val="0"/>
          <w:bCs w:val="0"/>
          <w:i w:val="0"/>
          <w:iCs w:val="0"/>
          <w:spacing w:val="0"/>
          <w:position w:val="0"/>
          <w:sz w:val="24"/>
          <w:szCs w:val="24"/>
          <w:u w:val="none" w:color="auto"/>
          <w:lang w:eastAsia="zh-CN"/>
        </w:rPr>
      </w:pPr>
      <w:r>
        <w:rPr>
          <w:rFonts w:hint="eastAsia" w:ascii="方正小标宋简体" w:hAnsi="方正小标宋简体" w:eastAsia="方正小标宋简体" w:cs="方正小标宋简体"/>
          <w:b w:val="0"/>
          <w:bCs w:val="0"/>
          <w:i w:val="0"/>
          <w:iCs w:val="0"/>
          <w:spacing w:val="0"/>
          <w:position w:val="0"/>
          <w:sz w:val="24"/>
          <w:szCs w:val="24"/>
          <w:u w:val="none" w:color="auto"/>
          <w:lang w:eastAsia="zh-CN"/>
        </w:rPr>
        <w:t>（</w:t>
      </w:r>
      <w:r>
        <w:rPr>
          <w:rFonts w:hint="eastAsia" w:ascii="方正小标宋简体" w:hAnsi="方正小标宋简体" w:eastAsia="方正小标宋简体" w:cs="方正小标宋简体"/>
          <w:b w:val="0"/>
          <w:bCs w:val="0"/>
          <w:i w:val="0"/>
          <w:iCs w:val="0"/>
          <w:spacing w:val="0"/>
          <w:position w:val="0"/>
          <w:sz w:val="24"/>
          <w:szCs w:val="24"/>
          <w:u w:val="none" w:color="auto"/>
          <w:lang w:val="en-US" w:eastAsia="zh-CN"/>
        </w:rPr>
        <w:t>参考文本，最终以甲乙双方签订的合同为准</w:t>
      </w:r>
      <w:r>
        <w:rPr>
          <w:rFonts w:hint="eastAsia" w:ascii="方正小标宋简体" w:hAnsi="方正小标宋简体" w:eastAsia="方正小标宋简体" w:cs="方正小标宋简体"/>
          <w:b w:val="0"/>
          <w:bCs w:val="0"/>
          <w:i w:val="0"/>
          <w:iCs w:val="0"/>
          <w:spacing w:val="0"/>
          <w:position w:val="0"/>
          <w:sz w:val="24"/>
          <w:szCs w:val="24"/>
          <w:u w:val="none" w:color="auto"/>
          <w:lang w:eastAsia="zh-CN"/>
        </w:rPr>
        <w:t>）</w:t>
      </w:r>
    </w:p>
    <w:p w14:paraId="0376384A">
      <w:pPr>
        <w:pStyle w:val="4"/>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24"/>
          <w:szCs w:val="24"/>
          <w:u w:val="none" w:color="auto"/>
        </w:rPr>
      </w:pPr>
    </w:p>
    <w:p w14:paraId="70D1A723">
      <w:pPr>
        <w:pStyle w:val="4"/>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24"/>
          <w:szCs w:val="24"/>
          <w:u w:val="none" w:color="auto"/>
        </w:rPr>
      </w:pPr>
    </w:p>
    <w:p w14:paraId="0C86116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30"/>
          <w:szCs w:val="30"/>
          <w:u w:val="none" w:color="auto"/>
        </w:rPr>
      </w:pPr>
    </w:p>
    <w:p w14:paraId="0E001B5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30"/>
          <w:szCs w:val="30"/>
          <w:u w:val="none" w:color="auto"/>
        </w:rPr>
      </w:pPr>
    </w:p>
    <w:p w14:paraId="4FC2387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30"/>
          <w:szCs w:val="30"/>
          <w:u w:val="none" w:color="auto"/>
        </w:rPr>
      </w:pPr>
    </w:p>
    <w:p w14:paraId="1E0873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小标宋简体" w:hAnsi="方正小标宋简体" w:eastAsia="方正小标宋简体" w:cs="方正小标宋简体"/>
          <w:b w:val="0"/>
          <w:bCs w:val="0"/>
          <w:i w:val="0"/>
          <w:iCs w:val="0"/>
          <w:spacing w:val="0"/>
          <w:position w:val="0"/>
          <w:sz w:val="30"/>
          <w:szCs w:val="30"/>
          <w:u w:val="none" w:color="auto"/>
        </w:rPr>
      </w:pPr>
    </w:p>
    <w:p w14:paraId="18EBE3A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方正小标宋简体" w:hAnsi="方正小标宋简体" w:eastAsia="方正小标宋简体" w:cs="方正小标宋简体"/>
          <w:b w:val="0"/>
          <w:bCs w:val="0"/>
          <w:i w:val="0"/>
          <w:iCs w:val="0"/>
          <w:spacing w:val="0"/>
          <w:position w:val="0"/>
          <w:sz w:val="28"/>
          <w:szCs w:val="28"/>
          <w:u w:val="single" w:color="auto"/>
          <w:lang w:val="en-US" w:eastAsia="zh-CN"/>
        </w:rPr>
      </w:pPr>
      <w:r>
        <w:rPr>
          <w:rFonts w:hint="eastAsia" w:ascii="方正小标宋简体" w:hAnsi="方正小标宋简体" w:eastAsia="方正小标宋简体" w:cs="方正小标宋简体"/>
          <w:b w:val="0"/>
          <w:bCs w:val="0"/>
          <w:i w:val="0"/>
          <w:iCs w:val="0"/>
          <w:spacing w:val="0"/>
          <w:position w:val="0"/>
          <w:sz w:val="28"/>
          <w:szCs w:val="28"/>
          <w:u w:val="none" w:color="auto"/>
        </w:rPr>
        <w:t>采购项目地点：</w:t>
      </w:r>
      <w:r>
        <w:rPr>
          <w:rFonts w:hint="eastAsia" w:ascii="方正小标宋简体" w:hAnsi="方正小标宋简体" w:eastAsia="方正小标宋简体" w:cs="方正小标宋简体"/>
          <w:b w:val="0"/>
          <w:bCs w:val="0"/>
          <w:i w:val="0"/>
          <w:iCs w:val="0"/>
          <w:spacing w:val="0"/>
          <w:position w:val="0"/>
          <w:sz w:val="28"/>
          <w:szCs w:val="28"/>
          <w:u w:val="single" w:color="auto"/>
          <w:lang w:val="en-US" w:eastAsia="zh-CN"/>
        </w:rPr>
        <w:t xml:space="preserve">                        </w:t>
      </w:r>
    </w:p>
    <w:p w14:paraId="10DB432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方正小标宋简体" w:hAnsi="方正小标宋简体" w:eastAsia="方正小标宋简体" w:cs="方正小标宋简体"/>
          <w:b w:val="0"/>
          <w:bCs w:val="0"/>
          <w:i w:val="0"/>
          <w:iCs w:val="0"/>
          <w:spacing w:val="0"/>
          <w:position w:val="0"/>
          <w:sz w:val="28"/>
          <w:szCs w:val="28"/>
          <w:u w:val="none" w:color="auto"/>
        </w:rPr>
      </w:pPr>
      <w:r>
        <w:rPr>
          <w:rFonts w:hint="eastAsia" w:ascii="方正小标宋简体" w:hAnsi="方正小标宋简体" w:eastAsia="方正小标宋简体" w:cs="方正小标宋简体"/>
          <w:b w:val="0"/>
          <w:bCs w:val="0"/>
          <w:i w:val="0"/>
          <w:iCs w:val="0"/>
          <w:spacing w:val="0"/>
          <w:position w:val="0"/>
          <w:sz w:val="28"/>
          <w:szCs w:val="28"/>
          <w:u w:val="none" w:color="auto"/>
        </w:rPr>
        <w:t>合同编号：</w:t>
      </w:r>
      <w:r>
        <w:rPr>
          <w:rFonts w:hint="eastAsia" w:ascii="方正小标宋简体" w:hAnsi="方正小标宋简体" w:eastAsia="方正小标宋简体" w:cs="方正小标宋简体"/>
          <w:b w:val="0"/>
          <w:bCs w:val="0"/>
          <w:i w:val="0"/>
          <w:iCs w:val="0"/>
          <w:spacing w:val="0"/>
          <w:position w:val="0"/>
          <w:sz w:val="28"/>
          <w:szCs w:val="28"/>
          <w:u w:val="single" w:color="auto"/>
        </w:rPr>
        <w:t xml:space="preserve">                            </w:t>
      </w:r>
      <w:r>
        <w:rPr>
          <w:rFonts w:hint="eastAsia" w:ascii="方正小标宋简体" w:hAnsi="方正小标宋简体" w:eastAsia="方正小标宋简体" w:cs="方正小标宋简体"/>
          <w:b w:val="0"/>
          <w:bCs w:val="0"/>
          <w:i w:val="0"/>
          <w:iCs w:val="0"/>
          <w:spacing w:val="0"/>
          <w:position w:val="0"/>
          <w:sz w:val="28"/>
          <w:szCs w:val="28"/>
          <w:u w:val="none" w:color="auto"/>
        </w:rPr>
        <w:t xml:space="preserve">           </w:t>
      </w:r>
    </w:p>
    <w:p w14:paraId="4FBD53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方正小标宋简体" w:hAnsi="方正小标宋简体" w:eastAsia="方正小标宋简体" w:cs="方正小标宋简体"/>
          <w:b w:val="0"/>
          <w:bCs w:val="0"/>
          <w:i w:val="0"/>
          <w:iCs w:val="0"/>
          <w:spacing w:val="0"/>
          <w:position w:val="0"/>
          <w:sz w:val="28"/>
          <w:szCs w:val="28"/>
          <w:u w:val="none" w:color="auto"/>
        </w:rPr>
      </w:pPr>
      <w:r>
        <w:rPr>
          <w:rFonts w:hint="eastAsia" w:ascii="方正小标宋简体" w:hAnsi="方正小标宋简体" w:eastAsia="方正小标宋简体" w:cs="方正小标宋简体"/>
          <w:b w:val="0"/>
          <w:bCs w:val="0"/>
          <w:i w:val="0"/>
          <w:iCs w:val="0"/>
          <w:spacing w:val="0"/>
          <w:position w:val="0"/>
          <w:sz w:val="28"/>
          <w:szCs w:val="28"/>
          <w:u w:val="none" w:color="auto"/>
        </w:rPr>
        <w:t>采购人(以下简称甲方)</w:t>
      </w:r>
      <w:r>
        <w:rPr>
          <w:rFonts w:hint="eastAsia" w:ascii="方正小标宋简体" w:hAnsi="方正小标宋简体" w:eastAsia="方正小标宋简体" w:cs="方正小标宋简体"/>
          <w:b w:val="0"/>
          <w:bCs w:val="0"/>
          <w:i w:val="0"/>
          <w:iCs w:val="0"/>
          <w:spacing w:val="0"/>
          <w:position w:val="0"/>
          <w:sz w:val="28"/>
          <w:szCs w:val="28"/>
          <w:u w:val="none" w:color="auto"/>
          <w:lang w:eastAsia="zh-CN"/>
        </w:rPr>
        <w:t>：</w:t>
      </w:r>
      <w:r>
        <w:rPr>
          <w:rFonts w:hint="eastAsia" w:ascii="方正小标宋简体" w:hAnsi="方正小标宋简体" w:eastAsia="方正小标宋简体" w:cs="方正小标宋简体"/>
          <w:b w:val="0"/>
          <w:bCs w:val="0"/>
          <w:i w:val="0"/>
          <w:iCs w:val="0"/>
          <w:spacing w:val="0"/>
          <w:position w:val="0"/>
          <w:sz w:val="28"/>
          <w:szCs w:val="28"/>
          <w:u w:val="single" w:color="auto"/>
        </w:rPr>
        <w:t xml:space="preserve">  西安市福利彩票发行中心</w:t>
      </w:r>
      <w:r>
        <w:rPr>
          <w:rFonts w:hint="eastAsia" w:ascii="方正小标宋简体" w:hAnsi="方正小标宋简体" w:eastAsia="方正小标宋简体" w:cs="方正小标宋简体"/>
          <w:b w:val="0"/>
          <w:bCs w:val="0"/>
          <w:i w:val="0"/>
          <w:iCs w:val="0"/>
          <w:spacing w:val="0"/>
          <w:position w:val="0"/>
          <w:sz w:val="28"/>
          <w:szCs w:val="28"/>
          <w:u w:val="none" w:color="auto"/>
        </w:rPr>
        <w:t xml:space="preserve">   </w:t>
      </w:r>
    </w:p>
    <w:p w14:paraId="608F8E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方正小标宋简体" w:hAnsi="方正小标宋简体" w:eastAsia="方正小标宋简体" w:cs="方正小标宋简体"/>
          <w:b w:val="0"/>
          <w:bCs w:val="0"/>
          <w:i w:val="0"/>
          <w:iCs w:val="0"/>
          <w:spacing w:val="0"/>
          <w:position w:val="0"/>
          <w:sz w:val="28"/>
          <w:szCs w:val="28"/>
          <w:u w:val="none" w:color="auto"/>
        </w:rPr>
      </w:pPr>
      <w:r>
        <w:rPr>
          <w:rFonts w:hint="eastAsia" w:ascii="方正小标宋简体" w:hAnsi="方正小标宋简体" w:eastAsia="方正小标宋简体" w:cs="方正小标宋简体"/>
          <w:b w:val="0"/>
          <w:bCs w:val="0"/>
          <w:i w:val="0"/>
          <w:iCs w:val="0"/>
          <w:spacing w:val="0"/>
          <w:position w:val="0"/>
          <w:sz w:val="28"/>
          <w:szCs w:val="28"/>
          <w:u w:val="none" w:color="auto"/>
        </w:rPr>
        <w:t>供应商(以下简称乙方)</w:t>
      </w:r>
      <w:r>
        <w:rPr>
          <w:rFonts w:hint="eastAsia" w:ascii="方正小标宋简体" w:hAnsi="方正小标宋简体" w:eastAsia="方正小标宋简体" w:cs="方正小标宋简体"/>
          <w:b w:val="0"/>
          <w:bCs w:val="0"/>
          <w:i w:val="0"/>
          <w:iCs w:val="0"/>
          <w:spacing w:val="0"/>
          <w:position w:val="0"/>
          <w:sz w:val="28"/>
          <w:szCs w:val="28"/>
          <w:u w:val="none" w:color="auto"/>
          <w:lang w:eastAsia="zh-CN"/>
        </w:rPr>
        <w:t>：</w:t>
      </w:r>
      <w:r>
        <w:rPr>
          <w:rFonts w:hint="eastAsia" w:ascii="方正小标宋简体" w:hAnsi="方正小标宋简体" w:eastAsia="方正小标宋简体" w:cs="方正小标宋简体"/>
          <w:b w:val="0"/>
          <w:bCs w:val="0"/>
          <w:i w:val="0"/>
          <w:iCs w:val="0"/>
          <w:spacing w:val="0"/>
          <w:position w:val="0"/>
          <w:sz w:val="28"/>
          <w:szCs w:val="28"/>
          <w:u w:val="none" w:color="auto"/>
          <w:lang w:val="en-US" w:eastAsia="zh-CN"/>
        </w:rPr>
        <w:t xml:space="preserve"> </w:t>
      </w:r>
      <w:r>
        <w:rPr>
          <w:rFonts w:hint="eastAsia" w:ascii="方正小标宋简体" w:hAnsi="方正小标宋简体" w:eastAsia="方正小标宋简体" w:cs="方正小标宋简体"/>
          <w:b w:val="0"/>
          <w:bCs w:val="0"/>
          <w:i w:val="0"/>
          <w:iCs w:val="0"/>
          <w:spacing w:val="0"/>
          <w:position w:val="0"/>
          <w:sz w:val="28"/>
          <w:szCs w:val="28"/>
          <w:u w:val="single" w:color="auto"/>
          <w:lang w:val="en-US" w:eastAsia="zh-CN"/>
        </w:rPr>
        <w:t xml:space="preserve">                       </w:t>
      </w:r>
      <w:r>
        <w:rPr>
          <w:rFonts w:hint="eastAsia" w:ascii="方正小标宋简体" w:hAnsi="方正小标宋简体" w:eastAsia="方正小标宋简体" w:cs="方正小标宋简体"/>
          <w:b w:val="0"/>
          <w:bCs w:val="0"/>
          <w:i w:val="0"/>
          <w:iCs w:val="0"/>
          <w:spacing w:val="0"/>
          <w:position w:val="0"/>
          <w:sz w:val="28"/>
          <w:szCs w:val="28"/>
          <w:u w:val="none" w:color="auto"/>
        </w:rPr>
        <w:t xml:space="preserve"> </w:t>
      </w:r>
    </w:p>
    <w:p w14:paraId="5E788A8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宋体" w:hAnsi="宋体" w:eastAsia="宋体" w:cs="宋体"/>
          <w:b w:val="0"/>
          <w:bCs w:val="0"/>
          <w:i w:val="0"/>
          <w:iCs w:val="0"/>
          <w:spacing w:val="0"/>
          <w:position w:val="0"/>
          <w:sz w:val="30"/>
          <w:szCs w:val="30"/>
          <w:u w:val="none" w:color="auto"/>
        </w:rPr>
      </w:pPr>
      <w:r>
        <w:rPr>
          <w:rFonts w:hint="eastAsia" w:ascii="方正小标宋简体" w:hAnsi="方正小标宋简体" w:eastAsia="方正小标宋简体" w:cs="方正小标宋简体"/>
          <w:b w:val="0"/>
          <w:bCs w:val="0"/>
          <w:i w:val="0"/>
          <w:iCs w:val="0"/>
          <w:spacing w:val="0"/>
          <w:position w:val="0"/>
          <w:sz w:val="28"/>
          <w:szCs w:val="28"/>
          <w:u w:val="none" w:color="auto"/>
        </w:rPr>
        <w:t>签订日期：</w:t>
      </w:r>
      <w:r>
        <w:rPr>
          <w:rFonts w:hint="eastAsia" w:ascii="方正小标宋简体" w:hAnsi="方正小标宋简体" w:eastAsia="方正小标宋简体" w:cs="方正小标宋简体"/>
          <w:b w:val="0"/>
          <w:bCs w:val="0"/>
          <w:i w:val="0"/>
          <w:iCs w:val="0"/>
          <w:spacing w:val="0"/>
          <w:position w:val="0"/>
          <w:sz w:val="28"/>
          <w:szCs w:val="28"/>
          <w:u w:val="single" w:color="auto"/>
          <w:lang w:val="en-US" w:eastAsia="zh-CN"/>
        </w:rPr>
        <w:t xml:space="preserve">                                    </w:t>
      </w:r>
      <w:r>
        <w:rPr>
          <w:rFonts w:hint="eastAsia" w:ascii="宋体" w:hAnsi="宋体" w:eastAsia="宋体" w:cs="宋体"/>
          <w:b w:val="0"/>
          <w:bCs w:val="0"/>
          <w:i w:val="0"/>
          <w:iCs w:val="0"/>
          <w:spacing w:val="0"/>
          <w:position w:val="0"/>
          <w:sz w:val="30"/>
          <w:szCs w:val="30"/>
          <w:u w:val="none" w:color="auto"/>
          <w:lang w:val="en-US" w:eastAsia="zh-CN"/>
        </w:rPr>
        <w:t xml:space="preserve"> </w:t>
      </w:r>
      <w:r>
        <w:rPr>
          <w:rFonts w:hint="eastAsia" w:ascii="宋体" w:hAnsi="宋体" w:eastAsia="宋体" w:cs="宋体"/>
          <w:b w:val="0"/>
          <w:bCs w:val="0"/>
          <w:i w:val="0"/>
          <w:iCs w:val="0"/>
          <w:spacing w:val="0"/>
          <w:position w:val="0"/>
          <w:sz w:val="30"/>
          <w:szCs w:val="30"/>
          <w:u w:val="none" w:color="auto"/>
        </w:rPr>
        <w:t xml:space="preserve">      </w:t>
      </w:r>
    </w:p>
    <w:p w14:paraId="1BDA538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val="0"/>
          <w:bCs w:val="0"/>
          <w:i w:val="0"/>
          <w:iCs w:val="0"/>
          <w:spacing w:val="0"/>
          <w:position w:val="0"/>
          <w:sz w:val="30"/>
          <w:szCs w:val="30"/>
          <w:u w:val="none" w:color="auto"/>
        </w:rPr>
      </w:pPr>
    </w:p>
    <w:p w14:paraId="7F6E4973">
      <w:pPr>
        <w:pStyle w:val="2"/>
        <w:rPr>
          <w:rFonts w:hint="eastAsia"/>
        </w:rPr>
        <w:sectPr>
          <w:pgSz w:w="12240" w:h="15840"/>
          <w:pgMar w:top="1440" w:right="1440" w:bottom="1440" w:left="1440" w:header="0" w:footer="0" w:gutter="0"/>
          <w:cols w:space="0" w:num="1"/>
          <w:rtlGutter w:val="0"/>
          <w:docGrid w:linePitch="0" w:charSpace="0"/>
        </w:sectPr>
      </w:pPr>
    </w:p>
    <w:p w14:paraId="62A85E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2026年第四届西安老博会西安市福利彩票发行中心参展服务采购项目</w:t>
      </w:r>
      <w:r>
        <w:rPr>
          <w:rFonts w:hint="eastAsia" w:ascii="方正仿宋_GB18030" w:hAnsi="方正仿宋_GB18030" w:eastAsia="方正仿宋_GB18030" w:cs="方正仿宋_GB18030"/>
          <w:b w:val="0"/>
          <w:bCs w:val="0"/>
          <w:i w:val="0"/>
          <w:iCs w:val="0"/>
          <w:spacing w:val="0"/>
          <w:position w:val="0"/>
          <w:sz w:val="24"/>
          <w:szCs w:val="24"/>
          <w:u w:val="none" w:color="auto"/>
        </w:rPr>
        <w:t>，由西安市福利彩票发行中心(以下简称甲方)委托组织竞争性磋商，确定</w:t>
      </w:r>
      <w:r>
        <w:rPr>
          <w:rFonts w:hint="eastAsia" w:ascii="方正仿宋_GB18030" w:hAnsi="方正仿宋_GB18030" w:eastAsia="方正仿宋_GB18030" w:cs="方正仿宋_GB18030"/>
          <w:b w:val="0"/>
          <w:bCs w:val="0"/>
          <w:i w:val="0"/>
          <w:iCs w:val="0"/>
          <w:spacing w:val="0"/>
          <w:position w:val="0"/>
          <w:sz w:val="24"/>
          <w:szCs w:val="24"/>
          <w:u w:val="single" w:color="auto"/>
        </w:rPr>
        <w:t>(成交</w:t>
      </w:r>
      <w:r>
        <w:rPr>
          <w:rFonts w:hint="eastAsia" w:ascii="方正仿宋_GB18030" w:hAnsi="方正仿宋_GB18030" w:eastAsia="方正仿宋_GB18030" w:cs="方正仿宋_GB18030"/>
          <w:b w:val="0"/>
          <w:bCs w:val="0"/>
          <w:i w:val="0"/>
          <w:iCs w:val="0"/>
          <w:spacing w:val="0"/>
          <w:position w:val="0"/>
          <w:sz w:val="24"/>
          <w:szCs w:val="24"/>
          <w:u w:val="single" w:color="auto"/>
          <w:lang w:val="en-US" w:eastAsia="zh-CN"/>
        </w:rPr>
        <w:t>供应商</w:t>
      </w:r>
      <w:r>
        <w:rPr>
          <w:rFonts w:hint="eastAsia" w:ascii="方正仿宋_GB18030" w:hAnsi="方正仿宋_GB18030" w:eastAsia="方正仿宋_GB18030" w:cs="方正仿宋_GB18030"/>
          <w:b w:val="0"/>
          <w:bCs w:val="0"/>
          <w:i w:val="0"/>
          <w:iCs w:val="0"/>
          <w:spacing w:val="0"/>
          <w:position w:val="0"/>
          <w:sz w:val="24"/>
          <w:szCs w:val="24"/>
          <w:u w:val="single" w:color="auto"/>
        </w:rPr>
        <w:t>名称)</w:t>
      </w:r>
      <w:r>
        <w:rPr>
          <w:rFonts w:hint="eastAsia" w:ascii="方正仿宋_GB18030" w:hAnsi="方正仿宋_GB18030" w:eastAsia="方正仿宋_GB18030" w:cs="方正仿宋_GB18030"/>
          <w:b w:val="0"/>
          <w:bCs w:val="0"/>
          <w:i w:val="0"/>
          <w:iCs w:val="0"/>
          <w:spacing w:val="0"/>
          <w:position w:val="0"/>
          <w:sz w:val="24"/>
          <w:szCs w:val="24"/>
          <w:u w:val="none" w:color="auto"/>
        </w:rPr>
        <w:t>(以下简称乙方)为该项目成交单位。</w:t>
      </w:r>
    </w:p>
    <w:p w14:paraId="6530AF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依据《中华人民共和国民法典》和《中华人民共和国政府采购法》,经甲、乙双方共同协商，按下述条款和条件签署本合同。</w:t>
      </w:r>
    </w:p>
    <w:p w14:paraId="4FF942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一、合同文件</w:t>
      </w:r>
    </w:p>
    <w:p w14:paraId="3F42281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下列文件是构成本合同不可分割的部分：</w:t>
      </w:r>
    </w:p>
    <w:p w14:paraId="18E23DE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成交</w:t>
      </w:r>
      <w:r>
        <w:rPr>
          <w:rFonts w:hint="eastAsia" w:ascii="方正仿宋_GB18030" w:hAnsi="方正仿宋_GB18030" w:eastAsia="方正仿宋_GB18030" w:cs="方正仿宋_GB18030"/>
          <w:b w:val="0"/>
          <w:bCs w:val="0"/>
          <w:i w:val="0"/>
          <w:iCs w:val="0"/>
          <w:spacing w:val="0"/>
          <w:position w:val="0"/>
          <w:sz w:val="24"/>
          <w:szCs w:val="24"/>
          <w:u w:val="none" w:color="auto"/>
        </w:rPr>
        <w:t>通知书；</w:t>
      </w:r>
    </w:p>
    <w:p w14:paraId="3DB475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(2)竞争性磋商文件</w:t>
      </w:r>
    </w:p>
    <w:p w14:paraId="7A52C6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(3)成交单位的响应文件；</w:t>
      </w:r>
    </w:p>
    <w:p w14:paraId="4798EB7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(4)其他。</w:t>
      </w:r>
    </w:p>
    <w:p w14:paraId="3A11472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二、合同内容</w:t>
      </w:r>
    </w:p>
    <w:p w14:paraId="7AB9733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rPr>
        <w:t>1.项目名称：</w:t>
      </w: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2026年第四届西安老博会西安市福利彩票发行中心参展服务采购项目</w:t>
      </w:r>
    </w:p>
    <w:p w14:paraId="1F96FD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服务内容：市福彩中心计划充分利用第四届西安国际养老产业博览会契机，积极宣传福利彩票“扶老、助残、救孤、济困”发行宗旨，展示福利彩票公益成果，提升福利彩票社会美誉度；同时开展福彩游戏品牌推介，扩大双色球、3D、快乐8及即开票等游戏影响力；展示先进销售终端设备，洽谈渠道合作，招募代销者，拓展福彩销售渠道。现对展位租赁、搭建及配套服务等进行采购。</w:t>
      </w:r>
    </w:p>
    <w:p w14:paraId="59FF4B2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三、服务期</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限</w:t>
      </w:r>
      <w:r>
        <w:rPr>
          <w:rFonts w:hint="eastAsia" w:ascii="方正仿宋_GB18030" w:hAnsi="方正仿宋_GB18030" w:eastAsia="方正仿宋_GB18030" w:cs="方正仿宋_GB18030"/>
          <w:b w:val="0"/>
          <w:bCs w:val="0"/>
          <w:i w:val="0"/>
          <w:iCs w:val="0"/>
          <w:spacing w:val="0"/>
          <w:position w:val="0"/>
          <w:sz w:val="24"/>
          <w:szCs w:val="24"/>
          <w:u w:val="none" w:color="auto"/>
        </w:rPr>
        <w:t>及服务地点</w:t>
      </w:r>
    </w:p>
    <w:p w14:paraId="3ADEA08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1、服务期</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限</w:t>
      </w:r>
      <w:r>
        <w:rPr>
          <w:rFonts w:hint="eastAsia" w:ascii="方正仿宋_GB18030" w:hAnsi="方正仿宋_GB18030" w:eastAsia="方正仿宋_GB18030" w:cs="方正仿宋_GB18030"/>
          <w:b w:val="0"/>
          <w:bCs w:val="0"/>
          <w:i w:val="0"/>
          <w:iCs w:val="0"/>
          <w:spacing w:val="0"/>
          <w:position w:val="0"/>
          <w:sz w:val="24"/>
          <w:szCs w:val="24"/>
          <w:u w:val="none" w:color="auto"/>
        </w:rPr>
        <w:t>：2026年7月30日至2026年9月20日（如遇特殊情况，服务日期可由双方协商调整）。</w:t>
      </w:r>
    </w:p>
    <w:p w14:paraId="745939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2、服务地点：采购人指定地点。</w:t>
      </w:r>
    </w:p>
    <w:p w14:paraId="5DA0AB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四、合同价款</w:t>
      </w:r>
    </w:p>
    <w:p w14:paraId="78867F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1.合同总价款为人民币含税(大写)</w:t>
      </w:r>
      <w:r>
        <w:rPr>
          <w:rFonts w:hint="eastAsia" w:ascii="方正仿宋_GB18030" w:hAnsi="方正仿宋_GB18030" w:eastAsia="方正仿宋_GB18030" w:cs="方正仿宋_GB18030"/>
          <w:b w:val="0"/>
          <w:bCs w:val="0"/>
          <w:i w:val="0"/>
          <w:iCs w:val="0"/>
          <w:spacing w:val="0"/>
          <w:position w:val="0"/>
          <w:sz w:val="24"/>
          <w:szCs w:val="24"/>
          <w:u w:val="singl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w:t>
      </w:r>
      <w:r>
        <w:rPr>
          <w:rFonts w:hint="eastAsia" w:ascii="方正仿宋_GB18030" w:hAnsi="方正仿宋_GB18030" w:eastAsia="方正仿宋_GB18030" w:cs="方正仿宋_GB18030"/>
          <w:b w:val="0"/>
          <w:bCs w:val="0"/>
          <w:i w:val="0"/>
          <w:iCs w:val="0"/>
          <w:spacing w:val="0"/>
          <w:position w:val="0"/>
          <w:sz w:val="24"/>
          <w:szCs w:val="24"/>
          <w:u w:val="singl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元 )</w:t>
      </w:r>
    </w:p>
    <w:p w14:paraId="1DD0E54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2.合同总价一次性包死且不受市场价格变化因素的影响。</w:t>
      </w:r>
    </w:p>
    <w:p w14:paraId="388BBB9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五、付款方式：</w:t>
      </w:r>
    </w:p>
    <w:p w14:paraId="1A96993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1、合同签订后，达到付款条件起10个工作日内，支付合同总金额的50.0%</w:t>
      </w: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即</w:t>
      </w:r>
      <w:r>
        <w:rPr>
          <w:rFonts w:hint="eastAsia" w:ascii="方正仿宋_GB18030" w:hAnsi="方正仿宋_GB18030" w:eastAsia="方正仿宋_GB18030" w:cs="方正仿宋_GB18030"/>
          <w:b w:val="0"/>
          <w:bCs w:val="0"/>
          <w:i w:val="0"/>
          <w:iCs w:val="0"/>
          <w:spacing w:val="0"/>
          <w:position w:val="0"/>
          <w:sz w:val="24"/>
          <w:szCs w:val="24"/>
          <w:u w:val="none" w:color="auto"/>
        </w:rPr>
        <w:t>人民币</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(大写：人民币</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w:t>
      </w: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；合同执行完毕，验收合格后，达到付款条件起15个工作日内，支付合同总金额的50.0%</w:t>
      </w:r>
      <w:r>
        <w:rPr>
          <w:rFonts w:hint="eastAsia" w:ascii="方正仿宋_GB18030" w:hAnsi="方正仿宋_GB18030" w:eastAsia="方正仿宋_GB18030" w:cs="方正仿宋_GB18030"/>
          <w:b w:val="0"/>
          <w:bCs w:val="0"/>
          <w:i w:val="0"/>
          <w:iCs w:val="0"/>
          <w:spacing w:val="0"/>
          <w:position w:val="0"/>
          <w:sz w:val="24"/>
          <w:szCs w:val="24"/>
          <w:u w:val="none" w:color="auto"/>
        </w:rPr>
        <w:t>，</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即</w:t>
      </w:r>
      <w:r>
        <w:rPr>
          <w:rFonts w:hint="eastAsia" w:ascii="方正仿宋_GB18030" w:hAnsi="方正仿宋_GB18030" w:eastAsia="方正仿宋_GB18030" w:cs="方正仿宋_GB18030"/>
          <w:b w:val="0"/>
          <w:bCs w:val="0"/>
          <w:i w:val="0"/>
          <w:iCs w:val="0"/>
          <w:spacing w:val="0"/>
          <w:position w:val="0"/>
          <w:sz w:val="24"/>
          <w:szCs w:val="24"/>
          <w:u w:val="none" w:color="auto"/>
        </w:rPr>
        <w:t>支付人民币</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(大写：</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人民币      </w:t>
      </w:r>
      <w:r>
        <w:rPr>
          <w:rFonts w:hint="eastAsia" w:ascii="方正仿宋_GB18030" w:hAnsi="方正仿宋_GB18030" w:eastAsia="方正仿宋_GB18030" w:cs="方正仿宋_GB18030"/>
          <w:b w:val="0"/>
          <w:bCs w:val="0"/>
          <w:i w:val="0"/>
          <w:iCs w:val="0"/>
          <w:spacing w:val="0"/>
          <w:position w:val="0"/>
          <w:sz w:val="24"/>
          <w:szCs w:val="24"/>
          <w:u w:val="none" w:color="auto"/>
        </w:rPr>
        <w:t>) 。</w:t>
      </w:r>
    </w:p>
    <w:p w14:paraId="6793280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2、结算方式：银行转账</w:t>
      </w:r>
    </w:p>
    <w:p w14:paraId="63B231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收款账户信息</w:t>
      </w:r>
    </w:p>
    <w:p w14:paraId="1D254C7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账户名称：</w:t>
      </w:r>
    </w:p>
    <w:p w14:paraId="0EF6071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账    号：</w:t>
      </w:r>
    </w:p>
    <w:p w14:paraId="751B53C1">
      <w:pPr>
        <w:pStyle w:val="4"/>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开</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户</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 xml:space="preserve"> </w:t>
      </w:r>
      <w:r>
        <w:rPr>
          <w:rFonts w:hint="eastAsia" w:ascii="方正仿宋_GB18030" w:hAnsi="方正仿宋_GB18030" w:eastAsia="方正仿宋_GB18030" w:cs="方正仿宋_GB18030"/>
          <w:b w:val="0"/>
          <w:bCs w:val="0"/>
          <w:i w:val="0"/>
          <w:iCs w:val="0"/>
          <w:spacing w:val="0"/>
          <w:position w:val="0"/>
          <w:sz w:val="24"/>
          <w:szCs w:val="24"/>
          <w:u w:val="none" w:color="auto"/>
        </w:rPr>
        <w:t>行：</w:t>
      </w:r>
    </w:p>
    <w:p w14:paraId="6E76D67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乙方收款账户信息若发生变化，乙方应于1个工作日内书面通知甲方，如因乙方未及时通知导致任何损失的，由乙方自行承担责任。</w:t>
      </w:r>
    </w:p>
    <w:p w14:paraId="614DB6F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乙方申请付款前必须提供合法有效足额的增值税普通发票(下同，如发票无法分割的，应在第一次付款时全额提供),否则甲方有权拒付费用，且不构成违约，由此产生的一切后果概由乙方承担。乙方必须严格遵照相关税收法规和文件，开具合法的增值税普通发票。如因乙方开具的增值税普通发票不符合税收法规与税务机关相关规定，符合以下情形的，乙方需重新提供等额合法合规的增值税发票，并向甲方支付假票金额两倍的违约金并承担一切责任，违约金不足以弥补甲方损失的，乙方须继续承担赔偿责任。甲方有权延迟支付应付款项，且不承担任何违约责任，乙方的各项合同义务仍按合同约定履行；给甲方造成经济损失的，乙方负责赔偿甲方一切损失，包括但不限于税金、附加费、罚金、滞纳金和法律费用；</w:t>
      </w:r>
    </w:p>
    <w:p w14:paraId="2E46C3E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开具虚假、作废等无效发票或者违反国家法律、法规开具提供发票的</w:t>
      </w:r>
    </w:p>
    <w:p w14:paraId="5AEE644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开具发票种类错误；开具发票税率与合同约定不符</w:t>
      </w:r>
    </w:p>
    <w:p w14:paraId="1BB7B7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发票上的信息错误</w:t>
      </w:r>
    </w:p>
    <w:p w14:paraId="357370D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因乙方延迟送达、开具错误等原因造成发票认证失败</w:t>
      </w:r>
    </w:p>
    <w:p w14:paraId="10BD92D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乙方应承担就此给甲方带来的一切损失(包括罚金、滞纳金、税款等)。</w:t>
      </w:r>
    </w:p>
    <w:p w14:paraId="2C1B9F2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5、乙方开具的增值税普通发票送达并经甲方签收后，若发生丢失，乙方应积极协助甲方，按照相关税收法规和文件的规定提供相应资料，配合甲方申请《丢失增值税正规发票已报税证明单》,以保证甲方顺利获得抵扣。因乙方怠于配合甲方申请而给乙方造成损失的，乙方承担所有损失。</w:t>
      </w:r>
    </w:p>
    <w:p w14:paraId="245EA74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6、甲方有权随时对已经批复的任何一期计量或支付的错误进行修正。</w:t>
      </w:r>
    </w:p>
    <w:p w14:paraId="38BB39C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六、甲、乙方的权利和义务</w:t>
      </w:r>
    </w:p>
    <w:p w14:paraId="27B50FC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(一)甲方的权利和义务</w:t>
      </w:r>
    </w:p>
    <w:p w14:paraId="0C78C54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1.甲方负责配合本次项目服务工作，确保相应资料的统筹准备工作；</w:t>
      </w:r>
    </w:p>
    <w:p w14:paraId="4A0461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2.甲方应按本合同的约定向乙方支付合同价款；逾期未支付，每逾期1天应按工程造价赔付乙方5%的违约金。</w:t>
      </w:r>
    </w:p>
    <w:p w14:paraId="5C1C384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3.甲方根据需要对乙方提供的方案进行审核，提供建议及意见，确定最终实施的服务方案，以便乙方遵照执行；</w:t>
      </w:r>
    </w:p>
    <w:p w14:paraId="2F88C75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4.甲方向乙方提供展板内容文件以及项目相关文件；</w:t>
      </w:r>
    </w:p>
    <w:p w14:paraId="365B918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5.甲方有权对乙方的工作进行监督和考核、提出整改意见。</w:t>
      </w:r>
    </w:p>
    <w:p w14:paraId="66EEC4C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(二)乙方权利和义务</w:t>
      </w:r>
    </w:p>
    <w:p w14:paraId="2FE7AA4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1.乙方的工作人员必须严格遵守甲方的规章制度，以良好的形象和积极的工作态度，按甲方要求开展工作；</w:t>
      </w:r>
    </w:p>
    <w:p w14:paraId="249A3A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 乙方应服从甲方统筹管理并按流程开展工作，严格按照甲方签章确认的设计图纸进行制作搭建，严格把控质量，确保达到设计效果；</w:t>
      </w:r>
    </w:p>
    <w:p w14:paraId="654217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3.乙方提交的方案等应得到甲方确认再予以实施；</w:t>
      </w:r>
    </w:p>
    <w:p w14:paraId="7B1441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4.乙方在活动期间发布的任何涉及有关甲方的相关信息，需经甲方确认无误后方可发布；</w:t>
      </w:r>
    </w:p>
    <w:p w14:paraId="517C0B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5.针对甲方提出的问题，应当及时整改，在甲方要求时间内整改完毕；</w:t>
      </w:r>
    </w:p>
    <w:p w14:paraId="2A974AA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6.确保施工期间的防火、用电及人身安全问题，确保与其员工建立合法合规的劳动关系，并承担全部责任。</w:t>
      </w:r>
    </w:p>
    <w:p w14:paraId="349E4BB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7.如甲方未按期付款，乙方有权拒绝交工，甲方未提出布展存在问题而未签验收合格单而继续使用视为工程合格。</w:t>
      </w:r>
    </w:p>
    <w:p w14:paraId="34DA45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七、质量保证</w:t>
      </w:r>
    </w:p>
    <w:p w14:paraId="3B5A6A5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1.所选材料必须保证质量可靠、进货渠道正常，符合国家环保等相关标准，满足施工要求。</w:t>
      </w:r>
    </w:p>
    <w:p w14:paraId="57A7097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2.用于提供服务的展台应符合国家现行有关施工质量验收规范“合格”要求；</w:t>
      </w:r>
    </w:p>
    <w:p w14:paraId="4EBE578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3.在展出期间，乙方要24小时负责展馆值班，确保展馆结构、施工、用电、设备等安全，保证用水、用电；展览结束由乙方按甲方及场馆要求撤展。</w:t>
      </w:r>
    </w:p>
    <w:p w14:paraId="5687615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rPr>
        <w:t>4、乙方展台用图方案展台搭建设计方案不得侵犯他人版权，如有侵犯，承担全部责任</w:t>
      </w: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w:t>
      </w:r>
    </w:p>
    <w:p w14:paraId="496DDE7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（一）展位租赁服务</w:t>
      </w:r>
    </w:p>
    <w:p w14:paraId="16ED56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展会室内空地租赁面积为100㎡左右，需提供基础电力接口（220V/10kW）、2条可接互联网网线及网络端口、24小时安保服务，包含展位租赁费、场地清洁押金及基础服务费。</w:t>
      </w:r>
    </w:p>
    <w:p w14:paraId="6BC1E3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（二）展位搭建服务</w:t>
      </w:r>
    </w:p>
    <w:p w14:paraId="2CF4196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1.布展原则：按照“突出特色、简约大气、整体特装”的原则进行。布展设计，布展力求新颖、简洁、实用、凸显福彩公益事业主题特色。展区统一规划、统一设计制作，综合运用实物、模型、图片、声光电等方式进行特装布展。坚持与众不同、造型独特，利用现代高科技、新材料打造出一个全新形象。做到高雅大气、亮点突出、新颖现代，突出福彩元素，吸引更多来宾参观展览、洽谈合作。</w:t>
      </w:r>
    </w:p>
    <w:p w14:paraId="595316B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2.展台整体方案：以切合福彩特色为主造型，形式新颖、色彩协调、通透性好，运用灯光、LED、灯箱、音响、写真、图片以及现代新型展示方式等多种手段，展现西安福彩助力老龄产业和老龄事业发展，展现福利彩票“扶老、助残、救孤、济困”的公益宗旨和社会使命。展厅内需设福彩公益成果展示区（展示公益事业）、电脑票游戏展示体验区（实物陈列）、刮刮乐体验区（现场互动）、礼品兑换区（现场活动）、合作招募区（商务接洽），充分展示中国福彩的功能、价值、产品系列、合作模式，为有意合作的企业全面介绍福彩优势。配备声光电设备及互动多媒体、饮水机、电源、音响、绿植等配套设施。</w:t>
      </w:r>
    </w:p>
    <w:p w14:paraId="540AD89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3.展台用图方案：展台用图方案展台搭建设计方案不得侵犯他人版权，如有侵犯，成交供应商承担全部责任。在比选文件中所用图片，明确图片名称、位置、尺寸、材质。图片不得侵犯他人版权；如有侵犯，成交供应商须承担全部责任。成交供应商中标后应根据中标方案结合采购人提出的效果展示方面的要求，进一步深化修改方案，并制作施工图纸。</w:t>
      </w:r>
    </w:p>
    <w:p w14:paraId="40ABFF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4.展台材质要求：布展材质优良，选用优质、环保材质。</w:t>
      </w:r>
    </w:p>
    <w:p w14:paraId="17DFD79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5.项目服务要求：项目开展期间，成交服务商负责展位设计、搭建及特装搭建管理费、电费、维护维修等全部费用。展览结束后24小时内，按主办方及场馆要求完成撤展，并恢复场地原状，经采购人及场馆方验收合格后方可离场。</w:t>
      </w:r>
    </w:p>
    <w:p w14:paraId="17A210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（三）赠票管理服务</w:t>
      </w:r>
    </w:p>
    <w:p w14:paraId="1D2169F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1.为5000名参展群众每人赠送1张面值10元的刮刮乐彩票，总采购金额5万元。彩票需从福彩官方渠道采购。</w:t>
      </w:r>
    </w:p>
    <w:p w14:paraId="3446C97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2.制定详细赠票发放流程，设置独立赠票发放区域。群众凭前台领取的兑换券登记领取，工作人员需核对信息，做好发放记录。</w:t>
      </w:r>
    </w:p>
    <w:p w14:paraId="2C0BE7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（四）宣传物料制作</w:t>
      </w:r>
    </w:p>
    <w:p w14:paraId="43A39C9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1.宣传物料内容及要求①宣传页：设计并印刷宣传页及兑换券10000份，全彩印刷，内容涵盖福利彩票的发展历程、公益项目展示、各类游戏玩法介绍等。②展示展板或易拉宝：设计制作展示展板或易拉宝15个，材质坚固耐用，展示福彩历年公益金使用成果数据图表、受助案例、刮刮乐发放提示等。③赠送宣传品：采购定制赠送宣传品1000套，要求做工精细，带有福彩相关元素。</w:t>
      </w:r>
    </w:p>
    <w:p w14:paraId="3C17A9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2.制作周期：合同签订后按照要求时限完成所有宣传物料的制作，并确保在老博会开展前1天送达指定展会场地。</w:t>
      </w:r>
    </w:p>
    <w:p w14:paraId="20F23CB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3.质量标准：宣传物料制作工艺需符合行业标准，印刷色彩鲜艳、清晰，无偏色、重影等问题；材质环保、耐用，如宣传册装订牢固，手提袋承重力达标等。</w:t>
      </w:r>
    </w:p>
    <w:p w14:paraId="1E4820B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（五）人员保障服务：</w:t>
      </w:r>
    </w:p>
    <w:p w14:paraId="27910E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eastAsia="zh-CN"/>
        </w:rPr>
        <w:t>按照展位面积、功能分区、预期人流量及服务内容，提供充足且结构合理的人员配置，需包含总协调人、业务讲解员、互动体验区引导员、现场秩序维护人员、技术保障人员以及后勤保障人员等，并为参加展会服务的彩票兑换员、彩票销售员、现场咨询服务人员等现场人员提供好工作餐食、饮水等服务保障。展会期间，所有面向公众的服务人员应穿着有福彩标识的统一服装，具备良好的服务意识和沟通能力，态度热情、耐心、细致，关键岗位人员具有稳定性和连续性，不得随意更换。</w:t>
      </w:r>
    </w:p>
    <w:p w14:paraId="59232CA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八 、验收</w:t>
      </w:r>
    </w:p>
    <w:p w14:paraId="4C4AD60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drawing>
          <wp:anchor distT="0" distB="0" distL="0" distR="0" simplePos="0" relativeHeight="251659264" behindDoc="1" locked="0" layoutInCell="1" allowOverlap="1">
            <wp:simplePos x="0" y="0"/>
            <wp:positionH relativeFrom="column">
              <wp:posOffset>5916295</wp:posOffset>
            </wp:positionH>
            <wp:positionV relativeFrom="paragraph">
              <wp:posOffset>325755</wp:posOffset>
            </wp:positionV>
            <wp:extent cx="135890" cy="1284605"/>
            <wp:effectExtent l="0" t="0" r="16510" b="10795"/>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
                    <a:stretch>
                      <a:fillRect/>
                    </a:stretch>
                  </pic:blipFill>
                  <pic:spPr>
                    <a:xfrm>
                      <a:off x="0" y="0"/>
                      <a:ext cx="136105" cy="1284376"/>
                    </a:xfrm>
                    <a:prstGeom prst="rect">
                      <a:avLst/>
                    </a:prstGeom>
                  </pic:spPr>
                </pic:pic>
              </a:graphicData>
            </a:graphic>
          </wp:anchor>
        </w:drawing>
      </w:r>
      <w:r>
        <w:rPr>
          <w:rFonts w:hint="eastAsia" w:ascii="方正仿宋_GB18030" w:hAnsi="方正仿宋_GB18030" w:eastAsia="方正仿宋_GB18030" w:cs="方正仿宋_GB18030"/>
          <w:b w:val="0"/>
          <w:bCs w:val="0"/>
          <w:i w:val="0"/>
          <w:iCs w:val="0"/>
          <w:spacing w:val="0"/>
          <w:position w:val="0"/>
          <w:sz w:val="24"/>
          <w:szCs w:val="24"/>
          <w:u w:val="none" w:color="auto"/>
        </w:rPr>
        <w:t>乙项目实施完成后，甲方依据磋商文件、响应文件和服务合同，确认服务标准和服务方式是否达到采购要求。甲乙双方共同完成验收，乙方出具验收并填写验收单。</w:t>
      </w:r>
    </w:p>
    <w:p w14:paraId="2BA6267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九、违约责任</w:t>
      </w:r>
    </w:p>
    <w:p w14:paraId="119F42C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1.按《中华人民共和国民法典》中的相关条款执行。</w:t>
      </w:r>
    </w:p>
    <w:p w14:paraId="5676CF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2.乙方未按合同约定及甲方要求提供服务或服务内容、质量不能满足合同要求，乙方须每次向甲方支付合同总价款5%的违约金，同时承担由此给甲方造成的所有损失。</w:t>
      </w:r>
    </w:p>
    <w:p w14:paraId="4453404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3.在本合同履行过程中，双方因违约或造成对方经济、社会效益等损失的(不可抗力因素除外),由责任方负责赔偿全部损失。</w:t>
      </w:r>
    </w:p>
    <w:p w14:paraId="689A6F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乙方存在其他违约的，每次应向甲方支付合同总价款5%的违约金，同时承担由此给甲方及第三方造成的所有损失。乙方存在多项违约情形的，违约金可叠加。本合同中，所有涉及甲方损失的，包括但不限于诉讼费、保全费、向保险公司支付的保险费、律师费等。</w:t>
      </w:r>
    </w:p>
    <w:p w14:paraId="6C1D24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十、合同的解除</w:t>
      </w:r>
    </w:p>
    <w:p w14:paraId="488EC20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1、经甲乙双方书面协商一致，可提前解除合同。</w:t>
      </w:r>
    </w:p>
    <w:p w14:paraId="53F2AA2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2、本合同有效期间，因自然原因或政府政策、政令(以正式文件为准)等人力不可抗拒的因素，造成本合同及其补充协议内容部分或全部不能履行，双方互不承担违约责任。</w:t>
      </w:r>
    </w:p>
    <w:p w14:paraId="6826C8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但应在四十八小时内，将相关事件、可能引发后果等情况以书面形式通知另一方，并且在事件发生后的十五天内，向另一方提交有关权威部门的证明，及本合同(包括补充协议)  约定义务与责任不能履行或需要延期的报告。因不可抗力的自然原因或政府政策、政令(以 正式文件为准)导致不能履行合同义务的，双方友好协商变更或解除合同。</w:t>
      </w:r>
    </w:p>
    <w:p w14:paraId="13DFED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3、若因乙方原因导致订立合同的目的无法达到的，甲方有权单方以书面形式解除本合同，本合同自乙方收到甲方解除通知时自动解除。乙方还应双倍赔偿甲方因合同解除而导致的一切损失。</w:t>
      </w:r>
    </w:p>
    <w:p w14:paraId="4BF5FE3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乙方存在以下情形之一的，甲方有权单方解除合同，另行委托第三方服务，第三方的服务费用(以甲方与第三方确认的金额为准)及甲方因此支出的协调费用，均由乙方承担，并要求乙方退还全部已支付款项，同时承担合同总价款5%的违约金，本合同约定的其他违约金乙方应一并承担，给甲方造成损失的，还须赔偿甲方因此受到的所有损失。</w:t>
      </w:r>
    </w:p>
    <w:p w14:paraId="579CC5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(1)乙方未经甲方书面同意，擅自将合同内容转委托的；</w:t>
      </w:r>
    </w:p>
    <w:p w14:paraId="005E46D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(2)乙方拒绝履行合同义务或履行义务有严重瑕疵的；</w:t>
      </w:r>
    </w:p>
    <w:p w14:paraId="7D6F264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(3)乙方逾期完工的；</w:t>
      </w:r>
    </w:p>
    <w:p w14:paraId="0818B44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(4)乙方的工作不符合设计方案且拒绝按甲方要求整改的；</w:t>
      </w:r>
    </w:p>
    <w:p w14:paraId="63F83A5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(5)乙方被吊销营业执照的；</w:t>
      </w:r>
    </w:p>
    <w:p w14:paraId="1416BA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(6)乙方存在其他违约行为，经甲方书面通知一次后，仍违约的；</w:t>
      </w:r>
    </w:p>
    <w:p w14:paraId="66E19E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drawing>
          <wp:anchor distT="0" distB="0" distL="0" distR="0" simplePos="0" relativeHeight="251660288" behindDoc="1" locked="0" layoutInCell="1" allowOverlap="1">
            <wp:simplePos x="0" y="0"/>
            <wp:positionH relativeFrom="column">
              <wp:posOffset>5837555</wp:posOffset>
            </wp:positionH>
            <wp:positionV relativeFrom="paragraph">
              <wp:posOffset>172720</wp:posOffset>
            </wp:positionV>
            <wp:extent cx="110490" cy="1111885"/>
            <wp:effectExtent l="0" t="0" r="3810" b="12065"/>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
                    <a:stretch>
                      <a:fillRect/>
                    </a:stretch>
                  </pic:blipFill>
                  <pic:spPr>
                    <a:xfrm>
                      <a:off x="0" y="0"/>
                      <a:ext cx="110173" cy="1112095"/>
                    </a:xfrm>
                    <a:prstGeom prst="rect">
                      <a:avLst/>
                    </a:prstGeom>
                  </pic:spPr>
                </pic:pic>
              </a:graphicData>
            </a:graphic>
          </wp:anchor>
        </w:drawing>
      </w:r>
      <w:r>
        <w:rPr>
          <w:rFonts w:hint="eastAsia" w:ascii="方正仿宋_GB18030" w:hAnsi="方正仿宋_GB18030" w:eastAsia="方正仿宋_GB18030" w:cs="方正仿宋_GB18030"/>
          <w:b w:val="0"/>
          <w:bCs w:val="0"/>
          <w:i w:val="0"/>
          <w:iCs w:val="0"/>
          <w:spacing w:val="0"/>
          <w:position w:val="0"/>
          <w:sz w:val="24"/>
          <w:szCs w:val="24"/>
          <w:u w:val="none" w:color="auto"/>
        </w:rPr>
        <w:t>(7)乙方存在严重违法行为的；</w:t>
      </w:r>
    </w:p>
    <w:p w14:paraId="270F7BE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(8)其他造成甲方重大损失的。</w:t>
      </w:r>
    </w:p>
    <w:p w14:paraId="79F374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4、甲方依据合同约定要求解除合同的，以书面形式向对方发出解除合同的通知，解除的通知到达乙方时合同解除。对解除合同有争议的，按本合同关于争议的约定处理。</w:t>
      </w:r>
    </w:p>
    <w:p w14:paraId="57D227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十一、免责条款</w:t>
      </w:r>
    </w:p>
    <w:p w14:paraId="4DEA895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任何一方由于不可抗力原因不能按合同实施，应在不可抗力事件结束后1日内向对方通报，以减轻可能给对方造成的损失，在取得有关机构的不可抗力证明或双方谅解确认后，允许延期履行或修订本合同，并根据情况可部分或全部免于承担违约责任。</w:t>
      </w:r>
    </w:p>
    <w:p w14:paraId="6E29737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十四、争议解决</w:t>
      </w:r>
    </w:p>
    <w:p w14:paraId="51A266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(一)本合同在履行过程中发生的争议，由甲、乙双方当事人协商解决，协商不成的按下列第2种方式解决：</w:t>
      </w:r>
    </w:p>
    <w:p w14:paraId="4AEC33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1、提交西安仲裁委员会仲裁；</w:t>
      </w:r>
    </w:p>
    <w:p w14:paraId="24B0D71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2、依法向甲方所在地人民法院起诉。</w:t>
      </w:r>
    </w:p>
    <w:p w14:paraId="775F875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(二)本条款为独立条款，本合同的无效、变更、解除和终止均不影响本条款的效力。</w:t>
      </w:r>
    </w:p>
    <w:p w14:paraId="5B914F3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0"/>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十五、合同变更</w:t>
      </w:r>
    </w:p>
    <w:p w14:paraId="27A180D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在合同的执行期内，双方均不得随意变更或解除合同。如因项目需求情况发生变化， 需要项目变更的，应双方协商后签订项目变更协议，如双方变更事项不能达成一致的，仍 按原合同履行，否则视为违约。</w:t>
      </w:r>
    </w:p>
    <w:p w14:paraId="538F64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本合同所有条款均为打印文本，对任何手写修改，应在修改处双方盖章后生效。本合 同所有附件，均为本合同不可分割的组成部分，与本合同具有同等的法律效力。本合同履 行过程中所有涉及工作成果验收等及全部有关甲方义务增加部分，任何人签字均不对甲方 产生约束力，均需甲方书面文书并加盖公章。否则所产生的一切不利后果及费用增加均由 乙方自行承担。</w:t>
      </w:r>
    </w:p>
    <w:p w14:paraId="4100375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十六、合同生效</w:t>
      </w:r>
    </w:p>
    <w:p w14:paraId="48DF599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1、本合同一式肆份，其中，甲方贰份，乙方</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贰份</w:t>
      </w:r>
      <w:r>
        <w:rPr>
          <w:rFonts w:hint="eastAsia" w:ascii="方正仿宋_GB18030" w:hAnsi="方正仿宋_GB18030" w:eastAsia="方正仿宋_GB18030" w:cs="方正仿宋_GB18030"/>
          <w:b w:val="0"/>
          <w:bCs w:val="0"/>
          <w:i w:val="0"/>
          <w:iCs w:val="0"/>
          <w:spacing w:val="0"/>
          <w:position w:val="0"/>
          <w:sz w:val="24"/>
          <w:szCs w:val="24"/>
          <w:u w:val="none" w:color="auto"/>
        </w:rPr>
        <w:t>。</w:t>
      </w:r>
    </w:p>
    <w:p w14:paraId="39575CB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2、本合同由甲乙双方及鉴证方共同签字盖章，自签字盖章之日起生效。</w:t>
      </w:r>
    </w:p>
    <w:p w14:paraId="0C3A1F0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3、合同履行完后自动终止。</w:t>
      </w:r>
    </w:p>
    <w:p w14:paraId="2187EB5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outlineLvl w:val="4"/>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十七、其他事项</w:t>
      </w:r>
    </w:p>
    <w:p w14:paraId="417F0C0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1、合同未尽事宜，由甲、乙双方协商确认后签订补充协议，与原合同具有同等法律效力。</w:t>
      </w:r>
    </w:p>
    <w:p w14:paraId="48FF63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2.本合同中的通讯地址为甲乙双方互发函件确认能够接收的地址，若有变更应在变更后5个工作日内书面通知对方，否则对方按此地址送达的任何文件在发出3日后即视为送达。若发生纠纷的，该地址作为法院或仲裁机构寄发相应法律文件的送达地址，因一方预留地址有误或变更通讯地址而未通知对方的，对方、法院或仲裁机构按原地址发出通知或文件3日后，视为已送达。</w:t>
      </w:r>
    </w:p>
    <w:tbl>
      <w:tblPr>
        <w:tblStyle w:val="10"/>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960"/>
        <w:gridCol w:w="4354"/>
      </w:tblGrid>
      <w:tr w14:paraId="68738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2381" w:type="pct"/>
            <w:vAlign w:val="top"/>
          </w:tcPr>
          <w:p w14:paraId="3523840A">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甲  方</w:t>
            </w:r>
          </w:p>
        </w:tc>
        <w:tc>
          <w:tcPr>
            <w:tcW w:w="2618" w:type="pct"/>
            <w:vAlign w:val="top"/>
          </w:tcPr>
          <w:p w14:paraId="602B165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乙方</w:t>
            </w:r>
          </w:p>
        </w:tc>
      </w:tr>
      <w:tr w14:paraId="3F11D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2381" w:type="pct"/>
            <w:vAlign w:val="top"/>
          </w:tcPr>
          <w:p w14:paraId="72513321">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采购人</w:t>
            </w:r>
          </w:p>
          <w:p w14:paraId="61EAA918">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(公章)</w:t>
            </w:r>
          </w:p>
        </w:tc>
        <w:tc>
          <w:tcPr>
            <w:tcW w:w="2618" w:type="pct"/>
            <w:vAlign w:val="top"/>
          </w:tcPr>
          <w:p w14:paraId="71979281">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成交单位</w:t>
            </w:r>
          </w:p>
          <w:p w14:paraId="28948C71">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(公章)</w:t>
            </w:r>
          </w:p>
        </w:tc>
      </w:tr>
      <w:tr w14:paraId="48C679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381" w:type="pct"/>
            <w:vAlign w:val="top"/>
          </w:tcPr>
          <w:p w14:paraId="6D25F4DE">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地址：</w:t>
            </w:r>
          </w:p>
        </w:tc>
        <w:tc>
          <w:tcPr>
            <w:tcW w:w="2618" w:type="pct"/>
            <w:vAlign w:val="top"/>
          </w:tcPr>
          <w:p w14:paraId="3A687219">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bookmarkStart w:id="0" w:name="_GoBack"/>
            <w:bookmarkEnd w:id="0"/>
            <w:r>
              <w:rPr>
                <w:rFonts w:hint="eastAsia" w:ascii="方正仿宋_GB18030" w:hAnsi="方正仿宋_GB18030" w:eastAsia="方正仿宋_GB18030" w:cs="方正仿宋_GB18030"/>
                <w:b w:val="0"/>
                <w:bCs w:val="0"/>
                <w:i w:val="0"/>
                <w:iCs w:val="0"/>
                <w:spacing w:val="0"/>
                <w:position w:val="0"/>
                <w:sz w:val="24"/>
                <w:szCs w:val="24"/>
                <w:u w:val="none" w:color="auto"/>
              </w:rPr>
              <w:t>地址：</w:t>
            </w:r>
          </w:p>
        </w:tc>
      </w:tr>
      <w:tr w14:paraId="6925D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2381" w:type="pct"/>
            <w:vAlign w:val="top"/>
          </w:tcPr>
          <w:p w14:paraId="46ED698A">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邮编：</w:t>
            </w:r>
          </w:p>
        </w:tc>
        <w:tc>
          <w:tcPr>
            <w:tcW w:w="2618" w:type="pct"/>
            <w:vAlign w:val="top"/>
          </w:tcPr>
          <w:p w14:paraId="1A34F5DD">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邮编：</w:t>
            </w:r>
          </w:p>
        </w:tc>
      </w:tr>
      <w:tr w14:paraId="1D722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381" w:type="pct"/>
            <w:vAlign w:val="top"/>
          </w:tcPr>
          <w:p w14:paraId="2991D86A">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法定代表人：</w:t>
            </w:r>
          </w:p>
        </w:tc>
        <w:tc>
          <w:tcPr>
            <w:tcW w:w="2618" w:type="pct"/>
            <w:vAlign w:val="top"/>
          </w:tcPr>
          <w:p w14:paraId="2EED280B">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法定代表人：</w:t>
            </w:r>
          </w:p>
        </w:tc>
      </w:tr>
      <w:tr w14:paraId="379A5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2381" w:type="pct"/>
            <w:vAlign w:val="top"/>
          </w:tcPr>
          <w:p w14:paraId="7584931F">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pPr>
            <w:r>
              <w:rPr>
                <w:rFonts w:hint="eastAsia" w:ascii="方正仿宋_GB18030" w:hAnsi="方正仿宋_GB18030" w:eastAsia="方正仿宋_GB18030" w:cs="方正仿宋_GB18030"/>
                <w:b w:val="0"/>
                <w:bCs w:val="0"/>
                <w:i w:val="0"/>
                <w:iCs w:val="0"/>
                <w:spacing w:val="0"/>
                <w:position w:val="0"/>
                <w:sz w:val="24"/>
                <w:szCs w:val="24"/>
                <w:u w:val="none" w:color="auto"/>
              </w:rPr>
              <w:t>负责人：(签字</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或盖章）</w:t>
            </w:r>
          </w:p>
        </w:tc>
        <w:tc>
          <w:tcPr>
            <w:tcW w:w="2618" w:type="pct"/>
            <w:vAlign w:val="top"/>
          </w:tcPr>
          <w:p w14:paraId="36BC89C8">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负责人：(签字</w:t>
            </w:r>
            <w:r>
              <w:rPr>
                <w:rFonts w:hint="eastAsia" w:ascii="方正仿宋_GB18030" w:hAnsi="方正仿宋_GB18030" w:eastAsia="方正仿宋_GB18030" w:cs="方正仿宋_GB18030"/>
                <w:b w:val="0"/>
                <w:bCs w:val="0"/>
                <w:i w:val="0"/>
                <w:iCs w:val="0"/>
                <w:spacing w:val="0"/>
                <w:position w:val="0"/>
                <w:sz w:val="24"/>
                <w:szCs w:val="24"/>
                <w:u w:val="none" w:color="auto"/>
                <w:lang w:val="en-US" w:eastAsia="zh-CN"/>
              </w:rPr>
              <w:t>或盖章）</w:t>
            </w:r>
          </w:p>
        </w:tc>
      </w:tr>
      <w:tr w14:paraId="0D05D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381" w:type="pct"/>
            <w:vAlign w:val="top"/>
          </w:tcPr>
          <w:p w14:paraId="7A00EE79">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电话：</w:t>
            </w:r>
          </w:p>
        </w:tc>
        <w:tc>
          <w:tcPr>
            <w:tcW w:w="2618" w:type="pct"/>
            <w:vAlign w:val="top"/>
          </w:tcPr>
          <w:p w14:paraId="7361DA9A">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电话：</w:t>
            </w:r>
          </w:p>
        </w:tc>
      </w:tr>
      <w:tr w14:paraId="52C3B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2381" w:type="pct"/>
            <w:vAlign w:val="top"/>
          </w:tcPr>
          <w:p w14:paraId="49B8F00B">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传真：</w:t>
            </w:r>
          </w:p>
        </w:tc>
        <w:tc>
          <w:tcPr>
            <w:tcW w:w="2618" w:type="pct"/>
            <w:vAlign w:val="top"/>
          </w:tcPr>
          <w:p w14:paraId="339D71B3">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传真：</w:t>
            </w:r>
          </w:p>
        </w:tc>
      </w:tr>
      <w:tr w14:paraId="625C4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381" w:type="pct"/>
            <w:vAlign w:val="top"/>
          </w:tcPr>
          <w:p w14:paraId="348B1D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p>
        </w:tc>
        <w:tc>
          <w:tcPr>
            <w:tcW w:w="2618" w:type="pct"/>
            <w:vAlign w:val="top"/>
          </w:tcPr>
          <w:p w14:paraId="2AAC24D3">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开户银行：</w:t>
            </w:r>
          </w:p>
        </w:tc>
      </w:tr>
      <w:tr w14:paraId="58B18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381" w:type="pct"/>
            <w:vAlign w:val="top"/>
          </w:tcPr>
          <w:p w14:paraId="7CCBCD9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p>
        </w:tc>
        <w:tc>
          <w:tcPr>
            <w:tcW w:w="2618" w:type="pct"/>
            <w:vAlign w:val="top"/>
          </w:tcPr>
          <w:p w14:paraId="4A23C086">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账号：</w:t>
            </w:r>
          </w:p>
        </w:tc>
      </w:tr>
      <w:tr w14:paraId="05C4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2381" w:type="pct"/>
            <w:vAlign w:val="top"/>
          </w:tcPr>
          <w:p w14:paraId="663D5CE2">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 xml:space="preserve">日期： </w:t>
            </w:r>
          </w:p>
        </w:tc>
        <w:tc>
          <w:tcPr>
            <w:tcW w:w="2618" w:type="pct"/>
            <w:vAlign w:val="top"/>
          </w:tcPr>
          <w:p w14:paraId="6C6AB640">
            <w:pPr>
              <w:pStyle w:val="9"/>
              <w:keepNext w:val="0"/>
              <w:keepLines w:val="0"/>
              <w:pageBreakBefore w:val="0"/>
              <w:widowControl/>
              <w:kinsoku/>
              <w:wordWrap/>
              <w:overflowPunct/>
              <w:topLinePunct w:val="0"/>
              <w:autoSpaceDE w:val="0"/>
              <w:autoSpaceDN w:val="0"/>
              <w:bidi w:val="0"/>
              <w:adjustRightInd w:val="0"/>
              <w:snapToGrid w:val="0"/>
              <w:spacing w:line="360" w:lineRule="auto"/>
              <w:ind w:left="0" w:right="0" w:firstLine="0"/>
              <w:textAlignment w:val="baseline"/>
              <w:rPr>
                <w:rFonts w:hint="eastAsia" w:ascii="方正仿宋_GB18030" w:hAnsi="方正仿宋_GB18030" w:eastAsia="方正仿宋_GB18030" w:cs="方正仿宋_GB18030"/>
                <w:b w:val="0"/>
                <w:bCs w:val="0"/>
                <w:i w:val="0"/>
                <w:iCs w:val="0"/>
                <w:spacing w:val="0"/>
                <w:position w:val="0"/>
                <w:sz w:val="24"/>
                <w:szCs w:val="24"/>
                <w:u w:val="none" w:color="auto"/>
              </w:rPr>
            </w:pPr>
            <w:r>
              <w:rPr>
                <w:rFonts w:hint="eastAsia" w:ascii="方正仿宋_GB18030" w:hAnsi="方正仿宋_GB18030" w:eastAsia="方正仿宋_GB18030" w:cs="方正仿宋_GB18030"/>
                <w:b w:val="0"/>
                <w:bCs w:val="0"/>
                <w:i w:val="0"/>
                <w:iCs w:val="0"/>
                <w:spacing w:val="0"/>
                <w:position w:val="0"/>
                <w:sz w:val="24"/>
                <w:szCs w:val="24"/>
                <w:u w:val="none" w:color="auto"/>
              </w:rPr>
              <w:t xml:space="preserve">日 期 </w:t>
            </w:r>
          </w:p>
        </w:tc>
      </w:tr>
    </w:tbl>
    <w:p w14:paraId="01599D36">
      <w:pPr>
        <w:pStyle w:val="8"/>
        <w:rPr>
          <w:rFonts w:ascii="仿宋_GB2312" w:hAnsi="仿宋_GB2312" w:eastAsia="仿宋_GB2312" w:cs="仿宋_GB2312"/>
        </w:rPr>
      </w:pPr>
    </w:p>
    <w:p w14:paraId="58E7BD24">
      <w:pPr>
        <w:pStyle w:val="8"/>
        <w:rPr>
          <w:rFonts w:hint="eastAsia"/>
          <w:lang w:val="en-US" w:eastAsia="zh-Hans"/>
        </w:rPr>
      </w:pPr>
    </w:p>
    <w:p w14:paraId="7AABB0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1" w:fontKey="{4863BCAD-36F8-4E18-904F-4D7A5D149CB0}"/>
  </w:font>
  <w:font w:name="方正仿宋_GB18030">
    <w:panose1 w:val="02000000000000000000"/>
    <w:charset w:val="86"/>
    <w:family w:val="auto"/>
    <w:pitch w:val="default"/>
    <w:sig w:usb0="00000001" w:usb1="08000000" w:usb2="00000000" w:usb3="00000000" w:csb0="00040000" w:csb1="00000000"/>
    <w:embedRegular r:id="rId2" w:fontKey="{02504A54-81CE-40ED-A272-A650781D0825}"/>
  </w:font>
  <w:font w:name="仿宋_GB2312">
    <w:altName w:val="仿宋"/>
    <w:panose1 w:val="00000000000000000000"/>
    <w:charset w:val="00"/>
    <w:family w:val="auto"/>
    <w:pitch w:val="default"/>
    <w:sig w:usb0="00000000" w:usb1="00000000" w:usb2="00000000" w:usb3="00000000" w:csb0="00000000" w:csb1="00000000"/>
    <w:embedRegular r:id="rId3" w:fontKey="{410FE49D-A981-4A80-B254-A79CC63A16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51EAA"/>
    <w:rsid w:val="219014DE"/>
    <w:rsid w:val="5CFF599B"/>
    <w:rsid w:val="5F1C539B"/>
    <w:rsid w:val="6A95327B"/>
    <w:rsid w:val="78877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qFormat/>
    <w:uiPriority w:val="0"/>
    <w:pPr>
      <w:ind w:firstLine="420"/>
    </w:pPr>
    <w:rPr>
      <w:sz w:val="21"/>
    </w:rPr>
  </w:style>
  <w:style w:type="paragraph" w:styleId="4">
    <w:name w:val="Body Text"/>
    <w:basedOn w:val="1"/>
    <w:qFormat/>
    <w:uiPriority w:val="0"/>
    <w:pPr>
      <w:spacing w:after="120" w:afterLines="0"/>
    </w:pPr>
    <w:rPr>
      <w:rFonts w:ascii="Times New Roman"/>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able Text"/>
    <w:basedOn w:val="1"/>
    <w:semiHidden/>
    <w:qFormat/>
    <w:uiPriority w:val="0"/>
    <w:rPr>
      <w:rFonts w:ascii="宋体" w:hAnsi="宋体" w:eastAsia="宋体" w:cs="宋体"/>
      <w:sz w:val="21"/>
      <w:szCs w:val="21"/>
      <w:lang w:val="en-US" w:eastAsia="en-US" w:bidi="ar-SA"/>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2376</Words>
  <Characters>2434</Characters>
  <Lines>0</Lines>
  <Paragraphs>0</Paragraphs>
  <TotalTime>11</TotalTime>
  <ScaleCrop>false</ScaleCrop>
  <LinksUpToDate>false</LinksUpToDate>
  <CharactersWithSpaces>3067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2026-06-08T05:37:00Z</dcterms:created>
  <dc:creator>Admin</dc:creator>
  <cp:lastModifiedBy>向风而行</cp:lastModifiedBy>
  <dcterms:modified xsi:type="dcterms:W3CDTF">2026-06-24T03:14:59Z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eyJoZGlkIjoiNmIzNjc5M2RiNTkxYzU0MzE5NTcyNmEyOGZiOGYzMTAiLCJ1c2VySWQiOiIzNzk1NzM3ODkifQ==</vt:lpwstr>
  </property>
  <property fmtid="{D5CDD505-2E9C-101B-9397-08002B2CF9AE}" pid="4" name="ICV">
    <vt:lpwstr>C0CE8593025C46D088C8D2E7963351C5_12</vt:lpwstr>
  </property>
</Properties>
</file>