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79F649">
      <w:pPr>
        <w:pStyle w:val="2"/>
        <w:rPr>
          <w:rFonts w:hint="eastAsia" w:ascii="仿宋" w:hAnsi="仿宋" w:eastAsia="仿宋"/>
          <w:color w:val="auto"/>
        </w:rPr>
      </w:pPr>
      <w:r>
        <w:rPr>
          <w:rFonts w:hint="eastAsia" w:ascii="仿宋" w:hAnsi="仿宋" w:eastAsia="仿宋"/>
          <w:color w:val="auto"/>
        </w:rPr>
        <w:t>项目采购需求</w:t>
      </w:r>
    </w:p>
    <w:p w14:paraId="6B35FB91">
      <w:pPr>
        <w:rPr>
          <w:rFonts w:hint="default" w:eastAsia="仿宋"/>
          <w:b/>
          <w:bCs/>
          <w:color w:val="auto"/>
          <w:sz w:val="28"/>
          <w:szCs w:val="36"/>
          <w:lang w:val="en-US" w:eastAsia="zh-CN"/>
        </w:rPr>
      </w:pPr>
      <w:r>
        <w:rPr>
          <w:rFonts w:hint="eastAsia" w:ascii="仿宋" w:hAnsi="仿宋" w:eastAsia="仿宋"/>
          <w:b/>
          <w:bCs/>
          <w:color w:val="auto"/>
          <w:sz w:val="28"/>
          <w:szCs w:val="36"/>
          <w:lang w:val="en-US" w:eastAsia="zh-CN"/>
        </w:rPr>
        <w:t>一、采购需求：</w:t>
      </w:r>
    </w:p>
    <w:tbl>
      <w:tblPr>
        <w:tblStyle w:val="4"/>
        <w:tblW w:w="51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04"/>
        <w:gridCol w:w="836"/>
        <w:gridCol w:w="1144"/>
        <w:gridCol w:w="6136"/>
      </w:tblGrid>
      <w:tr w14:paraId="4E037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jc w:val="center"/>
        </w:trPr>
        <w:tc>
          <w:tcPr>
            <w:tcW w:w="346" w:type="pct"/>
            <w:tcBorders>
              <w:top w:val="single" w:color="000000" w:sz="0" w:space="0"/>
              <w:left w:val="single" w:color="000000" w:sz="0" w:space="0"/>
              <w:bottom w:val="single" w:color="000000" w:sz="0" w:space="0"/>
              <w:right w:val="single" w:color="000000" w:sz="0" w:space="0"/>
            </w:tcBorders>
            <w:shd w:val="clear" w:color="auto" w:fill="C7DAF1"/>
            <w:noWrap w:val="0"/>
            <w:tcMar>
              <w:top w:w="50" w:type="dxa"/>
              <w:left w:w="80" w:type="dxa"/>
              <w:bottom w:w="50" w:type="dxa"/>
              <w:right w:w="80" w:type="dxa"/>
            </w:tcMar>
            <w:vAlign w:val="center"/>
          </w:tcPr>
          <w:p w14:paraId="727C4AE4">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序号</w:t>
            </w:r>
          </w:p>
        </w:tc>
        <w:tc>
          <w:tcPr>
            <w:tcW w:w="479" w:type="pct"/>
            <w:tcBorders>
              <w:top w:val="single" w:color="000000" w:sz="0" w:space="0"/>
              <w:left w:val="single" w:color="000000" w:sz="0" w:space="0"/>
              <w:bottom w:val="single" w:color="000000" w:sz="0" w:space="0"/>
              <w:right w:val="single" w:color="000000" w:sz="0" w:space="0"/>
            </w:tcBorders>
            <w:shd w:val="clear" w:color="auto" w:fill="C7DAF1"/>
            <w:noWrap w:val="0"/>
            <w:tcMar>
              <w:top w:w="50" w:type="dxa"/>
              <w:left w:w="80" w:type="dxa"/>
              <w:bottom w:w="50" w:type="dxa"/>
              <w:right w:w="80" w:type="dxa"/>
            </w:tcMar>
            <w:vAlign w:val="center"/>
          </w:tcPr>
          <w:p w14:paraId="3A250CE1">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模块类别</w:t>
            </w:r>
          </w:p>
        </w:tc>
        <w:tc>
          <w:tcPr>
            <w:tcW w:w="655" w:type="pct"/>
            <w:tcBorders>
              <w:top w:val="single" w:color="000000" w:sz="0" w:space="0"/>
              <w:left w:val="single" w:color="000000" w:sz="0" w:space="0"/>
              <w:bottom w:val="single" w:color="000000" w:sz="0" w:space="0"/>
              <w:right w:val="single" w:color="000000" w:sz="0" w:space="0"/>
            </w:tcBorders>
            <w:shd w:val="clear" w:color="auto" w:fill="C7DAF1"/>
            <w:noWrap w:val="0"/>
            <w:tcMar>
              <w:top w:w="50" w:type="dxa"/>
              <w:left w:w="80" w:type="dxa"/>
              <w:bottom w:w="50" w:type="dxa"/>
              <w:right w:w="80" w:type="dxa"/>
            </w:tcMar>
            <w:vAlign w:val="center"/>
          </w:tcPr>
          <w:p w14:paraId="1734EE76">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技术项</w:t>
            </w:r>
          </w:p>
        </w:tc>
        <w:tc>
          <w:tcPr>
            <w:tcW w:w="3518" w:type="pct"/>
            <w:tcBorders>
              <w:top w:val="single" w:color="000000" w:sz="0" w:space="0"/>
              <w:left w:val="single" w:color="000000" w:sz="0" w:space="0"/>
              <w:bottom w:val="single" w:color="000000" w:sz="0" w:space="0"/>
              <w:right w:val="single" w:color="000000" w:sz="0" w:space="0"/>
            </w:tcBorders>
            <w:shd w:val="clear" w:color="auto" w:fill="C7DAF1"/>
            <w:noWrap w:val="0"/>
            <w:tcMar>
              <w:top w:w="50" w:type="dxa"/>
              <w:left w:w="80" w:type="dxa"/>
              <w:bottom w:w="50" w:type="dxa"/>
              <w:right w:w="80" w:type="dxa"/>
            </w:tcMar>
            <w:vAlign w:val="center"/>
          </w:tcPr>
          <w:p w14:paraId="420A7C36">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技术参数要求</w:t>
            </w:r>
          </w:p>
        </w:tc>
      </w:tr>
      <w:tr w14:paraId="69965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restart"/>
            <w:tcBorders>
              <w:top w:val="single" w:color="000000" w:sz="0" w:space="0"/>
              <w:left w:val="single" w:color="000000" w:sz="0" w:space="0"/>
              <w:right w:val="single" w:color="000000" w:sz="0" w:space="0"/>
            </w:tcBorders>
            <w:noWrap w:val="0"/>
            <w:tcMar>
              <w:top w:w="50" w:type="dxa"/>
              <w:left w:w="80" w:type="dxa"/>
              <w:bottom w:w="50" w:type="dxa"/>
              <w:right w:w="80" w:type="dxa"/>
            </w:tcMar>
            <w:vAlign w:val="center"/>
          </w:tcPr>
          <w:p w14:paraId="41FED2A5">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79" w:type="pct"/>
            <w:vMerge w:val="restar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1A6E2BC7">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超级智能体协同平台</w:t>
            </w: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1833C659">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平台架构</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1E9BBC76">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color w:val="auto"/>
                <w:sz w:val="24"/>
                <w:szCs w:val="24"/>
                <w:highlight w:val="none"/>
              </w:rPr>
              <w:t>支持以扣子教育版平台（Coze for Education）为核心基础设施底座，深度耦合扣子平台的大语言模型运行时、工作流引擎、知识库矩阵及插件生态，通过对底层 LLM 驱动的领域智能体进行统一编排与协同调度，向上提供透明化的智能体即服务能力。核心能力均需依托扣子教育版平台的原生 Runtime、Workflow DAG 引擎、知识库检索管线及 Agent 发布机制实现。底层与扣子平台的 Agent 构建器、工作流编排器、多模型网关及权限管控体系存在深度双向集成依赖关系，非扣子生态体系无法复现同等的运行时语义保真度与调度一致性。平台架构设计遵循“扣子原生深度绑定”原则，确保技术栈的不可移植性。支持双引擎架构，基于扣子教育版平台提供的 Agent 执行沙箱与工具调用链路，支持浅层意图路由与深层任务规划两种模式，满足从轻量即时问答到复杂跨域决策的全场景覆盖需求。</w:t>
            </w:r>
          </w:p>
        </w:tc>
      </w:tr>
      <w:tr w14:paraId="3C9F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46022D56">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02300E65">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18279953">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快捷模式</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7970324C">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根据用户问题快速匹配最适合的智能体进行调用，并直接返回回复结果。（</w:t>
            </w:r>
            <w:r>
              <w:rPr>
                <w:rFonts w:hint="eastAsia" w:ascii="仿宋" w:hAnsi="仿宋" w:eastAsia="仿宋" w:cs="仿宋"/>
                <w:color w:val="auto"/>
                <w:sz w:val="24"/>
                <w:szCs w:val="24"/>
                <w:highlight w:val="none"/>
                <w:lang w:val="en-US" w:eastAsia="zh-CN"/>
              </w:rPr>
              <w:t>提供现场演示</w:t>
            </w:r>
            <w:r>
              <w:rPr>
                <w:rFonts w:hint="eastAsia" w:ascii="仿宋" w:hAnsi="仿宋" w:eastAsia="仿宋" w:cs="仿宋"/>
                <w:color w:val="auto"/>
                <w:sz w:val="24"/>
                <w:szCs w:val="24"/>
                <w:highlight w:val="none"/>
                <w:lang w:eastAsia="zh-CN"/>
              </w:rPr>
              <w:t>）</w:t>
            </w:r>
          </w:p>
        </w:tc>
      </w:tr>
      <w:tr w14:paraId="6193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6FFDAD49">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316FD76C">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132A5AAB">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深度模式</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27559A99">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针对复杂问题进行任务拆解，按需组合调度多个智能体，汇总各智能体回复后进行整合分析并输出最终答案。（</w:t>
            </w:r>
            <w:r>
              <w:rPr>
                <w:rFonts w:hint="eastAsia" w:ascii="仿宋" w:hAnsi="仿宋" w:eastAsia="仿宋" w:cs="仿宋"/>
                <w:color w:val="auto"/>
                <w:sz w:val="24"/>
                <w:szCs w:val="24"/>
                <w:highlight w:val="none"/>
                <w:lang w:val="en-US" w:eastAsia="zh-CN"/>
              </w:rPr>
              <w:t>提供现场演示</w:t>
            </w:r>
            <w:r>
              <w:rPr>
                <w:rFonts w:hint="eastAsia" w:ascii="仿宋" w:hAnsi="仿宋" w:eastAsia="仿宋" w:cs="仿宋"/>
                <w:color w:val="auto"/>
                <w:sz w:val="24"/>
                <w:szCs w:val="24"/>
                <w:highlight w:val="none"/>
                <w:lang w:eastAsia="zh-CN"/>
              </w:rPr>
              <w:t>）</w:t>
            </w:r>
          </w:p>
        </w:tc>
      </w:tr>
      <w:tr w14:paraId="60B4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4E1D1E94">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7FC2216A">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65A93E37">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@提及与链式接力</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101D1972">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支持用户在对话中通过“@”直接指定智能体参与回答，实现快速唤起和定向调用。（</w:t>
            </w:r>
            <w:r>
              <w:rPr>
                <w:rFonts w:hint="eastAsia" w:ascii="仿宋" w:hAnsi="仿宋" w:eastAsia="仿宋" w:cs="仿宋"/>
                <w:color w:val="auto"/>
                <w:sz w:val="24"/>
                <w:szCs w:val="24"/>
                <w:highlight w:val="none"/>
                <w:lang w:val="en-US" w:eastAsia="zh-CN"/>
              </w:rPr>
              <w:t>提供现场演示</w:t>
            </w:r>
            <w:r>
              <w:rPr>
                <w:rFonts w:hint="eastAsia" w:ascii="仿宋" w:hAnsi="仿宋" w:eastAsia="仿宋" w:cs="仿宋"/>
                <w:color w:val="auto"/>
                <w:sz w:val="24"/>
                <w:szCs w:val="24"/>
                <w:highlight w:val="none"/>
                <w:lang w:eastAsia="zh-CN"/>
              </w:rPr>
              <w:t>）</w:t>
            </w:r>
          </w:p>
        </w:tc>
      </w:tr>
      <w:tr w14:paraId="56DD9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5F36C086">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348F3088">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6A727E1E">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自定义超级智能体</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3F2CECF7">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支持创建和配置超级智能体，可设置可调用的智能体范围、调度模式、权限范围和展示信息。（</w:t>
            </w:r>
            <w:r>
              <w:rPr>
                <w:rFonts w:hint="eastAsia" w:ascii="仿宋" w:hAnsi="仿宋" w:eastAsia="仿宋" w:cs="仿宋"/>
                <w:color w:val="auto"/>
                <w:sz w:val="24"/>
                <w:szCs w:val="24"/>
                <w:highlight w:val="none"/>
                <w:lang w:val="en-US" w:eastAsia="zh-CN"/>
              </w:rPr>
              <w:t>提供现场演示</w:t>
            </w:r>
            <w:r>
              <w:rPr>
                <w:rFonts w:hint="eastAsia" w:ascii="仿宋" w:hAnsi="仿宋" w:eastAsia="仿宋" w:cs="仿宋"/>
                <w:color w:val="auto"/>
                <w:sz w:val="24"/>
                <w:szCs w:val="24"/>
                <w:highlight w:val="none"/>
                <w:lang w:eastAsia="zh-CN"/>
              </w:rPr>
              <w:t>）</w:t>
            </w:r>
          </w:p>
        </w:tc>
      </w:tr>
      <w:tr w14:paraId="53F94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3E566CFB">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57E5C3CF">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693374A2">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场景范围</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3D98119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12" w:lineRule="auto"/>
              <w:ind w:leftChars="0" w:right="80" w:righ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支持按教学、科研、管理、服务等场景配置不同超级智能体，使其调用不同范围的底层智能体。</w:t>
            </w:r>
          </w:p>
        </w:tc>
      </w:tr>
      <w:tr w14:paraId="02CB8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62E53A8F">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2519EBB5">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0125E279">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权限及管理</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0735850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12" w:lineRule="auto"/>
              <w:ind w:leftChars="0" w:right="80" w:rightChars="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支持对超级智能体的名称、图标、简介、适用场景、展示位置和可见范围进行维护。支持管理员控制超级智能体可调用的智能体清单，避免越权调用或调用不适用的能力。</w:t>
            </w:r>
          </w:p>
        </w:tc>
      </w:tr>
      <w:tr w14:paraId="49859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065A5987">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05633748">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45200DCE">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用户体验</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7CE29890">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支持在复杂咨询、综合问答和跨领域分析场景中提供统一回答入口，减少用户自行切换多个智能体的成本。</w:t>
            </w:r>
          </w:p>
        </w:tc>
      </w:tr>
      <w:tr w14:paraId="4BEBD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restart"/>
            <w:tcBorders>
              <w:top w:val="single" w:color="000000" w:sz="0" w:space="0"/>
              <w:left w:val="single" w:color="000000" w:sz="0" w:space="0"/>
              <w:right w:val="single" w:color="000000" w:sz="0" w:space="0"/>
            </w:tcBorders>
            <w:noWrap w:val="0"/>
            <w:tcMar>
              <w:top w:w="50" w:type="dxa"/>
              <w:left w:w="80" w:type="dxa"/>
              <w:bottom w:w="50" w:type="dxa"/>
              <w:right w:w="80" w:type="dxa"/>
            </w:tcMar>
            <w:vAlign w:val="center"/>
          </w:tcPr>
          <w:p w14:paraId="0EAF96CC">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479" w:type="pct"/>
            <w:vMerge w:val="restar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46EAF3AC">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CodingPlan</w:t>
            </w: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4E3F5670">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服务架构</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3EA3498B">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基于CodingPlan 模型网关（Model Gateway）架构构建的统一 AI 编程接口服务。面向开发者提供多模型可插拔、IDE 全兼容的代码生成与辅助能力。</w:t>
            </w:r>
            <w:r>
              <w:rPr>
                <w:rFonts w:hint="eastAsia" w:ascii="仿宋" w:hAnsi="仿宋" w:eastAsia="仿宋" w:cs="仿宋"/>
                <w:color w:val="auto"/>
                <w:sz w:val="24"/>
                <w:szCs w:val="24"/>
                <w:highlight w:val="none"/>
                <w:lang w:val="en-US" w:eastAsia="zh-CN"/>
              </w:rPr>
              <w:t>支持</w:t>
            </w:r>
            <w:r>
              <w:rPr>
                <w:rFonts w:hint="eastAsia" w:ascii="仿宋" w:hAnsi="仿宋" w:eastAsia="仿宋" w:cs="仿宋"/>
                <w:color w:val="auto"/>
                <w:sz w:val="24"/>
                <w:szCs w:val="24"/>
                <w:highlight w:val="none"/>
              </w:rPr>
              <w:t>通过统一的 API 端点抽象底层模型差异，实现一次集成、多模型无缝切换。</w:t>
            </w:r>
          </w:p>
        </w:tc>
      </w:tr>
      <w:tr w14:paraId="6FC47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3013F44A">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2249A19C">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3EF7BEF1">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模型矩阵</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5DBC6C0F">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lang w:val="en-US" w:eastAsia="zh-CN"/>
              </w:rPr>
              <w:t>支持</w:t>
            </w:r>
            <w:r>
              <w:rPr>
                <w:rFonts w:hint="eastAsia" w:ascii="仿宋" w:hAnsi="仿宋" w:eastAsia="仿宋" w:cs="仿宋"/>
                <w:i w:val="0"/>
                <w:iCs w:val="0"/>
                <w:caps w:val="0"/>
                <w:color w:val="auto"/>
                <w:spacing w:val="0"/>
                <w:sz w:val="24"/>
                <w:szCs w:val="24"/>
                <w:highlight w:val="none"/>
                <w:shd w:val="clear" w:color="auto" w:fill="FFFFFF"/>
              </w:rPr>
              <w:t>内置模型适配层，对异构大语言模型进行统一协议封装，支持运行时动态切换，满足不同编码场景下的推理质量、响应速度与上下文窗口差异化需求。</w:t>
            </w:r>
            <w:r>
              <w:rPr>
                <w:rFonts w:hint="eastAsia" w:ascii="仿宋" w:hAnsi="仿宋" w:eastAsia="仿宋" w:cs="仿宋"/>
                <w:i w:val="0"/>
                <w:iCs w:val="0"/>
                <w:caps w:val="0"/>
                <w:color w:val="auto"/>
                <w:spacing w:val="0"/>
                <w:sz w:val="24"/>
                <w:szCs w:val="24"/>
                <w:highlight w:val="none"/>
                <w:shd w:val="clear" w:color="auto" w:fill="FFFFFF"/>
                <w:lang w:val="en-US" w:eastAsia="zh-CN"/>
              </w:rPr>
              <w:t>提供的</w:t>
            </w:r>
            <w:r>
              <w:rPr>
                <w:rFonts w:hint="eastAsia" w:ascii="仿宋" w:hAnsi="仿宋" w:eastAsia="仿宋" w:cs="仿宋"/>
                <w:i w:val="0"/>
                <w:iCs w:val="0"/>
                <w:caps w:val="0"/>
                <w:color w:val="auto"/>
                <w:spacing w:val="0"/>
                <w:sz w:val="24"/>
                <w:szCs w:val="24"/>
                <w:highlight w:val="none"/>
                <w:shd w:val="clear" w:color="auto" w:fill="FFFFFF"/>
              </w:rPr>
              <w:t>模型矩阵包括</w:t>
            </w:r>
            <w:r>
              <w:rPr>
                <w:rFonts w:hint="eastAsia" w:ascii="仿宋" w:hAnsi="仿宋" w:eastAsia="仿宋" w:cs="仿宋"/>
                <w:i w:val="0"/>
                <w:iCs w:val="0"/>
                <w:caps w:val="0"/>
                <w:color w:val="auto"/>
                <w:spacing w:val="0"/>
                <w:sz w:val="24"/>
                <w:szCs w:val="24"/>
                <w:highlight w:val="none"/>
                <w:shd w:val="clear" w:color="auto" w:fill="FFFFFF"/>
                <w:lang w:val="en-US" w:eastAsia="zh-CN"/>
              </w:rPr>
              <w:t>但不限于</w:t>
            </w:r>
            <w:r>
              <w:rPr>
                <w:rFonts w:hint="eastAsia" w:ascii="仿宋" w:hAnsi="仿宋" w:eastAsia="仿宋" w:cs="仿宋"/>
                <w:i w:val="0"/>
                <w:iCs w:val="0"/>
                <w:caps w:val="0"/>
                <w:color w:val="auto"/>
                <w:spacing w:val="0"/>
                <w:sz w:val="24"/>
                <w:szCs w:val="24"/>
                <w:highlight w:val="none"/>
                <w:shd w:val="clear" w:color="auto" w:fill="FFFFFF"/>
              </w:rPr>
              <w:t>：</w:t>
            </w:r>
            <w:r>
              <w:rPr>
                <w:rStyle w:val="6"/>
                <w:rFonts w:hint="eastAsia" w:ascii="仿宋" w:hAnsi="仿宋" w:eastAsia="仿宋" w:cs="仿宋"/>
                <w:b w:val="0"/>
                <w:bCs w:val="0"/>
                <w:i w:val="0"/>
                <w:iCs w:val="0"/>
                <w:caps w:val="0"/>
                <w:color w:val="auto"/>
                <w:spacing w:val="0"/>
                <w:sz w:val="24"/>
                <w:szCs w:val="24"/>
                <w:highlight w:val="none"/>
                <w:shd w:val="clear" w:color="auto" w:fill="FFFFFF"/>
              </w:rPr>
              <w:t>豆包（Doubao）</w:t>
            </w:r>
            <w:r>
              <w:rPr>
                <w:rStyle w:val="6"/>
                <w:rFonts w:hint="eastAsia" w:ascii="仿宋" w:hAnsi="仿宋" w:eastAsia="仿宋" w:cs="仿宋"/>
                <w:b w:val="0"/>
                <w:bCs w:val="0"/>
                <w:i w:val="0"/>
                <w:iCs w:val="0"/>
                <w:caps w:val="0"/>
                <w:color w:val="auto"/>
                <w:spacing w:val="0"/>
                <w:sz w:val="24"/>
                <w:szCs w:val="24"/>
                <w:highlight w:val="none"/>
                <w:shd w:val="clear" w:color="auto" w:fill="FFFFFF"/>
                <w:lang w:eastAsia="zh-CN"/>
              </w:rPr>
              <w:t>、</w:t>
            </w:r>
            <w:r>
              <w:rPr>
                <w:rStyle w:val="6"/>
                <w:rFonts w:hint="eastAsia" w:ascii="仿宋" w:hAnsi="仿宋" w:eastAsia="仿宋" w:cs="仿宋"/>
                <w:b w:val="0"/>
                <w:bCs w:val="0"/>
                <w:i w:val="0"/>
                <w:iCs w:val="0"/>
                <w:caps w:val="0"/>
                <w:color w:val="auto"/>
                <w:spacing w:val="0"/>
                <w:sz w:val="24"/>
                <w:szCs w:val="24"/>
                <w:highlight w:val="none"/>
                <w:shd w:val="clear" w:color="auto" w:fill="FFFFFF"/>
              </w:rPr>
              <w:t>DeepSeek</w:t>
            </w:r>
            <w:r>
              <w:rPr>
                <w:rStyle w:val="6"/>
                <w:rFonts w:hint="eastAsia" w:ascii="仿宋" w:hAnsi="仿宋" w:eastAsia="仿宋" w:cs="仿宋"/>
                <w:b w:val="0"/>
                <w:bCs w:val="0"/>
                <w:i w:val="0"/>
                <w:iCs w:val="0"/>
                <w:caps w:val="0"/>
                <w:color w:val="auto"/>
                <w:spacing w:val="0"/>
                <w:sz w:val="24"/>
                <w:szCs w:val="24"/>
                <w:highlight w:val="none"/>
                <w:shd w:val="clear" w:color="auto" w:fill="FFFFFF"/>
                <w:lang w:eastAsia="zh-CN"/>
              </w:rPr>
              <w:t>、</w:t>
            </w:r>
            <w:r>
              <w:rPr>
                <w:rStyle w:val="6"/>
                <w:rFonts w:hint="eastAsia" w:ascii="仿宋" w:hAnsi="仿宋" w:eastAsia="仿宋" w:cs="仿宋"/>
                <w:b w:val="0"/>
                <w:bCs w:val="0"/>
                <w:i w:val="0"/>
                <w:iCs w:val="0"/>
                <w:caps w:val="0"/>
                <w:color w:val="auto"/>
                <w:spacing w:val="0"/>
                <w:sz w:val="24"/>
                <w:szCs w:val="24"/>
                <w:highlight w:val="none"/>
                <w:shd w:val="clear" w:color="auto" w:fill="FFFFFF"/>
              </w:rPr>
              <w:t>Kimi</w:t>
            </w:r>
            <w:r>
              <w:rPr>
                <w:rStyle w:val="6"/>
                <w:rFonts w:hint="eastAsia" w:ascii="仿宋" w:hAnsi="仿宋" w:eastAsia="仿宋" w:cs="仿宋"/>
                <w:b w:val="0"/>
                <w:bCs w:val="0"/>
                <w:i w:val="0"/>
                <w:iCs w:val="0"/>
                <w:caps w:val="0"/>
                <w:color w:val="auto"/>
                <w:spacing w:val="0"/>
                <w:sz w:val="24"/>
                <w:szCs w:val="24"/>
                <w:highlight w:val="none"/>
                <w:shd w:val="clear" w:color="auto" w:fill="FFFFFF"/>
                <w:lang w:eastAsia="zh-CN"/>
              </w:rPr>
              <w:t>、</w:t>
            </w:r>
            <w:r>
              <w:rPr>
                <w:rStyle w:val="6"/>
                <w:rFonts w:hint="eastAsia" w:ascii="仿宋" w:hAnsi="仿宋" w:eastAsia="仿宋" w:cs="仿宋"/>
                <w:b w:val="0"/>
                <w:bCs w:val="0"/>
                <w:i w:val="0"/>
                <w:iCs w:val="0"/>
                <w:caps w:val="0"/>
                <w:color w:val="auto"/>
                <w:spacing w:val="0"/>
                <w:sz w:val="24"/>
                <w:szCs w:val="24"/>
                <w:highlight w:val="none"/>
                <w:shd w:val="clear" w:color="auto" w:fill="FFFFFF"/>
                <w:lang w:val="en-US" w:eastAsia="zh-CN"/>
              </w:rPr>
              <w:t>智谱</w:t>
            </w:r>
            <w:r>
              <w:rPr>
                <w:rStyle w:val="6"/>
                <w:rFonts w:hint="eastAsia" w:ascii="仿宋" w:hAnsi="仿宋" w:eastAsia="仿宋" w:cs="仿宋"/>
                <w:b w:val="0"/>
                <w:bCs w:val="0"/>
                <w:i w:val="0"/>
                <w:iCs w:val="0"/>
                <w:caps w:val="0"/>
                <w:color w:val="auto"/>
                <w:spacing w:val="0"/>
                <w:sz w:val="24"/>
                <w:szCs w:val="24"/>
                <w:highlight w:val="none"/>
                <w:shd w:val="clear" w:color="auto" w:fill="FFFFFF"/>
              </w:rPr>
              <w:t>GLM</w:t>
            </w:r>
            <w:r>
              <w:rPr>
                <w:rFonts w:hint="eastAsia" w:ascii="仿宋" w:hAnsi="仿宋" w:eastAsia="仿宋" w:cs="仿宋"/>
                <w:b w:val="0"/>
                <w:bCs w:val="0"/>
                <w:i w:val="0"/>
                <w:iCs w:val="0"/>
                <w:caps w:val="0"/>
                <w:color w:val="auto"/>
                <w:spacing w:val="0"/>
                <w:sz w:val="24"/>
                <w:szCs w:val="24"/>
                <w:highlight w:val="none"/>
                <w:shd w:val="clear" w:color="auto" w:fill="FFFFFF"/>
              </w:rPr>
              <w:t>。</w:t>
            </w:r>
            <w:r>
              <w:rPr>
                <w:rFonts w:hint="eastAsia" w:ascii="仿宋" w:hAnsi="仿宋" w:eastAsia="仿宋" w:cs="仿宋"/>
                <w:i w:val="0"/>
                <w:iCs w:val="0"/>
                <w:caps w:val="0"/>
                <w:color w:val="auto"/>
                <w:spacing w:val="0"/>
                <w:sz w:val="24"/>
                <w:szCs w:val="24"/>
                <w:highlight w:val="none"/>
                <w:shd w:val="clear" w:color="auto" w:fill="FFFFFF"/>
              </w:rPr>
              <w:t>模型路由层基于实时负载、延迟 SLA 与用户偏好配置进行智能调度，支持请求级灰度发布与 A/B 测试。</w:t>
            </w:r>
          </w:p>
        </w:tc>
      </w:tr>
      <w:tr w14:paraId="5898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375C0DDB">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62AC25E5">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4C13FD83">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IDE兼容性</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40CDA58A">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支持</w:t>
            </w:r>
            <w:r>
              <w:rPr>
                <w:rFonts w:hint="eastAsia" w:ascii="仿宋" w:hAnsi="仿宋" w:eastAsia="仿宋" w:cs="仿宋"/>
                <w:i w:val="0"/>
                <w:iCs w:val="0"/>
                <w:caps w:val="0"/>
                <w:color w:val="auto"/>
                <w:spacing w:val="0"/>
                <w:sz w:val="24"/>
                <w:szCs w:val="24"/>
                <w:highlight w:val="none"/>
                <w:shd w:val="clear" w:color="auto" w:fill="FFFFFF"/>
              </w:rPr>
              <w:t>遵循 Language Server Protocol（LSP）与 Model Context Protocol（MCP）标准，提供跨 IDE 的标准化接入方案。通过统一适配中间件对自回归补全、内联对话、Agent 编排等能力进行协议抽象，目前已通过生产验证兼容的 IDE 工具</w:t>
            </w:r>
            <w:r>
              <w:rPr>
                <w:rFonts w:hint="eastAsia" w:ascii="仿宋" w:hAnsi="仿宋" w:eastAsia="仿宋" w:cs="仿宋"/>
                <w:i w:val="0"/>
                <w:iCs w:val="0"/>
                <w:caps w:val="0"/>
                <w:color w:val="auto"/>
                <w:spacing w:val="0"/>
                <w:sz w:val="24"/>
                <w:szCs w:val="24"/>
                <w:highlight w:val="none"/>
                <w:shd w:val="clear" w:color="auto" w:fill="FFFFFF"/>
                <w:lang w:val="en-US" w:eastAsia="zh-CN"/>
              </w:rPr>
              <w:t>不少于</w:t>
            </w:r>
            <w:r>
              <w:rPr>
                <w:rFonts w:hint="eastAsia" w:ascii="仿宋" w:hAnsi="仿宋" w:eastAsia="仿宋" w:cs="仿宋"/>
                <w:i w:val="0"/>
                <w:iCs w:val="0"/>
                <w:caps w:val="0"/>
                <w:color w:val="auto"/>
                <w:spacing w:val="0"/>
                <w:sz w:val="24"/>
                <w:szCs w:val="24"/>
                <w:highlight w:val="none"/>
                <w:shd w:val="clear" w:color="auto" w:fill="FFFFFF"/>
              </w:rPr>
              <w:t xml:space="preserve"> 10 款，覆盖主流编辑终端。</w:t>
            </w:r>
          </w:p>
          <w:p w14:paraId="05E58BD8">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b/>
                <w:bCs/>
                <w:color w:val="auto"/>
                <w:sz w:val="24"/>
                <w:szCs w:val="24"/>
                <w:highlight w:val="none"/>
                <w:lang w:eastAsia="zh-CN"/>
              </w:rPr>
              <w:t>▲</w:t>
            </w:r>
            <w:r>
              <w:rPr>
                <w:rFonts w:hint="eastAsia" w:ascii="仿宋" w:hAnsi="仿宋" w:eastAsia="仿宋" w:cs="仿宋"/>
                <w:i w:val="0"/>
                <w:iCs w:val="0"/>
                <w:caps w:val="0"/>
                <w:color w:val="auto"/>
                <w:spacing w:val="0"/>
                <w:sz w:val="24"/>
                <w:szCs w:val="24"/>
                <w:highlight w:val="none"/>
                <w:shd w:val="clear" w:color="auto" w:fill="FFFFFF"/>
              </w:rPr>
              <w:t>AI-Native IDE 方面</w:t>
            </w:r>
            <w:r>
              <w:rPr>
                <w:rFonts w:hint="eastAsia" w:ascii="仿宋" w:hAnsi="仿宋" w:eastAsia="仿宋" w:cs="仿宋"/>
                <w:i w:val="0"/>
                <w:iCs w:val="0"/>
                <w:caps w:val="0"/>
                <w:color w:val="auto"/>
                <w:spacing w:val="0"/>
                <w:sz w:val="24"/>
                <w:szCs w:val="24"/>
                <w:highlight w:val="none"/>
                <w:shd w:val="clear" w:color="auto" w:fill="FFFFFF"/>
                <w:lang w:val="en-US" w:eastAsia="zh-CN"/>
              </w:rPr>
              <w:t>支持</w:t>
            </w:r>
            <w:r>
              <w:rPr>
                <w:rFonts w:hint="eastAsia" w:ascii="仿宋" w:hAnsi="仿宋" w:eastAsia="仿宋" w:cs="仿宋"/>
                <w:i w:val="0"/>
                <w:iCs w:val="0"/>
                <w:caps w:val="0"/>
                <w:color w:val="auto"/>
                <w:spacing w:val="0"/>
                <w:sz w:val="24"/>
                <w:szCs w:val="24"/>
                <w:highlight w:val="none"/>
                <w:shd w:val="clear" w:color="auto" w:fill="FFFFFF"/>
              </w:rPr>
              <w:t>兼容 Cursor、Windsurf；插件型 Agent 方面</w:t>
            </w:r>
            <w:r>
              <w:rPr>
                <w:rFonts w:hint="eastAsia" w:ascii="仿宋" w:hAnsi="仿宋" w:eastAsia="仿宋" w:cs="仿宋"/>
                <w:i w:val="0"/>
                <w:iCs w:val="0"/>
                <w:caps w:val="0"/>
                <w:color w:val="auto"/>
                <w:spacing w:val="0"/>
                <w:sz w:val="24"/>
                <w:szCs w:val="24"/>
                <w:highlight w:val="none"/>
                <w:shd w:val="clear" w:color="auto" w:fill="FFFFFF"/>
                <w:lang w:val="en-US" w:eastAsia="zh-CN"/>
              </w:rPr>
              <w:t>支持</w:t>
            </w:r>
            <w:r>
              <w:rPr>
                <w:rFonts w:hint="eastAsia" w:ascii="仿宋" w:hAnsi="仿宋" w:eastAsia="仿宋" w:cs="仿宋"/>
                <w:i w:val="0"/>
                <w:iCs w:val="0"/>
                <w:caps w:val="0"/>
                <w:color w:val="auto"/>
                <w:spacing w:val="0"/>
                <w:sz w:val="24"/>
                <w:szCs w:val="24"/>
                <w:highlight w:val="none"/>
                <w:shd w:val="clear" w:color="auto" w:fill="FFFFFF"/>
              </w:rPr>
              <w:t>兼容 Cline、Roo Code、Continue；CLI Agent 方面</w:t>
            </w:r>
            <w:r>
              <w:rPr>
                <w:rFonts w:hint="eastAsia" w:ascii="仿宋" w:hAnsi="仿宋" w:eastAsia="仿宋" w:cs="仿宋"/>
                <w:i w:val="0"/>
                <w:iCs w:val="0"/>
                <w:caps w:val="0"/>
                <w:color w:val="auto"/>
                <w:spacing w:val="0"/>
                <w:sz w:val="24"/>
                <w:szCs w:val="24"/>
                <w:highlight w:val="none"/>
                <w:shd w:val="clear" w:color="auto" w:fill="FFFFFF"/>
                <w:lang w:val="en-US" w:eastAsia="zh-CN"/>
              </w:rPr>
              <w:t>支持</w:t>
            </w:r>
            <w:r>
              <w:rPr>
                <w:rFonts w:hint="eastAsia" w:ascii="仿宋" w:hAnsi="仿宋" w:eastAsia="仿宋" w:cs="仿宋"/>
                <w:i w:val="0"/>
                <w:iCs w:val="0"/>
                <w:caps w:val="0"/>
                <w:color w:val="auto"/>
                <w:spacing w:val="0"/>
                <w:sz w:val="24"/>
                <w:szCs w:val="24"/>
                <w:highlight w:val="none"/>
                <w:shd w:val="clear" w:color="auto" w:fill="FFFFFF"/>
              </w:rPr>
              <w:t>兼容 Claude Code、OpenCode；传统IDE 拓展方面兼容 VS Code 与 JetBrains 系列。插件侧通过最小化配置注入端点 URL 与 API Key 即可完成接入，支持补全、内联对话、代理模式三通道并发。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提供供应商盖章的承诺函</w:t>
            </w:r>
            <w:r>
              <w:rPr>
                <w:rFonts w:hint="eastAsia" w:ascii="仿宋" w:hAnsi="仿宋" w:eastAsia="仿宋" w:cs="仿宋"/>
                <w:color w:val="auto"/>
                <w:sz w:val="24"/>
                <w:szCs w:val="24"/>
                <w:highlight w:val="none"/>
                <w:lang w:eastAsia="zh-CN"/>
              </w:rPr>
              <w:t>）</w:t>
            </w:r>
          </w:p>
        </w:tc>
      </w:tr>
      <w:tr w14:paraId="0EF6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384D37B3">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629868B9">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52BDDAA6">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账号及调用</w:t>
            </w:r>
            <w:r>
              <w:rPr>
                <w:rFonts w:hint="eastAsia" w:ascii="仿宋" w:hAnsi="仿宋" w:eastAsia="仿宋" w:cs="仿宋"/>
                <w:color w:val="auto"/>
                <w:sz w:val="24"/>
                <w:szCs w:val="24"/>
                <w:highlight w:val="none"/>
              </w:rPr>
              <w:t>额度</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57C6496D">
            <w:pPr>
              <w:pStyle w:val="3"/>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line="312" w:lineRule="auto"/>
              <w:ind w:left="0" w:right="0" w:firstLine="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lang w:val="en-US" w:eastAsia="zh-CN"/>
              </w:rPr>
              <w:t>支持</w:t>
            </w:r>
            <w:r>
              <w:rPr>
                <w:rFonts w:hint="eastAsia" w:ascii="仿宋" w:hAnsi="仿宋" w:eastAsia="仿宋" w:cs="仿宋"/>
                <w:i w:val="0"/>
                <w:iCs w:val="0"/>
                <w:caps w:val="0"/>
                <w:color w:val="auto"/>
                <w:spacing w:val="0"/>
                <w:sz w:val="24"/>
                <w:szCs w:val="24"/>
                <w:highlight w:val="none"/>
                <w:shd w:val="clear" w:color="auto" w:fill="FFFFFF"/>
              </w:rPr>
              <w:t>采用三级额度体系，以分层配额池保障持续开发体验。月度基础额度方面，每自然月提供</w:t>
            </w:r>
            <w:r>
              <w:rPr>
                <w:rFonts w:hint="eastAsia" w:ascii="仿宋" w:hAnsi="仿宋" w:eastAsia="仿宋" w:cs="仿宋"/>
                <w:i w:val="0"/>
                <w:iCs w:val="0"/>
                <w:caps w:val="0"/>
                <w:color w:val="auto"/>
                <w:spacing w:val="0"/>
                <w:sz w:val="24"/>
                <w:szCs w:val="24"/>
                <w:highlight w:val="none"/>
                <w:shd w:val="clear" w:color="auto" w:fill="FFFFFF"/>
                <w:lang w:val="en-US" w:eastAsia="zh-CN"/>
              </w:rPr>
              <w:t>≥</w:t>
            </w:r>
            <w:r>
              <w:rPr>
                <w:rFonts w:hint="eastAsia" w:ascii="仿宋" w:hAnsi="仿宋" w:eastAsia="仿宋" w:cs="仿宋"/>
                <w:i w:val="0"/>
                <w:iCs w:val="0"/>
                <w:caps w:val="0"/>
                <w:color w:val="auto"/>
                <w:spacing w:val="0"/>
                <w:sz w:val="24"/>
                <w:szCs w:val="24"/>
                <w:highlight w:val="none"/>
                <w:shd w:val="clear" w:color="auto" w:fill="FFFFFF"/>
              </w:rPr>
              <w:t>18,000 次模型调用额度，覆盖常规编码辅助需求。</w:t>
            </w:r>
            <w:r>
              <w:rPr>
                <w:rFonts w:hint="eastAsia" w:ascii="仿宋" w:hAnsi="仿宋" w:eastAsia="仿宋" w:cs="仿宋"/>
                <w:i w:val="0"/>
                <w:iCs w:val="0"/>
                <w:caps w:val="0"/>
                <w:color w:val="auto"/>
                <w:spacing w:val="0"/>
                <w:sz w:val="24"/>
                <w:szCs w:val="24"/>
                <w:highlight w:val="none"/>
                <w:shd w:val="clear" w:color="auto" w:fill="FFFFFF"/>
                <w:lang w:val="en-US" w:eastAsia="zh-CN"/>
              </w:rPr>
              <w:t>支持</w:t>
            </w:r>
            <w:r>
              <w:rPr>
                <w:rFonts w:hint="eastAsia" w:ascii="仿宋" w:hAnsi="仿宋" w:eastAsia="仿宋" w:cs="仿宋"/>
                <w:i w:val="0"/>
                <w:iCs w:val="0"/>
                <w:caps w:val="0"/>
                <w:color w:val="auto"/>
                <w:spacing w:val="0"/>
                <w:sz w:val="24"/>
                <w:szCs w:val="24"/>
                <w:highlight w:val="none"/>
                <w:shd w:val="clear" w:color="auto" w:fill="FFFFFF"/>
              </w:rPr>
              <w:t>单次</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 </w:t>
            </w:r>
            <w:r>
              <w:rPr>
                <w:rFonts w:hint="eastAsia" w:ascii="仿宋" w:hAnsi="仿宋" w:eastAsia="仿宋" w:cs="仿宋"/>
                <w:i w:val="0"/>
                <w:iCs w:val="0"/>
                <w:caps w:val="0"/>
                <w:color w:val="auto"/>
                <w:spacing w:val="0"/>
                <w:sz w:val="24"/>
                <w:szCs w:val="24"/>
                <w:highlight w:val="none"/>
                <w:shd w:val="clear" w:color="auto" w:fill="FFFFFF"/>
              </w:rPr>
              <w:t>5小时的连续高强度调用耐力窗口，面向结对编程长会话、大型重构等持续推理场景设计。</w:t>
            </w:r>
          </w:p>
          <w:p w14:paraId="7EECF764">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支持实时用量可视化、阈值告警配置与额度包按需扩容。</w:t>
            </w:r>
          </w:p>
          <w:p w14:paraId="0E1636B2">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i w:val="0"/>
                <w:iCs w:val="0"/>
                <w:caps w:val="0"/>
                <w:color w:val="auto"/>
                <w:spacing w:val="0"/>
                <w:sz w:val="24"/>
                <w:szCs w:val="24"/>
                <w:highlight w:val="none"/>
                <w:shd w:val="clear" w:color="auto" w:fill="FFFFFF"/>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i w:val="0"/>
                <w:iCs w:val="0"/>
                <w:caps w:val="0"/>
                <w:color w:val="auto"/>
                <w:spacing w:val="0"/>
                <w:sz w:val="24"/>
                <w:szCs w:val="24"/>
                <w:highlight w:val="none"/>
                <w:shd w:val="clear" w:color="auto" w:fill="FFFFFF"/>
                <w:lang w:val="en-US" w:eastAsia="zh-CN"/>
              </w:rPr>
              <w:t>提供不少于10个开发者账号1年使用权限。</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提供供应商盖章的承诺函</w:t>
            </w:r>
            <w:r>
              <w:rPr>
                <w:rFonts w:hint="eastAsia" w:ascii="仿宋" w:hAnsi="仿宋" w:eastAsia="仿宋" w:cs="仿宋"/>
                <w:color w:val="auto"/>
                <w:sz w:val="24"/>
                <w:szCs w:val="24"/>
                <w:highlight w:val="none"/>
                <w:lang w:eastAsia="zh-CN"/>
              </w:rPr>
              <w:t>）</w:t>
            </w:r>
          </w:p>
        </w:tc>
      </w:tr>
      <w:tr w14:paraId="4C33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restart"/>
            <w:tcBorders>
              <w:top w:val="single" w:color="000000" w:sz="0" w:space="0"/>
              <w:left w:val="single" w:color="000000" w:sz="0" w:space="0"/>
              <w:right w:val="single" w:color="000000" w:sz="0" w:space="0"/>
            </w:tcBorders>
            <w:noWrap w:val="0"/>
            <w:tcMar>
              <w:top w:w="50" w:type="dxa"/>
              <w:left w:w="80" w:type="dxa"/>
              <w:bottom w:w="50" w:type="dxa"/>
              <w:right w:w="80" w:type="dxa"/>
            </w:tcMar>
            <w:vAlign w:val="center"/>
          </w:tcPr>
          <w:p w14:paraId="618F2DEF">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479" w:type="pct"/>
            <w:vMerge w:val="restar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5B8F7CD8">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人工智能赛事平台及服务</w:t>
            </w: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3E9782FA">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大赛官网平台</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77BC8A03">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备完整的赛事组织、作品管理与用户服务能力。提供大赛主题、核心亮点设计，提供重要时间节点及动态通知，为参赛者提供一站式赛事信息入口。提供参赛者在线报名及作品提交通道，支持个人与团队参赛模式，实现参赛资格审核与信息统一管理。支持与学校统一身份认证系统对接，实现师生免密登录与参赛身份自动核验。</w:t>
            </w:r>
          </w:p>
          <w:p w14:paraId="74AC0283">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作品提交系统，支持智能体配置包、说明文档、演示视频等多格式附件上传，具备作品版本管理与提交状态追踪功能。提供大赛介绍、参赛细则、评审标准、奖项设置等赛事信息的集中发布与管理能力。提供帮助文档中心，提供大赛规则解读、平台操作手册及智能体开发教程。具备参赛数据统计、作品数据分析、评审进度追踪等运营数据可视化能力，作品提交与评审全流程留痕，确保赛事过程可追溯、可审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提供现场演示</w:t>
            </w:r>
            <w:r>
              <w:rPr>
                <w:rFonts w:hint="eastAsia" w:ascii="仿宋" w:hAnsi="仿宋" w:eastAsia="仿宋" w:cs="仿宋"/>
                <w:color w:val="auto"/>
                <w:sz w:val="24"/>
                <w:szCs w:val="24"/>
                <w:highlight w:val="none"/>
                <w:lang w:eastAsia="zh-CN"/>
              </w:rPr>
              <w:t>）</w:t>
            </w:r>
          </w:p>
        </w:tc>
      </w:tr>
      <w:tr w14:paraId="556A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4D533780">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11301AF7">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4785367D">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赛事服务支撑</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15E4721C">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color w:val="auto"/>
                <w:sz w:val="24"/>
                <w:szCs w:val="24"/>
                <w:highlight w:val="none"/>
              </w:rPr>
              <w:t>提供</w:t>
            </w:r>
            <w:r>
              <w:rPr>
                <w:rFonts w:hint="eastAsia" w:ascii="仿宋" w:hAnsi="仿宋" w:eastAsia="仿宋" w:cs="仿宋"/>
                <w:color w:val="auto"/>
                <w:sz w:val="24"/>
                <w:szCs w:val="24"/>
                <w:highlight w:val="none"/>
                <w:lang w:val="en-US" w:eastAsia="zh-CN"/>
              </w:rPr>
              <w:t xml:space="preserve">不少于 2 </w:t>
            </w:r>
            <w:r>
              <w:rPr>
                <w:rFonts w:hint="eastAsia" w:ascii="仿宋" w:hAnsi="仿宋" w:eastAsia="仿宋" w:cs="仿宋"/>
                <w:color w:val="auto"/>
                <w:sz w:val="24"/>
                <w:szCs w:val="24"/>
                <w:highlight w:val="none"/>
              </w:rPr>
              <w:t>次智能体大赛服务。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提供供应商盖章的承诺函</w:t>
            </w:r>
            <w:r>
              <w:rPr>
                <w:rFonts w:hint="eastAsia" w:ascii="仿宋" w:hAnsi="仿宋" w:eastAsia="仿宋" w:cs="仿宋"/>
                <w:color w:val="auto"/>
                <w:sz w:val="24"/>
                <w:szCs w:val="24"/>
                <w:highlight w:val="none"/>
                <w:lang w:eastAsia="zh-CN"/>
              </w:rPr>
              <w:t>）</w:t>
            </w:r>
          </w:p>
          <w:p w14:paraId="34788989">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赛事方案策划与赛题设计：结合学校学科特色与人才培养目标，提供大赛主题设计与赛题规划服务，覆盖教学辅助、科研赋能、管理优化、校园服务等多个应用领域。</w:t>
            </w:r>
          </w:p>
          <w:p w14:paraId="380D4BD5">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提供完整的赛事方案规划，涵盖赛程安排、赛道设置、参赛规则、评审机制、奖项体系及知识产权归属等核心内容。</w:t>
            </w:r>
          </w:p>
          <w:p w14:paraId="08C53731">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标准制定与评审体系搭建：配套输出详细的评分标准与评审细则，建立多维度的作品评价指标体系，涵盖智能体功能完整性、技术实现复杂度、交互体验友好性、业务场景适配度、创新性及实用价值等评审维度。</w:t>
            </w:r>
          </w:p>
          <w:p w14:paraId="50EF568A">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赛事技术支持与运维保障：赛事全周期内提供持续的技术支撑服务，包括赛前平台部署与联调测试、赛中参赛者技术答疑与平台运维保障、作品技术审查及评审系统支撑等。</w:t>
            </w:r>
          </w:p>
          <w:p w14:paraId="1C2B7C44">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赛事组织协调与宣传推广：协助学校搭建赛事组织体系，明确校内各协办部门的职责分工与协同机制，提供赛事宣传推广方案设计与宣传物料制作支持。</w:t>
            </w:r>
          </w:p>
        </w:tc>
      </w:tr>
      <w:tr w14:paraId="46DC6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restart"/>
            <w:tcBorders>
              <w:top w:val="single" w:color="000000" w:sz="0" w:space="0"/>
              <w:left w:val="single" w:color="000000" w:sz="0" w:space="0"/>
              <w:right w:val="single" w:color="000000" w:sz="0" w:space="0"/>
            </w:tcBorders>
            <w:noWrap w:val="0"/>
            <w:tcMar>
              <w:top w:w="50" w:type="dxa"/>
              <w:left w:w="80" w:type="dxa"/>
              <w:bottom w:w="50" w:type="dxa"/>
              <w:right w:w="80" w:type="dxa"/>
            </w:tcMar>
            <w:vAlign w:val="center"/>
          </w:tcPr>
          <w:p w14:paraId="5F5A4BE5">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479" w:type="pct"/>
            <w:vMerge w:val="restart"/>
            <w:tcBorders>
              <w:top w:val="single" w:color="000000" w:sz="0" w:space="0"/>
              <w:left w:val="single" w:color="000000" w:sz="0" w:space="0"/>
              <w:right w:val="single" w:color="000000" w:sz="0" w:space="0"/>
            </w:tcBorders>
            <w:noWrap w:val="0"/>
            <w:tcMar>
              <w:top w:w="50" w:type="dxa"/>
              <w:left w:w="80" w:type="dxa"/>
              <w:bottom w:w="50" w:type="dxa"/>
              <w:right w:w="80" w:type="dxa"/>
            </w:tcMar>
            <w:vAlign w:val="center"/>
          </w:tcPr>
          <w:p w14:paraId="556257E3">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个人数字助理</w:t>
            </w: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6A7A90B0">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多模态内容生成</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6F5FE6FF">
            <w:pPr>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312" w:lineRule="auto"/>
              <w:ind w:left="80" w:right="80" w:hanging="360"/>
              <w:jc w:val="both"/>
              <w:textAlignment w:val="auto"/>
              <w:rPr>
                <w:rFonts w:hint="eastAsia" w:ascii="仿宋" w:hAnsi="仿宋" w:eastAsia="仿宋" w:cs="仿宋"/>
                <w:b w:val="0"/>
                <w:bCs w:val="0"/>
                <w:color w:val="auto"/>
                <w:sz w:val="24"/>
                <w:szCs w:val="24"/>
                <w:highlight w:val="none"/>
              </w:rPr>
            </w:pPr>
            <w:r>
              <w:rPr>
                <w:rStyle w:val="6"/>
                <w:rFonts w:hint="eastAsia" w:ascii="仿宋" w:hAnsi="仿宋" w:eastAsia="仿宋" w:cs="仿宋"/>
                <w:b w:val="0"/>
                <w:bCs w:val="0"/>
                <w:i w:val="0"/>
                <w:iCs w:val="0"/>
                <w:caps w:val="0"/>
                <w:color w:val="auto"/>
                <w:spacing w:val="0"/>
                <w:sz w:val="24"/>
                <w:szCs w:val="24"/>
                <w:highlight w:val="none"/>
                <w:shd w:val="clear" w:color="auto" w:fill="FFFFFF"/>
              </w:rPr>
              <w:t>文档生成</w:t>
            </w:r>
            <w:r>
              <w:rPr>
                <w:rFonts w:hint="eastAsia" w:ascii="仿宋" w:hAnsi="仿宋" w:eastAsia="仿宋" w:cs="仿宋"/>
                <w:b w:val="0"/>
                <w:bCs w:val="0"/>
                <w:i w:val="0"/>
                <w:iCs w:val="0"/>
                <w:caps w:val="0"/>
                <w:color w:val="auto"/>
                <w:spacing w:val="0"/>
                <w:sz w:val="24"/>
                <w:szCs w:val="24"/>
                <w:highlight w:val="none"/>
                <w:shd w:val="clear" w:color="auto" w:fill="FFFFFF"/>
              </w:rPr>
              <w:t>：基于大纲规划与段落扩写双阶段策略，结合上下文感知的章节编排算法，生成符合格式规范的长文本文档。</w:t>
            </w:r>
          </w:p>
          <w:p w14:paraId="128BA38E">
            <w:pPr>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312" w:lineRule="auto"/>
              <w:ind w:left="80" w:right="80" w:hanging="360"/>
              <w:jc w:val="both"/>
              <w:textAlignment w:val="auto"/>
              <w:rPr>
                <w:rFonts w:hint="eastAsia" w:ascii="仿宋" w:hAnsi="仿宋" w:eastAsia="仿宋" w:cs="仿宋"/>
                <w:b w:val="0"/>
                <w:bCs w:val="0"/>
                <w:color w:val="auto"/>
                <w:sz w:val="24"/>
                <w:szCs w:val="24"/>
                <w:highlight w:val="none"/>
              </w:rPr>
            </w:pPr>
            <w:r>
              <w:rPr>
                <w:rStyle w:val="6"/>
                <w:rFonts w:hint="eastAsia" w:ascii="仿宋" w:hAnsi="仿宋" w:eastAsia="仿宋" w:cs="仿宋"/>
                <w:b w:val="0"/>
                <w:bCs w:val="0"/>
                <w:i w:val="0"/>
                <w:iCs w:val="0"/>
                <w:caps w:val="0"/>
                <w:color w:val="auto"/>
                <w:spacing w:val="0"/>
                <w:sz w:val="24"/>
                <w:szCs w:val="24"/>
                <w:highlight w:val="none"/>
                <w:shd w:val="clear" w:color="auto" w:fill="FFFFFF"/>
              </w:rPr>
              <w:t>演示文稿生成</w:t>
            </w:r>
            <w:r>
              <w:rPr>
                <w:rFonts w:hint="eastAsia" w:ascii="仿宋" w:hAnsi="仿宋" w:eastAsia="仿宋" w:cs="仿宋"/>
                <w:b w:val="0"/>
                <w:bCs w:val="0"/>
                <w:i w:val="0"/>
                <w:iCs w:val="0"/>
                <w:caps w:val="0"/>
                <w:color w:val="auto"/>
                <w:spacing w:val="0"/>
                <w:sz w:val="24"/>
                <w:szCs w:val="24"/>
                <w:highlight w:val="none"/>
                <w:shd w:val="clear" w:color="auto" w:fill="FFFFFF"/>
              </w:rPr>
              <w:t>：自动提取语义层级结构并映射为幻灯片序列，支持主题模板匹配、图文混排与演讲备注同步生成。</w:t>
            </w:r>
          </w:p>
          <w:p w14:paraId="5DA6F691">
            <w:pPr>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312" w:lineRule="auto"/>
              <w:ind w:left="80" w:right="80" w:hanging="360"/>
              <w:jc w:val="both"/>
              <w:textAlignment w:val="auto"/>
              <w:rPr>
                <w:rFonts w:hint="eastAsia" w:ascii="仿宋" w:hAnsi="仿宋" w:eastAsia="仿宋" w:cs="仿宋"/>
                <w:b w:val="0"/>
                <w:bCs w:val="0"/>
                <w:color w:val="auto"/>
                <w:sz w:val="24"/>
                <w:szCs w:val="24"/>
                <w:highlight w:val="none"/>
                <w:shd w:val="clear" w:color="auto" w:fill="auto"/>
              </w:rPr>
            </w:pPr>
            <w:r>
              <w:rPr>
                <w:rFonts w:hint="eastAsia" w:ascii="仿宋" w:hAnsi="仿宋" w:eastAsia="仿宋" w:cs="仿宋"/>
                <w:b w:val="0"/>
                <w:bCs w:val="0"/>
                <w:color w:val="auto"/>
                <w:sz w:val="24"/>
                <w:szCs w:val="24"/>
                <w:highlight w:val="none"/>
                <w:shd w:val="clear" w:color="auto" w:fill="auto"/>
                <w:lang w:val="en-US" w:eastAsia="zh-CN"/>
              </w:rPr>
              <w:t>Skill生成：根据自然语言生成可复用的skill文件，为数字分身、vibecoding等功能提供对应能力。</w:t>
            </w:r>
          </w:p>
          <w:p w14:paraId="2FDDCD2A">
            <w:pPr>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312" w:lineRule="auto"/>
              <w:ind w:left="80" w:right="80" w:hanging="360"/>
              <w:jc w:val="both"/>
              <w:textAlignment w:val="auto"/>
              <w:rPr>
                <w:rFonts w:hint="eastAsia" w:ascii="仿宋" w:hAnsi="仿宋" w:eastAsia="仿宋" w:cs="仿宋"/>
                <w:b w:val="0"/>
                <w:bCs w:val="0"/>
                <w:color w:val="auto"/>
                <w:sz w:val="24"/>
                <w:szCs w:val="24"/>
                <w:highlight w:val="none"/>
              </w:rPr>
            </w:pPr>
            <w:r>
              <w:rPr>
                <w:rStyle w:val="6"/>
                <w:rFonts w:hint="eastAsia" w:ascii="仿宋" w:hAnsi="仿宋" w:eastAsia="仿宋" w:cs="仿宋"/>
                <w:b w:val="0"/>
                <w:bCs w:val="0"/>
                <w:i w:val="0"/>
                <w:iCs w:val="0"/>
                <w:caps w:val="0"/>
                <w:color w:val="auto"/>
                <w:spacing w:val="0"/>
                <w:sz w:val="24"/>
                <w:szCs w:val="24"/>
                <w:highlight w:val="none"/>
                <w:shd w:val="clear" w:color="auto" w:fill="FFFFFF"/>
              </w:rPr>
              <w:t>视频生成</w:t>
            </w:r>
            <w:r>
              <w:rPr>
                <w:rFonts w:hint="eastAsia" w:ascii="仿宋" w:hAnsi="仿宋" w:eastAsia="仿宋" w:cs="仿宋"/>
                <w:b w:val="0"/>
                <w:bCs w:val="0"/>
                <w:i w:val="0"/>
                <w:iCs w:val="0"/>
                <w:caps w:val="0"/>
                <w:color w:val="auto"/>
                <w:spacing w:val="0"/>
                <w:sz w:val="24"/>
                <w:szCs w:val="24"/>
                <w:highlight w:val="none"/>
                <w:shd w:val="clear" w:color="auto" w:fill="FFFFFF"/>
              </w:rPr>
              <w:t>：集成文生视频与图生视频能力，支持分镜脚本驱动的自动剪辑与配音合成。</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提供现场演示</w:t>
            </w:r>
            <w:r>
              <w:rPr>
                <w:rFonts w:hint="eastAsia" w:ascii="仿宋" w:hAnsi="仿宋" w:eastAsia="仿宋" w:cs="仿宋"/>
                <w:b w:val="0"/>
                <w:bCs w:val="0"/>
                <w:color w:val="auto"/>
                <w:sz w:val="24"/>
                <w:szCs w:val="24"/>
                <w:highlight w:val="none"/>
                <w:lang w:eastAsia="zh-CN"/>
              </w:rPr>
              <w:t>）</w:t>
            </w:r>
          </w:p>
          <w:p w14:paraId="5A37AE8F">
            <w:pPr>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312" w:lineRule="auto"/>
              <w:ind w:left="80" w:right="80" w:hanging="360"/>
              <w:jc w:val="both"/>
              <w:textAlignment w:val="auto"/>
              <w:rPr>
                <w:rFonts w:hint="eastAsia" w:ascii="仿宋" w:hAnsi="仿宋" w:eastAsia="仿宋" w:cs="仿宋"/>
                <w:b w:val="0"/>
                <w:bCs w:val="0"/>
                <w:color w:val="auto"/>
                <w:sz w:val="24"/>
                <w:szCs w:val="24"/>
                <w:highlight w:val="none"/>
              </w:rPr>
            </w:pPr>
            <w:r>
              <w:rPr>
                <w:rStyle w:val="6"/>
                <w:rFonts w:hint="eastAsia" w:ascii="仿宋" w:hAnsi="仿宋" w:eastAsia="仿宋" w:cs="仿宋"/>
                <w:b w:val="0"/>
                <w:bCs w:val="0"/>
                <w:i w:val="0"/>
                <w:iCs w:val="0"/>
                <w:caps w:val="0"/>
                <w:color w:val="auto"/>
                <w:spacing w:val="0"/>
                <w:sz w:val="24"/>
                <w:szCs w:val="24"/>
                <w:highlight w:val="none"/>
                <w:shd w:val="clear" w:color="auto" w:fill="FFFFFF"/>
              </w:rPr>
              <w:t>图片生成</w:t>
            </w:r>
            <w:r>
              <w:rPr>
                <w:rFonts w:hint="eastAsia" w:ascii="仿宋" w:hAnsi="仿宋" w:eastAsia="仿宋" w:cs="仿宋"/>
                <w:b w:val="0"/>
                <w:bCs w:val="0"/>
                <w:i w:val="0"/>
                <w:iCs w:val="0"/>
                <w:caps w:val="0"/>
                <w:color w:val="auto"/>
                <w:spacing w:val="0"/>
                <w:sz w:val="24"/>
                <w:szCs w:val="24"/>
                <w:highlight w:val="none"/>
                <w:shd w:val="clear" w:color="auto" w:fill="FFFFFF"/>
              </w:rPr>
              <w:t>：基于潜在扩散模型的文生图引擎，支持风格迁移、修复与超分辨率增强。</w:t>
            </w:r>
          </w:p>
          <w:p w14:paraId="17EB8006">
            <w:pPr>
              <w:keepNext w:val="0"/>
              <w:keepLines w:val="0"/>
              <w:pageBreakBefore w:val="0"/>
              <w:widowControl/>
              <w:numPr>
                <w:ilvl w:val="0"/>
                <w:numId w:val="1"/>
              </w:numPr>
              <w:suppressLineNumbers w:val="0"/>
              <w:kinsoku/>
              <w:wordWrap w:val="0"/>
              <w:overflowPunct/>
              <w:topLinePunct/>
              <w:autoSpaceDE/>
              <w:autoSpaceDN/>
              <w:bidi w:val="0"/>
              <w:adjustRightInd/>
              <w:snapToGrid/>
              <w:spacing w:beforeAutospacing="0" w:afterAutospacing="0" w:line="312" w:lineRule="auto"/>
              <w:ind w:left="85" w:right="79" w:hanging="363"/>
              <w:jc w:val="both"/>
              <w:textAlignment w:val="auto"/>
              <w:rPr>
                <w:rFonts w:hint="eastAsia" w:ascii="仿宋" w:hAnsi="仿宋" w:eastAsia="仿宋" w:cs="仿宋"/>
                <w:b w:val="0"/>
                <w:bCs w:val="0"/>
                <w:color w:val="auto"/>
                <w:sz w:val="24"/>
                <w:szCs w:val="24"/>
                <w:highlight w:val="none"/>
              </w:rPr>
            </w:pPr>
            <w:r>
              <w:rPr>
                <w:rStyle w:val="6"/>
                <w:rFonts w:hint="eastAsia" w:ascii="仿宋" w:hAnsi="仿宋" w:eastAsia="仿宋" w:cs="仿宋"/>
                <w:b w:val="0"/>
                <w:bCs w:val="0"/>
                <w:i w:val="0"/>
                <w:iCs w:val="0"/>
                <w:caps w:val="0"/>
                <w:color w:val="auto"/>
                <w:spacing w:val="0"/>
                <w:sz w:val="24"/>
                <w:szCs w:val="24"/>
                <w:highlight w:val="none"/>
                <w:shd w:val="clear" w:color="auto" w:fill="FFFFFF"/>
              </w:rPr>
              <w:t>网页生成</w:t>
            </w:r>
            <w:r>
              <w:rPr>
                <w:rFonts w:hint="eastAsia" w:ascii="仿宋" w:hAnsi="仿宋" w:eastAsia="仿宋" w:cs="仿宋"/>
                <w:b w:val="0"/>
                <w:bCs w:val="0"/>
                <w:i w:val="0"/>
                <w:iCs w:val="0"/>
                <w:caps w:val="0"/>
                <w:color w:val="auto"/>
                <w:spacing w:val="0"/>
                <w:sz w:val="24"/>
                <w:szCs w:val="24"/>
                <w:highlight w:val="none"/>
                <w:shd w:val="clear" w:color="auto" w:fill="FFFFFF"/>
              </w:rPr>
              <w:t>：根据自然语言描述生成响应式 HTML/CSS/JS 代码，内置组件库与布局引擎实现即输即所得的页面构建。</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提供现场演示</w:t>
            </w:r>
            <w:r>
              <w:rPr>
                <w:rFonts w:hint="eastAsia" w:ascii="仿宋" w:hAnsi="仿宋" w:eastAsia="仿宋" w:cs="仿宋"/>
                <w:b w:val="0"/>
                <w:bCs w:val="0"/>
                <w:color w:val="auto"/>
                <w:sz w:val="24"/>
                <w:szCs w:val="24"/>
                <w:highlight w:val="none"/>
                <w:lang w:eastAsia="zh-CN"/>
              </w:rPr>
              <w:t>）</w:t>
            </w:r>
          </w:p>
          <w:p w14:paraId="0762CC9B">
            <w:pPr>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312" w:lineRule="auto"/>
              <w:ind w:left="80" w:right="80" w:hanging="360"/>
              <w:jc w:val="both"/>
              <w:textAlignment w:val="auto"/>
              <w:rPr>
                <w:rFonts w:hint="eastAsia" w:ascii="仿宋" w:hAnsi="仿宋" w:eastAsia="仿宋" w:cs="仿宋"/>
                <w:b w:val="0"/>
                <w:bCs w:val="0"/>
                <w:color w:val="auto"/>
                <w:sz w:val="24"/>
                <w:szCs w:val="24"/>
                <w:highlight w:val="none"/>
              </w:rPr>
            </w:pPr>
            <w:r>
              <w:rPr>
                <w:rStyle w:val="6"/>
                <w:rFonts w:hint="eastAsia" w:ascii="仿宋" w:hAnsi="仿宋" w:eastAsia="仿宋" w:cs="仿宋"/>
                <w:b w:val="0"/>
                <w:bCs w:val="0"/>
                <w:i w:val="0"/>
                <w:iCs w:val="0"/>
                <w:caps w:val="0"/>
                <w:color w:val="auto"/>
                <w:spacing w:val="0"/>
                <w:sz w:val="24"/>
                <w:szCs w:val="24"/>
                <w:highlight w:val="none"/>
                <w:shd w:val="clear" w:color="auto" w:fill="FFFFFF"/>
              </w:rPr>
              <w:t>表格生成</w:t>
            </w:r>
            <w:r>
              <w:rPr>
                <w:rFonts w:hint="eastAsia" w:ascii="仿宋" w:hAnsi="仿宋" w:eastAsia="仿宋" w:cs="仿宋"/>
                <w:b w:val="0"/>
                <w:bCs w:val="0"/>
                <w:i w:val="0"/>
                <w:iCs w:val="0"/>
                <w:caps w:val="0"/>
                <w:color w:val="auto"/>
                <w:spacing w:val="0"/>
                <w:sz w:val="24"/>
                <w:szCs w:val="24"/>
                <w:highlight w:val="none"/>
                <w:shd w:val="clear" w:color="auto" w:fill="FFFFFF"/>
              </w:rPr>
              <w:t>：结构化数据自动识别与二维表映射，支持公式计算、条件格式与透视表构建。</w:t>
            </w:r>
          </w:p>
          <w:p w14:paraId="03671251">
            <w:pPr>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312" w:lineRule="auto"/>
              <w:ind w:left="80" w:right="80" w:hanging="360"/>
              <w:jc w:val="both"/>
              <w:textAlignment w:val="auto"/>
              <w:rPr>
                <w:rFonts w:hint="eastAsia" w:ascii="仿宋" w:hAnsi="仿宋" w:eastAsia="仿宋" w:cs="仿宋"/>
                <w:b w:val="0"/>
                <w:bCs w:val="0"/>
                <w:color w:val="auto"/>
                <w:sz w:val="24"/>
                <w:szCs w:val="24"/>
                <w:highlight w:val="none"/>
              </w:rPr>
            </w:pPr>
            <w:r>
              <w:rPr>
                <w:rStyle w:val="6"/>
                <w:rFonts w:hint="eastAsia" w:ascii="仿宋" w:hAnsi="仿宋" w:eastAsia="仿宋" w:cs="仿宋"/>
                <w:b w:val="0"/>
                <w:bCs w:val="0"/>
                <w:i w:val="0"/>
                <w:iCs w:val="0"/>
                <w:caps w:val="0"/>
                <w:color w:val="auto"/>
                <w:spacing w:val="0"/>
                <w:sz w:val="24"/>
                <w:szCs w:val="24"/>
                <w:highlight w:val="none"/>
                <w:shd w:val="clear" w:color="auto" w:fill="FFFFFF"/>
              </w:rPr>
              <w:t>播客生成</w:t>
            </w:r>
            <w:r>
              <w:rPr>
                <w:rFonts w:hint="eastAsia" w:ascii="仿宋" w:hAnsi="仿宋" w:eastAsia="仿宋" w:cs="仿宋"/>
                <w:b w:val="0"/>
                <w:bCs w:val="0"/>
                <w:i w:val="0"/>
                <w:iCs w:val="0"/>
                <w:caps w:val="0"/>
                <w:color w:val="auto"/>
                <w:spacing w:val="0"/>
                <w:sz w:val="24"/>
                <w:szCs w:val="24"/>
                <w:highlight w:val="none"/>
                <w:shd w:val="clear" w:color="auto" w:fill="FFFFFF"/>
              </w:rPr>
              <w:t>：文本转语音结合情感语音合成技术，支持多角色对话式音频内容的脚本生成与后期混音。</w:t>
            </w:r>
          </w:p>
          <w:p w14:paraId="6EAB0F6B">
            <w:pPr>
              <w:keepNext w:val="0"/>
              <w:keepLines w:val="0"/>
              <w:pageBreakBefore w:val="0"/>
              <w:kinsoku/>
              <w:wordWrap/>
              <w:overflowPunct/>
              <w:topLinePunct w:val="0"/>
              <w:autoSpaceDE/>
              <w:autoSpaceDN/>
              <w:bidi w:val="0"/>
              <w:adjustRightInd/>
              <w:snapToGrid/>
              <w:spacing w:line="312" w:lineRule="auto"/>
              <w:ind w:firstLine="720" w:firstLineChars="300"/>
              <w:textAlignment w:val="auto"/>
              <w:rPr>
                <w:rFonts w:hint="eastAsia" w:ascii="仿宋" w:hAnsi="仿宋" w:eastAsia="仿宋" w:cs="仿宋"/>
                <w:color w:val="auto"/>
                <w:sz w:val="24"/>
                <w:szCs w:val="24"/>
                <w:highlight w:val="none"/>
              </w:rPr>
            </w:pPr>
            <w:r>
              <w:rPr>
                <w:rStyle w:val="6"/>
                <w:rFonts w:hint="eastAsia" w:ascii="仿宋" w:hAnsi="仿宋" w:eastAsia="仿宋" w:cs="仿宋"/>
                <w:b w:val="0"/>
                <w:bCs w:val="0"/>
                <w:i w:val="0"/>
                <w:iCs w:val="0"/>
                <w:caps w:val="0"/>
                <w:color w:val="auto"/>
                <w:spacing w:val="0"/>
                <w:sz w:val="24"/>
                <w:szCs w:val="24"/>
                <w:highlight w:val="none"/>
                <w:shd w:val="clear" w:color="auto" w:fill="FFFFFF"/>
              </w:rPr>
              <w:t>图表生成</w:t>
            </w:r>
            <w:r>
              <w:rPr>
                <w:rFonts w:hint="eastAsia" w:ascii="仿宋" w:hAnsi="仿宋" w:eastAsia="仿宋" w:cs="仿宋"/>
                <w:b w:val="0"/>
                <w:bCs w:val="0"/>
                <w:i w:val="0"/>
                <w:iCs w:val="0"/>
                <w:caps w:val="0"/>
                <w:color w:val="auto"/>
                <w:spacing w:val="0"/>
                <w:sz w:val="24"/>
                <w:szCs w:val="24"/>
                <w:highlight w:val="none"/>
                <w:shd w:val="clear" w:color="auto" w:fill="FFFFFF"/>
              </w:rPr>
              <w:t>：数据可视化引擎自</w:t>
            </w:r>
            <w:r>
              <w:rPr>
                <w:rFonts w:hint="eastAsia" w:ascii="仿宋" w:hAnsi="仿宋" w:eastAsia="仿宋" w:cs="仿宋"/>
                <w:i w:val="0"/>
                <w:iCs w:val="0"/>
                <w:caps w:val="0"/>
                <w:color w:val="auto"/>
                <w:spacing w:val="0"/>
                <w:sz w:val="24"/>
                <w:szCs w:val="24"/>
                <w:highlight w:val="none"/>
                <w:shd w:val="clear" w:color="auto" w:fill="FFFFFF"/>
              </w:rPr>
              <w:t>动匹配图表类型（柱状、折线、散点、雷达等），基于 Grammar of Graphics 规范渲染统计图形。</w:t>
            </w:r>
          </w:p>
        </w:tc>
      </w:tr>
      <w:tr w14:paraId="2D828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4D413B86">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left w:val="single" w:color="000000" w:sz="0" w:space="0"/>
              <w:right w:val="single" w:color="000000" w:sz="0" w:space="0"/>
            </w:tcBorders>
            <w:noWrap w:val="0"/>
            <w:vAlign w:val="top"/>
          </w:tcPr>
          <w:p w14:paraId="4C32A02C">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5A09C417">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人格与长期记忆</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4C091340">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人设沉淀：将用户身份特征、职业背景、沟通风格偏好等元信息编码为结构化配置文件，作为 Agent 行为决策的基础约束。</w:t>
            </w:r>
          </w:p>
          <w:p w14:paraId="23177765">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用户画像构建：基于会话历史的行为序列挖掘，采用向量嵌入与聚类分析构建动态用户兴趣图谱，支持增量更新与遗忘曲线衰减。</w:t>
            </w:r>
          </w:p>
          <w:p w14:paraId="7EA5B33F">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跨会话复用：记忆文件与会话上下文通过记忆检索增强生成机制注入每轮对话，确保 Agent 在任意新会话中均可无感恢复历史认知。</w:t>
            </w:r>
          </w:p>
        </w:tc>
      </w:tr>
      <w:tr w14:paraId="0B81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391535FB">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left w:val="single" w:color="000000" w:sz="0" w:space="0"/>
              <w:right w:val="single" w:color="000000" w:sz="0" w:space="0"/>
            </w:tcBorders>
            <w:noWrap w:val="0"/>
            <w:vAlign w:val="top"/>
          </w:tcPr>
          <w:p w14:paraId="5ED77D6C">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71FE6961">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日程与任务管理</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0754F4E8">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内置定时任务调度引擎，提供完整的时间驱动自动化能力：</w:t>
            </w:r>
          </w:p>
          <w:p w14:paraId="50F91981">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单次任务：基于时间戳的定时触发机制，支持精确到秒的一次性执行计划。</w:t>
            </w:r>
          </w:p>
          <w:p w14:paraId="34003511">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提醒与通知：任务触发时通过系统通知或即时消息通道推送提醒，执行状态实时写入任务日志。</w:t>
            </w:r>
          </w:p>
          <w:p w14:paraId="055581B8">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执行追踪：提供任务执行历史查询、重试策略配置与失败告警。</w:t>
            </w:r>
          </w:p>
        </w:tc>
      </w:tr>
      <w:tr w14:paraId="44045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026" w:hRule="atLeast"/>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55CC7E1E">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left w:val="single" w:color="000000" w:sz="0" w:space="0"/>
              <w:right w:val="single" w:color="000000" w:sz="0" w:space="0"/>
            </w:tcBorders>
            <w:noWrap w:val="0"/>
            <w:vAlign w:val="top"/>
          </w:tcPr>
          <w:p w14:paraId="2810CACA">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18D8E132">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文件统一管理</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46BD47D4">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系统构建虚拟文件系统对用户生成文件与上传资料进行统一生命周期管理：</w:t>
            </w:r>
          </w:p>
          <w:p w14:paraId="54836CBC">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统一命名空间：所有产出物与上传资源纳入扁平化逻辑路径体系，支持标签、分类与全文检索。</w:t>
            </w:r>
          </w:p>
          <w:p w14:paraId="7B5CF689">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版本历史回溯：基于快照链与增量存储的文件版本管理机制，每次修改自动生成版本节点。</w:t>
            </w:r>
          </w:p>
          <w:p w14:paraId="54559CE6">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访问控制：支持文件级别的权限标记（私有/共享/公开），满足协作场景下的分发需求。</w:t>
            </w:r>
          </w:p>
        </w:tc>
      </w:tr>
      <w:tr w14:paraId="7279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15BB8785">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left w:val="single" w:color="000000" w:sz="0" w:space="0"/>
              <w:right w:val="single" w:color="000000" w:sz="0" w:space="0"/>
            </w:tcBorders>
            <w:noWrap w:val="0"/>
            <w:vAlign w:val="top"/>
          </w:tcPr>
          <w:p w14:paraId="5CA4DAA5">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5BB6B441">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任务智能拆解</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632870D9">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自动分解：基于任务复杂度评估器自动判定是否需要拆解，对需拆解任务通过层次化任务网络规划器将宏观目标递归分解为可独立执行的原子子任务序列。</w:t>
            </w:r>
          </w:p>
          <w:p w14:paraId="38F63DE4">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依赖图构建：提取子任务间的数据依赖与控制依赖关系，生成有向无环图，作为并行调度的拓扑依据。</w:t>
            </w:r>
          </w:p>
          <w:p w14:paraId="435D7450">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并行协调执行：调度引擎按照 DAG 拓扑序对无依赖冲突的子任务进行并行派发，最大化利用工具链路带宽，执行过程中通过超时检测与异常回滚机制保障任务链的整体性。</w:t>
            </w:r>
          </w:p>
        </w:tc>
      </w:tr>
      <w:tr w14:paraId="2DA98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1EF01B1D">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left w:val="single" w:color="000000" w:sz="0" w:space="0"/>
              <w:bottom w:val="single" w:color="000000" w:sz="0" w:space="0"/>
              <w:right w:val="single" w:color="000000" w:sz="0" w:space="0"/>
            </w:tcBorders>
            <w:noWrap w:val="0"/>
            <w:vAlign w:val="top"/>
          </w:tcPr>
          <w:p w14:paraId="022DEEEB">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341EA849">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账号授权及服务支撑</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1FE46EB5">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▲提供</w:t>
            </w:r>
            <w:r>
              <w:rPr>
                <w:rFonts w:hint="eastAsia" w:ascii="仿宋" w:hAnsi="仿宋" w:eastAsia="仿宋" w:cs="仿宋"/>
                <w:color w:val="auto"/>
                <w:sz w:val="24"/>
                <w:szCs w:val="24"/>
                <w:highlight w:val="none"/>
                <w:lang w:val="en-US" w:eastAsia="zh-CN"/>
              </w:rPr>
              <w:t>不少于500个个人数字助理账号授权</w:t>
            </w:r>
            <w:r>
              <w:rPr>
                <w:rFonts w:hint="eastAsia" w:ascii="仿宋" w:hAnsi="仿宋" w:eastAsia="仿宋" w:cs="仿宋"/>
                <w:b w:val="0"/>
                <w:bCs w:val="0"/>
                <w:color w:val="auto"/>
                <w:sz w:val="24"/>
                <w:szCs w:val="24"/>
                <w:highlight w:val="none"/>
                <w:lang w:val="en-US" w:eastAsia="zh-CN"/>
              </w:rPr>
              <w:t>，并提供协助教职工及学生创建个人数字助理服务支持</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提供供应商盖章的承诺函</w:t>
            </w:r>
            <w:r>
              <w:rPr>
                <w:rFonts w:hint="eastAsia" w:ascii="仿宋" w:hAnsi="仿宋" w:eastAsia="仿宋" w:cs="仿宋"/>
                <w:color w:val="auto"/>
                <w:sz w:val="24"/>
                <w:szCs w:val="24"/>
                <w:highlight w:val="none"/>
                <w:lang w:eastAsia="zh-CN"/>
              </w:rPr>
              <w:t>）</w:t>
            </w:r>
          </w:p>
        </w:tc>
      </w:tr>
      <w:tr w14:paraId="4C447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restart"/>
            <w:tcBorders>
              <w:top w:val="single" w:color="000000" w:sz="0" w:space="0"/>
              <w:left w:val="single" w:color="000000" w:sz="0" w:space="0"/>
              <w:right w:val="single" w:color="000000" w:sz="0" w:space="0"/>
            </w:tcBorders>
            <w:noWrap w:val="0"/>
            <w:tcMar>
              <w:top w:w="50" w:type="dxa"/>
              <w:left w:w="80" w:type="dxa"/>
              <w:bottom w:w="50" w:type="dxa"/>
              <w:right w:w="80" w:type="dxa"/>
            </w:tcMar>
            <w:vAlign w:val="center"/>
          </w:tcPr>
          <w:p w14:paraId="11B9856F">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479" w:type="pct"/>
            <w:vMerge w:val="restar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6B5D441A">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智能体开发</w:t>
            </w:r>
            <w:r>
              <w:rPr>
                <w:rFonts w:hint="eastAsia" w:ascii="仿宋" w:hAnsi="仿宋" w:eastAsia="仿宋" w:cs="仿宋"/>
                <w:b/>
                <w:bCs/>
                <w:color w:val="auto"/>
                <w:sz w:val="24"/>
                <w:szCs w:val="24"/>
                <w:highlight w:val="none"/>
                <w:lang w:val="en-US" w:eastAsia="zh-CN"/>
              </w:rPr>
              <w:t>服务</w:t>
            </w:r>
          </w:p>
          <w:p w14:paraId="6A2B981D">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不少于</w:t>
            </w:r>
            <w:r>
              <w:rPr>
                <w:rFonts w:hint="eastAsia" w:ascii="仿宋" w:hAnsi="仿宋" w:eastAsia="仿宋" w:cs="仿宋"/>
                <w:b/>
                <w:bCs/>
                <w:color w:val="auto"/>
                <w:sz w:val="24"/>
                <w:szCs w:val="24"/>
                <w:highlight w:val="none"/>
              </w:rPr>
              <w:t>10个智能体</w:t>
            </w:r>
            <w:r>
              <w:rPr>
                <w:rFonts w:hint="eastAsia" w:ascii="仿宋" w:hAnsi="仿宋" w:eastAsia="仿宋" w:cs="仿宋"/>
                <w:b/>
                <w:bCs/>
                <w:color w:val="auto"/>
                <w:sz w:val="24"/>
                <w:szCs w:val="24"/>
                <w:highlight w:val="none"/>
                <w:lang w:val="en-US" w:eastAsia="zh-CN"/>
              </w:rPr>
              <w:t>开发服务，可根据学校要求调整</w:t>
            </w:r>
            <w:r>
              <w:rPr>
                <w:rFonts w:hint="eastAsia" w:ascii="仿宋" w:hAnsi="仿宋" w:eastAsia="仿宋" w:cs="仿宋"/>
                <w:b/>
                <w:bCs/>
                <w:color w:val="auto"/>
                <w:sz w:val="24"/>
                <w:szCs w:val="24"/>
                <w:highlight w:val="none"/>
              </w:rPr>
              <w:t>）</w:t>
            </w: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4189AB81">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知识资源</w:t>
            </w:r>
            <w:r>
              <w:rPr>
                <w:rFonts w:hint="eastAsia" w:ascii="仿宋" w:hAnsi="仿宋" w:eastAsia="仿宋" w:cs="仿宋"/>
                <w:color w:val="auto"/>
                <w:sz w:val="24"/>
                <w:szCs w:val="24"/>
                <w:highlight w:val="none"/>
              </w:rPr>
              <w:t>助手</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0DC14E97">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解析</w:t>
            </w:r>
            <w:r>
              <w:rPr>
                <w:rFonts w:hint="eastAsia" w:ascii="仿宋" w:hAnsi="仿宋" w:eastAsia="仿宋" w:cs="仿宋"/>
                <w:i w:val="0"/>
                <w:iCs w:val="0"/>
                <w:caps w:val="0"/>
                <w:color w:val="auto"/>
                <w:spacing w:val="0"/>
                <w:sz w:val="24"/>
                <w:szCs w:val="24"/>
                <w:highlight w:val="none"/>
                <w:shd w:val="clear" w:color="auto" w:fill="FFFFFF"/>
                <w:lang w:val="en-US" w:eastAsia="zh-CN"/>
              </w:rPr>
              <w:t>用户上传的知识</w:t>
            </w:r>
            <w:r>
              <w:rPr>
                <w:rFonts w:hint="eastAsia" w:ascii="仿宋" w:hAnsi="仿宋" w:eastAsia="仿宋" w:cs="仿宋"/>
                <w:i w:val="0"/>
                <w:iCs w:val="0"/>
                <w:caps w:val="0"/>
                <w:color w:val="auto"/>
                <w:spacing w:val="0"/>
                <w:sz w:val="24"/>
                <w:szCs w:val="24"/>
                <w:highlight w:val="none"/>
                <w:shd w:val="clear" w:color="auto" w:fill="FFFFFF"/>
              </w:rPr>
              <w:t>内容</w:t>
            </w:r>
            <w:r>
              <w:rPr>
                <w:rFonts w:hint="eastAsia" w:ascii="仿宋" w:hAnsi="仿宋" w:eastAsia="仿宋" w:cs="仿宋"/>
                <w:i w:val="0"/>
                <w:iCs w:val="0"/>
                <w:caps w:val="0"/>
                <w:color w:val="auto"/>
                <w:spacing w:val="0"/>
                <w:sz w:val="24"/>
                <w:szCs w:val="24"/>
                <w:highlight w:val="none"/>
                <w:shd w:val="clear" w:color="auto" w:fill="FFFFFF"/>
                <w:lang w:val="en-US" w:eastAsia="zh-CN"/>
              </w:rPr>
              <w:t>及知识</w:t>
            </w:r>
            <w:r>
              <w:rPr>
                <w:rFonts w:hint="eastAsia" w:ascii="仿宋" w:hAnsi="仿宋" w:eastAsia="仿宋" w:cs="仿宋"/>
                <w:i w:val="0"/>
                <w:iCs w:val="0"/>
                <w:caps w:val="0"/>
                <w:color w:val="auto"/>
                <w:spacing w:val="0"/>
                <w:sz w:val="24"/>
                <w:szCs w:val="24"/>
                <w:highlight w:val="none"/>
                <w:shd w:val="clear" w:color="auto" w:fill="FFFFFF"/>
              </w:rPr>
              <w:t>结构，</w:t>
            </w:r>
            <w:r>
              <w:rPr>
                <w:rFonts w:hint="eastAsia" w:ascii="仿宋" w:hAnsi="仿宋" w:eastAsia="仿宋" w:cs="仿宋"/>
                <w:i w:val="0"/>
                <w:iCs w:val="0"/>
                <w:caps w:val="0"/>
                <w:color w:val="auto"/>
                <w:spacing w:val="0"/>
                <w:sz w:val="24"/>
                <w:szCs w:val="24"/>
                <w:highlight w:val="none"/>
                <w:shd w:val="clear" w:color="auto" w:fill="FFFFFF"/>
                <w:lang w:val="en-US" w:eastAsia="zh-CN"/>
              </w:rPr>
              <w:t>通过大模型能力</w:t>
            </w:r>
            <w:r>
              <w:rPr>
                <w:rFonts w:hint="eastAsia" w:ascii="仿宋" w:hAnsi="仿宋" w:eastAsia="仿宋" w:cs="仿宋"/>
                <w:i w:val="0"/>
                <w:iCs w:val="0"/>
                <w:caps w:val="0"/>
                <w:color w:val="auto"/>
                <w:spacing w:val="0"/>
                <w:sz w:val="24"/>
                <w:szCs w:val="24"/>
                <w:highlight w:val="none"/>
                <w:shd w:val="clear" w:color="auto" w:fill="FFFFFF"/>
              </w:rPr>
              <w:t>智能生成风格统一</w:t>
            </w:r>
            <w:r>
              <w:rPr>
                <w:rFonts w:hint="eastAsia" w:ascii="仿宋" w:hAnsi="仿宋" w:eastAsia="仿宋" w:cs="仿宋"/>
                <w:i w:val="0"/>
                <w:iCs w:val="0"/>
                <w:caps w:val="0"/>
                <w:color w:val="auto"/>
                <w:spacing w:val="0"/>
                <w:sz w:val="24"/>
                <w:szCs w:val="24"/>
                <w:highlight w:val="none"/>
                <w:shd w:val="clear" w:color="auto" w:fill="FFFFFF"/>
                <w:lang w:val="en-US" w:eastAsia="zh-CN"/>
              </w:rPr>
              <w:t>的知识内容资源</w:t>
            </w:r>
            <w:r>
              <w:rPr>
                <w:rFonts w:hint="eastAsia" w:ascii="仿宋" w:hAnsi="仿宋" w:eastAsia="仿宋" w:cs="仿宋"/>
                <w:i w:val="0"/>
                <w:iCs w:val="0"/>
                <w:caps w:val="0"/>
                <w:color w:val="auto"/>
                <w:spacing w:val="0"/>
                <w:sz w:val="24"/>
                <w:szCs w:val="24"/>
                <w:highlight w:val="none"/>
                <w:shd w:val="clear" w:color="auto" w:fill="FFFFFF"/>
              </w:rPr>
              <w:t>，支持多学科模板适配，显著降低教师制图时间成本，让教案可视化表达更高效。</w:t>
            </w:r>
          </w:p>
        </w:tc>
      </w:tr>
      <w:tr w14:paraId="0A6D7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0FBCB31C">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2CFCABAA">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4CE1F297">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宣传资源</w:t>
            </w:r>
            <w:r>
              <w:rPr>
                <w:rFonts w:hint="eastAsia" w:ascii="仿宋" w:hAnsi="仿宋" w:eastAsia="仿宋" w:cs="仿宋"/>
                <w:color w:val="auto"/>
                <w:sz w:val="24"/>
                <w:szCs w:val="24"/>
                <w:highlight w:val="none"/>
              </w:rPr>
              <w:t>生成助手</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1E42EC8F">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lang w:val="en-US" w:eastAsia="zh-CN"/>
              </w:rPr>
              <w:t>通过用户提供的</w:t>
            </w:r>
            <w:r>
              <w:rPr>
                <w:rFonts w:hint="eastAsia" w:ascii="仿宋" w:hAnsi="仿宋" w:eastAsia="仿宋" w:cs="仿宋"/>
                <w:i w:val="0"/>
                <w:iCs w:val="0"/>
                <w:caps w:val="0"/>
                <w:color w:val="auto"/>
                <w:spacing w:val="0"/>
                <w:sz w:val="24"/>
                <w:szCs w:val="24"/>
                <w:highlight w:val="none"/>
                <w:shd w:val="clear" w:color="auto" w:fill="FFFFFF"/>
              </w:rPr>
              <w:t>宣传文案，系统自动完成语音合成、画面匹配与节奏编排，一键生成配音流畅、画面衔接自然的宣传讲解视频，支持多场景模板切换与字幕叠加，帮助宣传部快速将文字素材转化为专业级视频宣传资源。</w:t>
            </w:r>
          </w:p>
        </w:tc>
      </w:tr>
      <w:tr w14:paraId="1E7F8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1CED8017">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6029A61B">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797A2EBC">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学情分析助手</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6234ED3E">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无缝对接学校数据中台，汇聚课堂互动、作业完成、测验成绩等多维学情数据，自动生成涵盖知识掌握度、学习投入度与能力发展轨迹的学生个体及群体学习画像，为精准教学与个性化辅导提供数据驱动的决策支撑。</w:t>
            </w:r>
          </w:p>
        </w:tc>
      </w:tr>
      <w:tr w14:paraId="46811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1FB85ECF">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1B79FFB2">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6A15F6DB">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实训指导助手</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549AB296">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专为能源类专业实训场景打造，覆盖设备操作流程引导、安全规范实时提示与常见故障排查指导，支持语音交互与图文并茂的步骤讲解，让学生在实训过程中获得</w:t>
            </w:r>
            <w:r>
              <w:rPr>
                <w:rFonts w:hint="eastAsia" w:ascii="仿宋" w:hAnsi="仿宋" w:eastAsia="仿宋" w:cs="仿宋"/>
                <w:i w:val="0"/>
                <w:iCs w:val="0"/>
                <w:caps w:val="0"/>
                <w:color w:val="auto"/>
                <w:spacing w:val="0"/>
                <w:sz w:val="24"/>
                <w:szCs w:val="24"/>
                <w:highlight w:val="none"/>
                <w:shd w:val="clear" w:color="auto" w:fill="FFFFFF"/>
                <w:lang w:val="en-US" w:eastAsia="zh-CN"/>
              </w:rPr>
              <w:t>及时</w:t>
            </w:r>
            <w:r>
              <w:rPr>
                <w:rFonts w:hint="eastAsia" w:ascii="仿宋" w:hAnsi="仿宋" w:eastAsia="仿宋" w:cs="仿宋"/>
                <w:i w:val="0"/>
                <w:iCs w:val="0"/>
                <w:caps w:val="0"/>
                <w:color w:val="auto"/>
                <w:spacing w:val="0"/>
                <w:sz w:val="24"/>
                <w:szCs w:val="24"/>
                <w:highlight w:val="none"/>
                <w:shd w:val="clear" w:color="auto" w:fill="FFFFFF"/>
              </w:rPr>
              <w:t>、精准的AI辅导，有效降低操作风险并提升实训教学效果。</w:t>
            </w:r>
          </w:p>
        </w:tc>
      </w:tr>
      <w:tr w14:paraId="1E0FD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57B5E3F3">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0D7659DD">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77C6A306">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文案内容</w:t>
            </w:r>
            <w:r>
              <w:rPr>
                <w:rFonts w:hint="eastAsia" w:ascii="仿宋" w:hAnsi="仿宋" w:eastAsia="仿宋" w:cs="仿宋"/>
                <w:color w:val="auto"/>
                <w:sz w:val="24"/>
                <w:szCs w:val="24"/>
                <w:highlight w:val="none"/>
              </w:rPr>
              <w:t>生成助手</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0A998EA2">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输入核心内容要点，系统自动梳理逻辑结构、匹配内容素材并套用专业模板，快速生成结构完整、排版规范、图文并茂的演示文稿，支持多场景风格定制与二次编辑微调，让文档制作从数小时缩短至几分钟。</w:t>
            </w:r>
          </w:p>
        </w:tc>
      </w:tr>
      <w:tr w14:paraId="3FD63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1687FC29">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1E82A3EB">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3F774B2B">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学生自我提升助手</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4258FD3F">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基于用户提供的知识内容与难度层级，由大模型智能控制</w:t>
            </w:r>
            <w:r>
              <w:rPr>
                <w:rFonts w:hint="eastAsia" w:ascii="仿宋" w:hAnsi="仿宋" w:eastAsia="仿宋" w:cs="仿宋"/>
                <w:i w:val="0"/>
                <w:iCs w:val="0"/>
                <w:caps w:val="0"/>
                <w:color w:val="auto"/>
                <w:spacing w:val="0"/>
                <w:sz w:val="24"/>
                <w:szCs w:val="24"/>
                <w:highlight w:val="none"/>
                <w:shd w:val="clear" w:color="auto" w:fill="FFFFFF"/>
                <w:lang w:val="en-US" w:eastAsia="zh-CN"/>
              </w:rPr>
              <w:t>自测内容</w:t>
            </w:r>
            <w:r>
              <w:rPr>
                <w:rFonts w:hint="eastAsia" w:ascii="仿宋" w:hAnsi="仿宋" w:eastAsia="仿宋" w:cs="仿宋"/>
                <w:i w:val="0"/>
                <w:iCs w:val="0"/>
                <w:caps w:val="0"/>
                <w:color w:val="auto"/>
                <w:spacing w:val="0"/>
                <w:sz w:val="24"/>
                <w:szCs w:val="24"/>
                <w:highlight w:val="none"/>
                <w:shd w:val="clear" w:color="auto" w:fill="FFFFFF"/>
              </w:rPr>
              <w:t>配比、分布与重复度检测，确保内容编排合理、难度梯度科学，为学生自主学习与能力提升赋能。</w:t>
            </w:r>
          </w:p>
        </w:tc>
      </w:tr>
      <w:tr w14:paraId="0A48C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79" w:hRule="atLeast"/>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0BE21258">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3FA2EF55">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6B859E6B">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论文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公文</w:t>
            </w:r>
            <w:r>
              <w:rPr>
                <w:rFonts w:hint="eastAsia" w:ascii="仿宋" w:hAnsi="仿宋" w:eastAsia="仿宋" w:cs="仿宋"/>
                <w:color w:val="auto"/>
                <w:sz w:val="24"/>
                <w:szCs w:val="24"/>
                <w:highlight w:val="none"/>
              </w:rPr>
              <w:t>格式助手</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575A05FB">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lang w:val="en-US" w:eastAsia="zh-CN"/>
              </w:rPr>
              <w:t>一键上传文档，系统自动与标准模板对照，快速识别各模块格式偏差并标注修正方案，覆盖论文与公文常见格式痛点，助力用户从容应对格式审核。</w:t>
            </w:r>
          </w:p>
        </w:tc>
      </w:tr>
      <w:tr w14:paraId="2069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259A56FF">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5EF65A01">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7B5A70FE">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会议纪要助手</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7E98F7D4">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将会议录音自动转写为高精度文字稿，基于语义分析智能识别议题、决议、待办与责任人等关键要素，一键生成结构清晰、要点完整、表述规范的结构化会议纪要，支持多发言人区分与重点标注，让会后整理不再耗时。</w:t>
            </w:r>
          </w:p>
        </w:tc>
      </w:tr>
      <w:tr w14:paraId="16D7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6FFE2EF0">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64879739">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0E9788A8">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翻译助手</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4D723AF5">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支持多语种教学资料互译，适配学术场景，自动识别并保留学科专业术语的翻译一致性，维持原文的学术表达风格与逻辑结构，支持批量文档处理，为教师获取和输出国际化教学资源扫清语言障碍。</w:t>
            </w:r>
          </w:p>
        </w:tc>
      </w:tr>
      <w:tr w14:paraId="440DB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11769943">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415FBCE6">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4B4C230E">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代码审查助手</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29F4AFC9">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对学生提交的代码进行自动化静态审查，精准定位语法错误、逻辑漏洞、代码风格违规与性能隐患，逐一输出问题描述、定位行号与具体改进建议，帮助学生养成规范编码习惯，同时减轻教师在代码评阅中的重复性负担。</w:t>
            </w:r>
          </w:p>
        </w:tc>
      </w:tr>
      <w:tr w14:paraId="131DC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restart"/>
            <w:tcBorders>
              <w:top w:val="single" w:color="000000" w:sz="0" w:space="0"/>
              <w:left w:val="single" w:color="000000" w:sz="0" w:space="0"/>
              <w:right w:val="single" w:color="000000" w:sz="0" w:space="0"/>
            </w:tcBorders>
            <w:noWrap w:val="0"/>
            <w:tcMar>
              <w:top w:w="50" w:type="dxa"/>
              <w:left w:w="80" w:type="dxa"/>
              <w:bottom w:w="50" w:type="dxa"/>
              <w:right w:w="80" w:type="dxa"/>
            </w:tcMar>
            <w:vAlign w:val="center"/>
          </w:tcPr>
          <w:p w14:paraId="13F97738">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479" w:type="pct"/>
            <w:vMerge w:val="restar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452A263E">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驻场服务</w:t>
            </w: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2D4E45BB">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驻场人天</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5FCC7B83">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开发实施及运行保障期（验收后1年）提供不少于60人天的驻场技术开发支持。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提供供应商盖章的承诺函</w:t>
            </w:r>
            <w:r>
              <w:rPr>
                <w:rFonts w:hint="eastAsia" w:ascii="仿宋" w:hAnsi="仿宋" w:eastAsia="仿宋" w:cs="仿宋"/>
                <w:color w:val="auto"/>
                <w:sz w:val="24"/>
                <w:szCs w:val="24"/>
                <w:highlight w:val="none"/>
                <w:lang w:eastAsia="zh-CN"/>
              </w:rPr>
              <w:t>）</w:t>
            </w:r>
          </w:p>
        </w:tc>
      </w:tr>
      <w:tr w14:paraId="0B5BF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9" w:hRule="atLeast"/>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526DA1F2">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799FBEEA">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65520436">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驻场人员资质</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5929D4D8">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驻场人员需具备相关领域的技术开发经验，能够独立完成智能体开发、平台配置及系统集成工作。</w:t>
            </w:r>
          </w:p>
        </w:tc>
      </w:tr>
      <w:tr w14:paraId="17F3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1956F689">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6B46BF4B">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07E7C0BE">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服务内容</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281E582E">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平台部署与系统联调；智能体开发与优化；知识库构建与维护；用户问题响应与技术支持；系统运行监控与故障排查。</w:t>
            </w:r>
          </w:p>
        </w:tc>
      </w:tr>
      <w:tr w14:paraId="02DF9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restart"/>
            <w:tcBorders>
              <w:top w:val="single" w:color="000000" w:sz="0" w:space="0"/>
              <w:left w:val="single" w:color="000000" w:sz="0" w:space="0"/>
              <w:right w:val="single" w:color="000000" w:sz="0" w:space="0"/>
            </w:tcBorders>
            <w:noWrap w:val="0"/>
            <w:tcMar>
              <w:top w:w="50" w:type="dxa"/>
              <w:left w:w="80" w:type="dxa"/>
              <w:bottom w:w="50" w:type="dxa"/>
              <w:right w:w="80" w:type="dxa"/>
            </w:tcMar>
            <w:vAlign w:val="center"/>
          </w:tcPr>
          <w:p w14:paraId="488B116C">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479" w:type="pct"/>
            <w:vMerge w:val="restar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6056697A">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智能体技能培训</w:t>
            </w: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590559FE">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师生应用培训</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47E9BE1F">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面向全校师生开展人工智能应用培训，包括：超级智能体使用培训、个人数字助理操作培训、AI 编程工具使用培训、智能体开发入门培训。</w:t>
            </w:r>
          </w:p>
        </w:tc>
      </w:tr>
      <w:tr w14:paraId="494C7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2C8FAB6A">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545D3444">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06110AD5">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教师AI教学能力提升</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0A2A3C91">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面向骨干教师开展 AI 教学应用深度培训，包括：智能体开发进阶培训、AI 课程设计方法论、教学场景智能体定制开发、AI 赋能教学案例实践。</w:t>
            </w:r>
          </w:p>
        </w:tc>
      </w:tr>
      <w:tr w14:paraId="76F53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restart"/>
            <w:tcBorders>
              <w:top w:val="single" w:color="000000" w:sz="0" w:space="0"/>
              <w:left w:val="single" w:color="000000" w:sz="0" w:space="0"/>
              <w:right w:val="single" w:color="000000" w:sz="0" w:space="0"/>
            </w:tcBorders>
            <w:noWrap w:val="0"/>
            <w:tcMar>
              <w:top w:w="50" w:type="dxa"/>
              <w:left w:w="80" w:type="dxa"/>
              <w:bottom w:w="50" w:type="dxa"/>
              <w:right w:w="80" w:type="dxa"/>
            </w:tcMar>
            <w:vAlign w:val="center"/>
          </w:tcPr>
          <w:p w14:paraId="0F3971EF">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479" w:type="pct"/>
            <w:vMerge w:val="restar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26A6789A">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售后及运维服务</w:t>
            </w: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1B71B731">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问题响应</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6645A1B7">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自知晓问题起 1 小时内提供解决方案，2 小时内组织人员进行实施完善。</w:t>
            </w:r>
          </w:p>
        </w:tc>
      </w:tr>
      <w:tr w14:paraId="55FA6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right w:val="single" w:color="000000" w:sz="0" w:space="0"/>
            </w:tcBorders>
            <w:noWrap w:val="0"/>
            <w:tcMar>
              <w:top w:w="50" w:type="dxa"/>
              <w:left w:w="80" w:type="dxa"/>
              <w:bottom w:w="50" w:type="dxa"/>
              <w:right w:w="80" w:type="dxa"/>
            </w:tcMar>
            <w:vAlign w:val="center"/>
          </w:tcPr>
          <w:p w14:paraId="40B2A90C">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340D4B5A">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27B5267E">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质保期限</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04437AD8">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软件平台及智能体应用提供3年质保，服务期满后按照每年 10%合同额续费。</w:t>
            </w:r>
          </w:p>
        </w:tc>
      </w:tr>
      <w:tr w14:paraId="1E93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46" w:type="pct"/>
            <w:vMerge w:val="continue"/>
            <w:tcBorders>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11466677">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p>
        </w:tc>
        <w:tc>
          <w:tcPr>
            <w:tcW w:w="479" w:type="pct"/>
            <w:vMerge w:val="continue"/>
            <w:tcBorders>
              <w:top w:val="single" w:color="000000" w:sz="0" w:space="0"/>
              <w:left w:val="single" w:color="000000" w:sz="0" w:space="0"/>
              <w:bottom w:val="single" w:color="000000" w:sz="0" w:space="0"/>
              <w:right w:val="single" w:color="000000" w:sz="0" w:space="0"/>
            </w:tcBorders>
            <w:noWrap w:val="0"/>
            <w:vAlign w:val="top"/>
          </w:tcPr>
          <w:p w14:paraId="2089A903">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p>
        </w:tc>
        <w:tc>
          <w:tcPr>
            <w:tcW w:w="655"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center"/>
          </w:tcPr>
          <w:p w14:paraId="5D14D85A">
            <w:pPr>
              <w:keepNext w:val="0"/>
              <w:keepLines w:val="0"/>
              <w:pageBreakBefore w:val="0"/>
              <w:kinsoku/>
              <w:wordWrap/>
              <w:overflowPunct/>
              <w:topLinePunct w:val="0"/>
              <w:autoSpaceDE/>
              <w:autoSpaceDN/>
              <w:bidi w:val="0"/>
              <w:adjustRightInd/>
              <w:snapToGrid/>
              <w:spacing w:line="312"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运维内容</w:t>
            </w:r>
          </w:p>
        </w:tc>
        <w:tc>
          <w:tcPr>
            <w:tcW w:w="3518" w:type="pct"/>
            <w:tcBorders>
              <w:top w:val="single" w:color="000000" w:sz="0" w:space="0"/>
              <w:left w:val="single" w:color="000000" w:sz="0" w:space="0"/>
              <w:bottom w:val="single" w:color="000000" w:sz="0" w:space="0"/>
              <w:right w:val="single" w:color="000000" w:sz="0" w:space="0"/>
            </w:tcBorders>
            <w:noWrap w:val="0"/>
            <w:tcMar>
              <w:top w:w="50" w:type="dxa"/>
              <w:left w:w="80" w:type="dxa"/>
              <w:bottom w:w="50" w:type="dxa"/>
              <w:right w:w="80" w:type="dxa"/>
            </w:tcMar>
            <w:vAlign w:val="top"/>
          </w:tcPr>
          <w:p w14:paraId="4F27E32D">
            <w:pPr>
              <w:keepNext w:val="0"/>
              <w:keepLines w:val="0"/>
              <w:pageBreakBefore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平台日常监控与巡检；系统故障排查与修复；安全漏洞扫描与补丁更新；数据备份与恢复；性能优化与容量规划。</w:t>
            </w:r>
          </w:p>
        </w:tc>
      </w:tr>
    </w:tbl>
    <w:p w14:paraId="43F18AAB">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40A6A7"/>
    <w:multiLevelType w:val="multilevel"/>
    <w:tmpl w:val="F740A6A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052BC5"/>
    <w:rsid w:val="24052B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3">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2026-08-07T05:40:00Z</dcterms:created>
  <dc:creator>Cathy茹初見</dc:creator>
  <cp:lastModifiedBy>Cathy茹初見</cp:lastModifiedBy>
  <dcterms:modified xsi:type="dcterms:W3CDTF">2026-08-07T05:41:11Z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AB8E448687E94650BF9BCDEC0B9024DE_11</vt:lpwstr>
  </property>
  <property fmtid="{D5CDD505-2E9C-101B-9397-08002B2CF9AE}" pid="4" name="KSOTemplateDocerSaveRecord">
    <vt:lpwstr>eyJoZGlkIjoiZWQ5NzVkYWI0MGQ0NTQxNThkOWY1MzQ0MjRiOWI4NDkiLCJ1c2VySWQiOiIxOTk3MjgxNTUifQ==</vt:lpwstr>
  </property>
</Properties>
</file>