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版本号：XBZB-2026-08120260529001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三原县火车站小区等24个老旧小区改造(主体修缮)项目-设计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XBZB-2026-081</w:t>
      </w:r>
      <w:r>
        <w:br/>
      </w:r>
      <w:r>
        <w:br/>
      </w:r>
      <w:r>
        <w:br/>
      </w:r>
    </w:p>
    <w:p>
      <w:pPr>
        <w:pStyle w:val="null3"/>
        <w:jc w:val="center"/>
        <w:outlineLvl w:val="2"/>
      </w:pPr>
      <w:r>
        <w:rPr>
          <w:rFonts w:ascii="仿宋_GB2312" w:hAnsi="仿宋_GB2312" w:cs="仿宋_GB2312" w:eastAsia="仿宋_GB2312"/>
          <w:sz w:val="28"/>
          <w:b/>
        </w:rPr>
        <w:t>三原县住房和城乡建设局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三原县住房和城乡建设局</w:t>
      </w:r>
      <w:r>
        <w:rPr>
          <w:rFonts w:ascii="仿宋_GB2312" w:hAnsi="仿宋_GB2312" w:cs="仿宋_GB2312" w:eastAsia="仿宋_GB2312"/>
        </w:rPr>
        <w:t>委托，拟对</w:t>
      </w:r>
      <w:r>
        <w:rPr>
          <w:rFonts w:ascii="仿宋_GB2312" w:hAnsi="仿宋_GB2312" w:cs="仿宋_GB2312" w:eastAsia="仿宋_GB2312"/>
        </w:rPr>
        <w:t>三原县火车站小区等24个老旧小区改造(主体修缮)项目-设计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XBZB-2026-081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三原县火车站小区等24个老旧小区改造(主体修缮)项目-设计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火车站小区等24个老旧小区改造(主体修缮)项目，目选址位于三原县，涉及机引小区、五号信箱2区、房管所小区、汽标小区(旧楼)、老电力局小区、百货公司小区、工商局小区2区、路桥小区2区、工行家属院2区、工会小区、明林新村43站、土地局家属楼、农机总站小区、气象局家属院、劳动服务小区、徐木家属楼、五号信箱1区、火车站小区、啤酒厂小区、鞋厂小区、东四路邮政家属院、外贸小区、税务小区、滨港小区，共计24个小区，95栋楼。项目对24个小区内95栋楼进行主体修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采购包1（三原县火车站小区等24个老旧小区改造(主体修缮)项目-设计）：属于专门面向中小企业采购。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1、供应商资质：具有建设行政主管部门颁发的工程设计综合甲级资质或工程设计建筑行业乙级及以上或建筑行业（建筑工程）专业设计乙级及以上资质。</w:t>
      </w:r>
    </w:p>
    <w:p>
      <w:pPr>
        <w:pStyle w:val="null3"/>
      </w:pPr>
      <w:r>
        <w:rPr>
          <w:rFonts w:ascii="仿宋_GB2312" w:hAnsi="仿宋_GB2312" w:cs="仿宋_GB2312" w:eastAsia="仿宋_GB2312"/>
        </w:rPr>
        <w:t>2、项目负责人：拟派设计项目负责人须具备一级注册建筑师执业资格，且在本单位注册，提供响应文件递交截止时间前三个月内任意一个月供应商为其缴纳的社会保险证明材料。</w:t>
      </w:r>
    </w:p>
    <w:p>
      <w:pPr>
        <w:pStyle w:val="null3"/>
      </w:pPr>
      <w:r>
        <w:rPr>
          <w:rFonts w:ascii="仿宋_GB2312" w:hAnsi="仿宋_GB2312" w:cs="仿宋_GB2312" w:eastAsia="仿宋_GB2312"/>
        </w:rPr>
        <w:t>3、法定代表人身份证明/法定代表人授权委托书：法定代表人直接参加磋商的，须提供法定代表人身份证明，非法定代表人参加磋商的，须提供法定代表人授权委托书及被授权人身份证复印件（或扫描件）。</w:t>
      </w:r>
    </w:p>
    <w:p>
      <w:pPr>
        <w:pStyle w:val="null3"/>
      </w:pPr>
      <w:r>
        <w:rPr>
          <w:rFonts w:ascii="仿宋_GB2312" w:hAnsi="仿宋_GB2312" w:cs="仿宋_GB2312" w:eastAsia="仿宋_GB2312"/>
        </w:rPr>
        <w:t>4、信用记录：供应商不得为“信用中国”网站（www.creditchina.gov.cn）严重失信主体名单、重大税收违法失信主体、失信被执行人的供应商，不得为中国政府采购网（www.ccgp.gov.cn）政府采购严重违法失信行为记录名单中被财政部门禁止参加政府采购活动的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p>
    <w:p>
      <w:pPr>
        <w:pStyle w:val="null3"/>
      </w:pPr>
      <w:r>
        <w:rPr>
          <w:rFonts w:ascii="仿宋_GB2312" w:hAnsi="仿宋_GB2312" w:cs="仿宋_GB2312" w:eastAsia="仿宋_GB2312"/>
        </w:rPr>
        <w:t>5、非联合体投标：本项目不接受联合体磋商。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三原县住房和城乡建设局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陕西省西安市碑林区长安国际中心F座办公楼17楼1702室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庞焕清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13201529927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采购包1：774,400.00元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代理服务费收费标准：执行国家发展改革委《关于进一步放开建设项目专业服务价格的通知》（发改价格[2015]299号，参照国家计委《招标代理服务收费管理暂行办法》（计价格[2002]1980号）中的收费标准计算。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三原县住房和城乡建设局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联系人：庞焕清</w:t>
      </w:r>
    </w:p>
    <w:p>
      <w:pPr>
        <w:pStyle w:val="null3"/>
      </w:pPr>
      <w:r>
        <w:rPr>
          <w:rFonts w:ascii="仿宋_GB2312" w:hAnsi="仿宋_GB2312" w:cs="仿宋_GB2312" w:eastAsia="仿宋_GB2312"/>
        </w:rPr>
        <w:t>联系电话：13201529927</w:t>
      </w:r>
    </w:p>
    <w:p>
      <w:pPr>
        <w:pStyle w:val="null3"/>
      </w:pPr>
      <w:r>
        <w:rPr>
          <w:rFonts w:ascii="仿宋_GB2312" w:hAnsi="仿宋_GB2312" w:cs="仿宋_GB2312" w:eastAsia="仿宋_GB2312"/>
        </w:rPr>
        <w:t>地址：陕西省西安市碑林区南关正街88号长安国际中心F座1702室</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火车站小区等24个老旧小区改造(主体修缮)项目，目选址位于三原县，涉及机引小区、五号信箱2区、房管所小区、汽标小区(旧楼)、老电力局小区、百货公司小区、工商局小区2区、路桥小区2区、工行家属院2区、工会小区、明林新村43站、土地局家属楼、农机总站小区、气象局家属院、劳动服务小区、徐木家属楼、五号信箱1区、火车站小区、啤酒厂小区、鞋厂小区、东四路邮政家属院、外贸小区、税务小区、滨港小区，共计24个小区，95栋楼。项目对24个小区内95栋楼进行主体修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774,400.00</w:t>
      </w:r>
    </w:p>
    <w:p>
      <w:pPr>
        <w:pStyle w:val="null3"/>
      </w:pPr>
      <w:r>
        <w:rPr>
          <w:rFonts w:ascii="仿宋_GB2312" w:hAnsi="仿宋_GB2312" w:cs="仿宋_GB2312" w:eastAsia="仿宋_GB2312"/>
        </w:rPr>
        <w:t>采购包最高限价（元）: 774,400.00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三原县火车站小区等24个老旧小区改造(主体修缮)项目-设计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774,400.00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标的名称：三原县火车站小区等24个老旧小区改造(主体修缮)项目-设计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三原县火车站小区等</w:t>
            </w:r>
            <w:r>
              <w:rPr>
                <w:rFonts w:ascii="仿宋_GB2312" w:hAnsi="仿宋_GB2312" w:cs="仿宋_GB2312" w:eastAsia="仿宋_GB2312"/>
                <w:sz w:val="21"/>
              </w:rPr>
              <w:t>24个老旧小区改造(主体修缮)项目，目选址位于三原县，涉及机引小区、五号信箱2区、房管所小区、汽标小区(旧楼)、老电力局小区、百货公司小区、工商局小区2区、路桥小区2区、工行家属院2区、工会小区、明林新村43站、土地局家属楼、农机总站小区、气象局家属院、劳动服务小区、徐木家属楼、五号信箱1区、火车站小区、啤酒厂小区、鞋厂小区、东四路邮政家属院、外贸小区、税务小区、滨港小区，共计24个小区，95栋楼。项目对24个小区内95栋楼进行主体修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二、服务内容</w:t>
            </w:r>
          </w:p>
          <w:p>
            <w:pPr>
              <w:pStyle w:val="null3"/>
            </w:pPr>
            <w:r>
              <w:rPr>
                <w:rFonts w:ascii="仿宋_GB2312" w:hAnsi="仿宋_GB2312" w:cs="仿宋_GB2312" w:eastAsia="仿宋_GB2312"/>
                <w:sz w:val="21"/>
              </w:rPr>
              <w:t>主要工作内容：完成三原县火车站小区等</w:t>
            </w:r>
            <w:r>
              <w:rPr>
                <w:rFonts w:ascii="仿宋_GB2312" w:hAnsi="仿宋_GB2312" w:cs="仿宋_GB2312" w:eastAsia="仿宋_GB2312"/>
                <w:sz w:val="21"/>
              </w:rPr>
              <w:t>24个老旧小区改造(主体修缮)项目的初步设计和施工图设计工作</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三、质量标准及技术要求：达到国家规范要求</w:t>
            </w:r>
          </w:p>
          <w:p>
            <w:pPr>
              <w:pStyle w:val="null3"/>
              <w:jc w:val="both"/>
            </w:pPr>
            <w:r>
              <w:rPr>
                <w:rFonts w:ascii="仿宋_GB2312" w:hAnsi="仿宋_GB2312" w:cs="仿宋_GB2312" w:eastAsia="仿宋_GB2312"/>
                <w:sz w:val="21"/>
              </w:rPr>
              <w:t>1、《建筑工程设计文件编制深度规定》</w:t>
            </w:r>
            <w:r>
              <w:rPr>
                <w:rFonts w:ascii="仿宋_GB2312" w:hAnsi="仿宋_GB2312" w:cs="仿宋_GB2312" w:eastAsia="仿宋_GB2312"/>
                <w:sz w:val="21"/>
              </w:rPr>
              <w:t>(2016年版)</w:t>
            </w:r>
          </w:p>
          <w:p>
            <w:pPr>
              <w:pStyle w:val="null3"/>
              <w:jc w:val="both"/>
            </w:pPr>
            <w:r>
              <w:rPr>
                <w:rFonts w:ascii="仿宋_GB2312" w:hAnsi="仿宋_GB2312" w:cs="仿宋_GB2312" w:eastAsia="仿宋_GB2312"/>
                <w:sz w:val="21"/>
              </w:rPr>
              <w:t>2、《民用建筑设计统一标准》</w:t>
            </w:r>
            <w:r>
              <w:rPr>
                <w:rFonts w:ascii="仿宋_GB2312" w:hAnsi="仿宋_GB2312" w:cs="仿宋_GB2312" w:eastAsia="仿宋_GB2312"/>
                <w:sz w:val="21"/>
              </w:rPr>
              <w:t>GB 50352-2019</w:t>
            </w:r>
          </w:p>
          <w:p>
            <w:pPr>
              <w:pStyle w:val="null3"/>
              <w:jc w:val="both"/>
            </w:pPr>
            <w:r>
              <w:rPr>
                <w:rFonts w:ascii="仿宋_GB2312" w:hAnsi="仿宋_GB2312" w:cs="仿宋_GB2312" w:eastAsia="仿宋_GB2312"/>
                <w:sz w:val="21"/>
              </w:rPr>
              <w:t>3、《建筑设计防火规范》</w:t>
            </w:r>
            <w:r>
              <w:rPr>
                <w:rFonts w:ascii="仿宋_GB2312" w:hAnsi="仿宋_GB2312" w:cs="仿宋_GB2312" w:eastAsia="仿宋_GB2312"/>
                <w:sz w:val="21"/>
              </w:rPr>
              <w:t>GB 55037-2022</w:t>
            </w:r>
          </w:p>
          <w:p>
            <w:pPr>
              <w:pStyle w:val="null3"/>
              <w:jc w:val="both"/>
            </w:pPr>
            <w:r>
              <w:rPr>
                <w:rFonts w:ascii="仿宋_GB2312" w:hAnsi="仿宋_GB2312" w:cs="仿宋_GB2312" w:eastAsia="仿宋_GB2312"/>
                <w:sz w:val="21"/>
              </w:rPr>
              <w:t>4、《住宅设计规范》</w:t>
            </w:r>
            <w:r>
              <w:rPr>
                <w:rFonts w:ascii="仿宋_GB2312" w:hAnsi="仿宋_GB2312" w:cs="仿宋_GB2312" w:eastAsia="仿宋_GB2312"/>
                <w:sz w:val="21"/>
              </w:rPr>
              <w:t>GB 50096-2011</w:t>
            </w:r>
          </w:p>
          <w:p>
            <w:pPr>
              <w:pStyle w:val="null3"/>
              <w:jc w:val="both"/>
            </w:pPr>
            <w:r>
              <w:rPr>
                <w:rFonts w:ascii="仿宋_GB2312" w:hAnsi="仿宋_GB2312" w:cs="仿宋_GB2312" w:eastAsia="仿宋_GB2312"/>
                <w:sz w:val="21"/>
              </w:rPr>
              <w:t>5、《城市居住区规划设计标准》</w:t>
            </w:r>
            <w:r>
              <w:rPr>
                <w:rFonts w:ascii="仿宋_GB2312" w:hAnsi="仿宋_GB2312" w:cs="仿宋_GB2312" w:eastAsia="仿宋_GB2312"/>
                <w:sz w:val="21"/>
              </w:rPr>
              <w:t>GB50180-2018</w:t>
            </w:r>
          </w:p>
          <w:p>
            <w:pPr>
              <w:pStyle w:val="null3"/>
              <w:jc w:val="both"/>
            </w:pPr>
            <w:r>
              <w:rPr>
                <w:rFonts w:ascii="仿宋_GB2312" w:hAnsi="仿宋_GB2312" w:cs="仿宋_GB2312" w:eastAsia="仿宋_GB2312"/>
                <w:sz w:val="21"/>
              </w:rPr>
              <w:t>6、《城镇道路路面设计规范》</w:t>
            </w:r>
            <w:r>
              <w:rPr>
                <w:rFonts w:ascii="仿宋_GB2312" w:hAnsi="仿宋_GB2312" w:cs="仿宋_GB2312" w:eastAsia="仿宋_GB2312"/>
                <w:sz w:val="21"/>
              </w:rPr>
              <w:t>CJJ 169-2012</w:t>
            </w:r>
          </w:p>
          <w:p>
            <w:pPr>
              <w:pStyle w:val="null3"/>
              <w:jc w:val="both"/>
            </w:pPr>
            <w:r>
              <w:rPr>
                <w:rFonts w:ascii="仿宋_GB2312" w:hAnsi="仿宋_GB2312" w:cs="仿宋_GB2312" w:eastAsia="仿宋_GB2312"/>
                <w:sz w:val="21"/>
              </w:rPr>
              <w:t>7、《城镇燃气设计规范》</w:t>
            </w:r>
            <w:r>
              <w:rPr>
                <w:rFonts w:ascii="仿宋_GB2312" w:hAnsi="仿宋_GB2312" w:cs="仿宋_GB2312" w:eastAsia="仿宋_GB2312"/>
                <w:sz w:val="21"/>
              </w:rPr>
              <w:t>GB50028-2006(2020年版)</w:t>
            </w:r>
          </w:p>
          <w:p>
            <w:pPr>
              <w:pStyle w:val="null3"/>
              <w:jc w:val="both"/>
            </w:pPr>
            <w:r>
              <w:rPr>
                <w:rFonts w:ascii="仿宋_GB2312" w:hAnsi="仿宋_GB2312" w:cs="仿宋_GB2312" w:eastAsia="仿宋_GB2312"/>
                <w:sz w:val="21"/>
              </w:rPr>
              <w:t>8、《燃气工程项目规范》</w:t>
            </w:r>
            <w:r>
              <w:rPr>
                <w:rFonts w:ascii="仿宋_GB2312" w:hAnsi="仿宋_GB2312" w:cs="仿宋_GB2312" w:eastAsia="仿宋_GB2312"/>
                <w:sz w:val="21"/>
              </w:rPr>
              <w:t>GB55009-2021</w:t>
            </w:r>
          </w:p>
          <w:p>
            <w:pPr>
              <w:pStyle w:val="null3"/>
              <w:jc w:val="both"/>
            </w:pPr>
            <w:r>
              <w:rPr>
                <w:rFonts w:ascii="仿宋_GB2312" w:hAnsi="仿宋_GB2312" w:cs="仿宋_GB2312" w:eastAsia="仿宋_GB2312"/>
                <w:sz w:val="21"/>
              </w:rPr>
              <w:t>9、《城市工程管线综合规划规范》</w:t>
            </w:r>
            <w:r>
              <w:rPr>
                <w:rFonts w:ascii="仿宋_GB2312" w:hAnsi="仿宋_GB2312" w:cs="仿宋_GB2312" w:eastAsia="仿宋_GB2312"/>
                <w:sz w:val="21"/>
              </w:rPr>
              <w:t>GB50289-2016</w:t>
            </w:r>
          </w:p>
          <w:p>
            <w:pPr>
              <w:pStyle w:val="null3"/>
              <w:jc w:val="both"/>
            </w:pPr>
            <w:r>
              <w:rPr>
                <w:rFonts w:ascii="仿宋_GB2312" w:hAnsi="仿宋_GB2312" w:cs="仿宋_GB2312" w:eastAsia="仿宋_GB2312"/>
                <w:sz w:val="21"/>
              </w:rPr>
              <w:t>10、《城市给水工程规划规范》</w:t>
            </w:r>
            <w:r>
              <w:rPr>
                <w:rFonts w:ascii="仿宋_GB2312" w:hAnsi="仿宋_GB2312" w:cs="仿宋_GB2312" w:eastAsia="仿宋_GB2312"/>
                <w:sz w:val="21"/>
              </w:rPr>
              <w:t>GB 50282-2016</w:t>
            </w:r>
          </w:p>
          <w:p>
            <w:pPr>
              <w:pStyle w:val="null3"/>
              <w:jc w:val="both"/>
            </w:pPr>
            <w:r>
              <w:rPr>
                <w:rFonts w:ascii="仿宋_GB2312" w:hAnsi="仿宋_GB2312" w:cs="仿宋_GB2312" w:eastAsia="仿宋_GB2312"/>
                <w:sz w:val="21"/>
              </w:rPr>
              <w:t>11、《建筑给水排水设计标准》</w:t>
            </w:r>
            <w:r>
              <w:rPr>
                <w:rFonts w:ascii="仿宋_GB2312" w:hAnsi="仿宋_GB2312" w:cs="仿宋_GB2312" w:eastAsia="仿宋_GB2312"/>
                <w:sz w:val="21"/>
              </w:rPr>
              <w:t>GB 50015-2019</w:t>
            </w:r>
          </w:p>
          <w:p>
            <w:pPr>
              <w:pStyle w:val="null3"/>
              <w:jc w:val="both"/>
            </w:pPr>
            <w:r>
              <w:rPr>
                <w:rFonts w:ascii="仿宋_GB2312" w:hAnsi="仿宋_GB2312" w:cs="仿宋_GB2312" w:eastAsia="仿宋_GB2312"/>
                <w:sz w:val="21"/>
              </w:rPr>
              <w:t>12、《室外给水设计标准》</w:t>
            </w:r>
            <w:r>
              <w:rPr>
                <w:rFonts w:ascii="仿宋_GB2312" w:hAnsi="仿宋_GB2312" w:cs="仿宋_GB2312" w:eastAsia="仿宋_GB2312"/>
                <w:sz w:val="21"/>
              </w:rPr>
              <w:t>GB 50013-2018</w:t>
            </w:r>
          </w:p>
          <w:p>
            <w:pPr>
              <w:pStyle w:val="null3"/>
              <w:jc w:val="both"/>
            </w:pPr>
            <w:r>
              <w:rPr>
                <w:rFonts w:ascii="仿宋_GB2312" w:hAnsi="仿宋_GB2312" w:cs="仿宋_GB2312" w:eastAsia="仿宋_GB2312"/>
                <w:sz w:val="21"/>
              </w:rPr>
              <w:t>13、《室外排水设计标准》</w:t>
            </w:r>
            <w:r>
              <w:rPr>
                <w:rFonts w:ascii="仿宋_GB2312" w:hAnsi="仿宋_GB2312" w:cs="仿宋_GB2312" w:eastAsia="仿宋_GB2312"/>
                <w:sz w:val="21"/>
              </w:rPr>
              <w:t>GB 50014-2021</w:t>
            </w:r>
          </w:p>
          <w:p>
            <w:pPr>
              <w:pStyle w:val="null3"/>
              <w:jc w:val="both"/>
            </w:pPr>
            <w:r>
              <w:rPr>
                <w:rFonts w:ascii="仿宋_GB2312" w:hAnsi="仿宋_GB2312" w:cs="仿宋_GB2312" w:eastAsia="仿宋_GB2312"/>
                <w:sz w:val="21"/>
              </w:rPr>
              <w:t>14、《建筑灭火器配置设计规范》</w:t>
            </w:r>
            <w:r>
              <w:rPr>
                <w:rFonts w:ascii="仿宋_GB2312" w:hAnsi="仿宋_GB2312" w:cs="仿宋_GB2312" w:eastAsia="仿宋_GB2312"/>
                <w:sz w:val="21"/>
              </w:rPr>
              <w:t>GB50140-2005</w:t>
            </w:r>
          </w:p>
          <w:p>
            <w:pPr>
              <w:pStyle w:val="null3"/>
              <w:jc w:val="both"/>
            </w:pPr>
            <w:r>
              <w:rPr>
                <w:rFonts w:ascii="仿宋_GB2312" w:hAnsi="仿宋_GB2312" w:cs="仿宋_GB2312" w:eastAsia="仿宋_GB2312"/>
                <w:sz w:val="21"/>
              </w:rPr>
              <w:t>15、《消防给水及消火栓系统技术规范》</w:t>
            </w:r>
            <w:r>
              <w:rPr>
                <w:rFonts w:ascii="仿宋_GB2312" w:hAnsi="仿宋_GB2312" w:cs="仿宋_GB2312" w:eastAsia="仿宋_GB2312"/>
                <w:sz w:val="21"/>
              </w:rPr>
              <w:t>GB50974-2014</w:t>
            </w:r>
          </w:p>
          <w:p>
            <w:pPr>
              <w:pStyle w:val="null3"/>
            </w:pPr>
            <w:r>
              <w:rPr>
                <w:rFonts w:ascii="仿宋_GB2312" w:hAnsi="仿宋_GB2312" w:cs="仿宋_GB2312" w:eastAsia="仿宋_GB2312"/>
                <w:sz w:val="21"/>
              </w:rPr>
              <w:t>16、《城镇供热管网设计规范》</w:t>
            </w:r>
            <w:r>
              <w:rPr>
                <w:rFonts w:ascii="仿宋_GB2312" w:hAnsi="仿宋_GB2312" w:cs="仿宋_GB2312" w:eastAsia="仿宋_GB2312"/>
                <w:sz w:val="21"/>
              </w:rPr>
              <w:t>CJJ 34-2010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after="120"/>
              <w:jc w:val="both"/>
            </w:pPr>
            <w:r>
              <w:rPr>
                <w:rFonts w:ascii="仿宋_GB2312" w:hAnsi="仿宋_GB2312" w:cs="仿宋_GB2312" w:eastAsia="仿宋_GB2312"/>
                <w:sz w:val="21"/>
              </w:rPr>
              <w:t>四、商务要求</w:t>
            </w:r>
          </w:p>
          <w:p>
            <w:pPr>
              <w:pStyle w:val="null3"/>
              <w:jc w:val="both"/>
            </w:pPr>
            <w:r>
              <w:rPr>
                <w:rFonts w:ascii="仿宋_GB2312" w:hAnsi="仿宋_GB2312" w:cs="仿宋_GB2312" w:eastAsia="仿宋_GB2312"/>
                <w:sz w:val="21"/>
              </w:rPr>
              <w:t>（一）服务期限</w:t>
            </w:r>
          </w:p>
          <w:p>
            <w:pPr>
              <w:pStyle w:val="null3"/>
              <w:jc w:val="both"/>
            </w:pPr>
            <w:r>
              <w:rPr>
                <w:rFonts w:ascii="仿宋_GB2312" w:hAnsi="仿宋_GB2312" w:cs="仿宋_GB2312" w:eastAsia="仿宋_GB2312"/>
                <w:sz w:val="21"/>
              </w:rPr>
              <w:t>自合同签订之日起</w:t>
            </w:r>
            <w:r>
              <w:rPr>
                <w:rFonts w:ascii="仿宋_GB2312" w:hAnsi="仿宋_GB2312" w:cs="仿宋_GB2312" w:eastAsia="仿宋_GB2312"/>
                <w:sz w:val="21"/>
              </w:rPr>
              <w:t>90</w:t>
            </w:r>
            <w:r>
              <w:rPr>
                <w:rFonts w:ascii="仿宋_GB2312" w:hAnsi="仿宋_GB2312" w:cs="仿宋_GB2312" w:eastAsia="仿宋_GB2312"/>
                <w:sz w:val="21"/>
              </w:rPr>
              <w:t>日历天。</w:t>
            </w:r>
          </w:p>
          <w:p>
            <w:pPr>
              <w:pStyle w:val="null3"/>
              <w:jc w:val="both"/>
            </w:pPr>
            <w:r>
              <w:rPr>
                <w:rFonts w:ascii="仿宋_GB2312" w:hAnsi="仿宋_GB2312" w:cs="仿宋_GB2312" w:eastAsia="仿宋_GB2312"/>
                <w:sz w:val="21"/>
              </w:rPr>
              <w:t>（二）服务地点：采购人指定地点。</w:t>
            </w:r>
          </w:p>
          <w:p>
            <w:pPr>
              <w:pStyle w:val="null3"/>
            </w:pPr>
            <w:r>
              <w:rPr>
                <w:rFonts w:ascii="仿宋_GB2312" w:hAnsi="仿宋_GB2312" w:cs="仿宋_GB2312" w:eastAsia="仿宋_GB2312"/>
                <w:sz w:val="21"/>
              </w:rPr>
              <w:t>（三）付款方式</w:t>
            </w:r>
          </w:p>
          <w:p>
            <w:pPr>
              <w:pStyle w:val="null3"/>
              <w:ind w:firstLine="420"/>
            </w:pPr>
            <w:r>
              <w:rPr>
                <w:rFonts w:ascii="仿宋_GB2312" w:hAnsi="仿宋_GB2312" w:cs="仿宋_GB2312" w:eastAsia="仿宋_GB2312"/>
                <w:sz w:val="21"/>
              </w:rPr>
              <w:t>全部成果文件交付甲方</w:t>
            </w:r>
            <w:r>
              <w:rPr>
                <w:rFonts w:ascii="仿宋_GB2312" w:hAnsi="仿宋_GB2312" w:cs="仿宋_GB2312" w:eastAsia="仿宋_GB2312"/>
                <w:sz w:val="21"/>
              </w:rPr>
              <w:t>，经甲方对成果文件验收合格后支付合同总金额的90%；待项目竣工验收合格后支付剩余的10%。</w:t>
            </w:r>
          </w:p>
          <w:p>
            <w:pPr>
              <w:pStyle w:val="null3"/>
              <w:ind w:firstLine="420"/>
              <w:jc w:val="both"/>
            </w:pPr>
            <w:r>
              <w:rPr>
                <w:rFonts w:ascii="仿宋_GB2312" w:hAnsi="仿宋_GB2312" w:cs="仿宋_GB2312" w:eastAsia="仿宋_GB2312"/>
                <w:sz w:val="21"/>
              </w:rPr>
              <w:t>付款采用银行转账方式。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五、其他</w:t>
            </w:r>
          </w:p>
          <w:p>
            <w:pPr>
              <w:pStyle w:val="null3"/>
              <w:spacing w:after="120"/>
              <w:jc w:val="both"/>
            </w:pPr>
            <w:r>
              <w:rPr>
                <w:rFonts w:ascii="仿宋_GB2312" w:hAnsi="仿宋_GB2312" w:cs="仿宋_GB2312" w:eastAsia="仿宋_GB2312"/>
                <w:sz w:val="21"/>
              </w:rPr>
              <w:t>（一）进度及成果交付要求</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1）提交初步设计文件及概算送审稿3份；根据发包人和上级主管部门审查意见，对初步设计文件进行修改完善，并提交初步设计文件修编稿6份；</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初步设计</w:t>
            </w:r>
            <w:r>
              <w:rPr>
                <w:rFonts w:ascii="仿宋_GB2312" w:hAnsi="仿宋_GB2312" w:cs="仿宋_GB2312" w:eastAsia="仿宋_GB2312"/>
                <w:sz w:val="21"/>
              </w:rPr>
              <w:t>最终成果要求：设计阶段包含初步设计，按阶段提供初设说明和初设图纸、概算</w:t>
            </w:r>
            <w:r>
              <w:rPr>
                <w:rFonts w:ascii="仿宋_GB2312" w:hAnsi="仿宋_GB2312" w:cs="仿宋_GB2312" w:eastAsia="仿宋_GB2312"/>
                <w:sz w:val="21"/>
              </w:rPr>
              <w:t>6份，电子版文件（U 盘内）3 份。</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3）施工图设计</w:t>
            </w:r>
            <w:r>
              <w:rPr>
                <w:rFonts w:ascii="仿宋_GB2312" w:hAnsi="仿宋_GB2312" w:cs="仿宋_GB2312" w:eastAsia="仿宋_GB2312"/>
                <w:sz w:val="21"/>
              </w:rPr>
              <w:t>最终成果要求：</w:t>
            </w:r>
            <w:r>
              <w:rPr>
                <w:rFonts w:ascii="仿宋_GB2312" w:hAnsi="仿宋_GB2312" w:cs="仿宋_GB2312" w:eastAsia="仿宋_GB2312"/>
                <w:sz w:val="21"/>
              </w:rPr>
              <w:t>提交</w:t>
            </w:r>
            <w:r>
              <w:rPr>
                <w:rFonts w:ascii="仿宋_GB2312" w:hAnsi="仿宋_GB2312" w:cs="仿宋_GB2312" w:eastAsia="仿宋_GB2312"/>
                <w:sz w:val="21"/>
              </w:rPr>
              <w:t>折叠蓝图</w:t>
            </w:r>
            <w:r>
              <w:rPr>
                <w:rFonts w:ascii="仿宋_GB2312" w:hAnsi="仿宋_GB2312" w:cs="仿宋_GB2312" w:eastAsia="仿宋_GB2312"/>
                <w:sz w:val="21"/>
              </w:rPr>
              <w:t>8份</w:t>
            </w:r>
            <w:r>
              <w:rPr>
                <w:rFonts w:ascii="仿宋_GB2312" w:hAnsi="仿宋_GB2312" w:cs="仿宋_GB2312" w:eastAsia="仿宋_GB2312"/>
                <w:sz w:val="21"/>
              </w:rPr>
              <w:t>，</w:t>
            </w:r>
            <w:r>
              <w:rPr>
                <w:rFonts w:ascii="仿宋_GB2312" w:hAnsi="仿宋_GB2312" w:cs="仿宋_GB2312" w:eastAsia="仿宋_GB2312"/>
                <w:sz w:val="21"/>
              </w:rPr>
              <w:t>电子版文件（</w:t>
            </w:r>
            <w:r>
              <w:rPr>
                <w:rFonts w:ascii="仿宋_GB2312" w:hAnsi="仿宋_GB2312" w:cs="仿宋_GB2312" w:eastAsia="仿宋_GB2312"/>
                <w:sz w:val="21"/>
              </w:rPr>
              <w:t>U 盘内）3 份。</w:t>
            </w:r>
          </w:p>
          <w:p>
            <w:pPr>
              <w:pStyle w:val="null3"/>
              <w:spacing w:after="120"/>
              <w:jc w:val="both"/>
            </w:pPr>
            <w:r>
              <w:rPr>
                <w:rFonts w:ascii="仿宋_GB2312" w:hAnsi="仿宋_GB2312" w:cs="仿宋_GB2312" w:eastAsia="仿宋_GB2312"/>
                <w:sz w:val="21"/>
              </w:rPr>
              <w:t>（二）质量验收标准或规范</w:t>
            </w:r>
          </w:p>
          <w:p>
            <w:pPr>
              <w:pStyle w:val="null3"/>
              <w:spacing w:after="120"/>
              <w:jc w:val="both"/>
            </w:pPr>
            <w:r>
              <w:rPr>
                <w:rFonts w:ascii="仿宋_GB2312" w:hAnsi="仿宋_GB2312" w:cs="仿宋_GB2312" w:eastAsia="仿宋_GB2312"/>
                <w:sz w:val="21"/>
              </w:rPr>
              <w:t>质量标准</w:t>
            </w:r>
            <w:r>
              <w:rPr>
                <w:rFonts w:ascii="仿宋_GB2312" w:hAnsi="仿宋_GB2312" w:cs="仿宋_GB2312" w:eastAsia="仿宋_GB2312"/>
                <w:sz w:val="21"/>
              </w:rPr>
              <w:t>：</w:t>
            </w:r>
            <w:r>
              <w:rPr>
                <w:rFonts w:ascii="仿宋_GB2312" w:hAnsi="仿宋_GB2312" w:cs="仿宋_GB2312" w:eastAsia="仿宋_GB2312"/>
                <w:sz w:val="21"/>
              </w:rPr>
              <w:t>达到国家相关规范要求。</w:t>
            </w:r>
          </w:p>
          <w:p>
            <w:pPr>
              <w:pStyle w:val="null3"/>
              <w:spacing w:after="120"/>
              <w:jc w:val="both"/>
            </w:pPr>
            <w:r>
              <w:rPr>
                <w:rFonts w:ascii="仿宋_GB2312" w:hAnsi="仿宋_GB2312" w:cs="仿宋_GB2312" w:eastAsia="仿宋_GB2312"/>
                <w:sz w:val="21"/>
              </w:rPr>
              <w:t>（三）违约责任</w:t>
            </w:r>
          </w:p>
          <w:p>
            <w:pPr>
              <w:pStyle w:val="null3"/>
            </w:pPr>
            <w:r>
              <w:rPr>
                <w:rFonts w:ascii="仿宋_GB2312" w:hAnsi="仿宋_GB2312" w:cs="仿宋_GB2312" w:eastAsia="仿宋_GB2312"/>
                <w:sz w:val="21"/>
              </w:rPr>
              <w:t>按照《中华人民共和国民法典》中的相关条款执行。供应商未按合同要求提供货物与服务或货物与服务质量不符合合同约定的，采购人有权终止合同，对采购人造成损失的，采购人有权进行追责。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须配备项目负责人1人，其他人员满足项目需求；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满足国家、省、市相关规定及行业现行技术标准、规范要求。 本项目的验收以项目采购文件、响应文件、合同书、需求设计和相关政策法规等作为验收依据，验收前须提供详细的方案，经采购人确认后方可执行。验收合格后，双方签署验收报告。如对服务以及质量有争议，采购人组织相关部门对服务和质量进行检验或者验收，未达到服务要求的，由成交单位承担全部责任。若验收不通过，采购人提出整改意见，成交单位须按照意见提出具体解决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进度款，全部成果文件交付甲方，经甲方对成果文件验收合格后，达到付款条件起7个工作日内，支付合同总金额的90.0%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进度款，待项目竣工验收合格后，达到付款条件起7个工作日内，支付合同总金额的10.0%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按照《中华人民共和国民法典》中的相关条款执行。供应商未按合同要求提供服务与服务质量不符合合同约定的，采购人有权终止合同，对采购人造成损失的，采购人有权进行追责。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供应商具有独立承担民事责任能力，提供有效的主体资格证明：供应商为合法注册的法人、其他组织或自然人，具有独立承担民事责任的能力，提供统一社会信用代码的营业执照（或事业法人证或其他合法证明文件）。 2.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 3.税收缴纳证明：提供磋商截止日前六个月内已缴纳的至少一个月的依法缴纳税收的相关凭据(时间以税款所属日期为准、税种须包含增值税或企业所得税)，凭据应有税务机关或代收机关的公章或业务专用章；依法免税或无须缴纳税收的供应商，应提供相应证明文件； 4.社会保障资金缴纳证明：提供投标截止日前六个月内已缴存的至少一个月的社会保障资金缴存单据或社保机构开具的社会保险参保缴费情况证明或税务机关出具的完税证明，依法不需要缴纳社会保障资金的单位应提供相关证明材料。 5.参加本次政府采购活动前3年内在经营活动中没有重大违法记录，以及未被列入严重失信主体、重大税收违法失信主体、政府采购严重违法失信行为记录名单的书面声明。 6.提供具有履行合同所必需的设备和专业技术能力的承诺（提供承诺函）。供应商需在项目电子化交易系统中按要求填写《投标函》完成承诺并进行电子签章。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具有建设行政主管部门颁发的工程设计综合甲级资质或工程设计建筑行业乙级及以上或建筑行业（建筑工程）专业设计乙级及以上资质。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拟派设计项目负责人须具备一级注册建筑师执业资格，且在本单位注册，提供响应文件递交截止时间前三个月内任意一个月供应商为其缴纳的社会保险证明材料。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法定代表人直接参加磋商的，须提供法定代表人身份证明，非法定代表人参加磋商的，须提供法定代表人授权委托书及被授权人身份证复印件（或扫描件）。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严重失信主体名单、重大税收违法失信主体、失信被执行人的供应商，不得为中国政府采购网（www.ccgp.gov.cn）政府采购严重违法失信行为记录名单中被财政部门禁止参加政府采购活动的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供应商名称与营业执照、资质证书名称一致；</w:t>
            </w:r>
          </w:p>
        </w:tc>
        <w:tc>
          <w:tcPr>
            <w:tcW w:type="dxa" w:w="1661"/>
          </w:tcPr>
          <w:p>
            <w:pPr>
              <w:pStyle w:val="null3"/>
            </w:pPr>
            <w:r>
              <w:rPr>
                <w:rFonts w:ascii="仿宋_GB2312" w:hAnsi="仿宋_GB2312" w:cs="仿宋_GB2312" w:eastAsia="仿宋_GB2312"/>
              </w:rPr>
              <w:t>项目组人员配备.docx 服务内容及服务要求偏离表.docx 中小企业声明函 供应商业绩一览表.docx 报价表 资格证明文件.docx 其他.docx 响应文件封面 残疾人福利性单位声明函 服务方案 标的清单 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响应文件签字盖章齐全，符合磋商文件要求</w:t>
            </w:r>
          </w:p>
        </w:tc>
        <w:tc>
          <w:tcPr>
            <w:tcW w:type="dxa" w:w="1661"/>
          </w:tcPr>
          <w:p>
            <w:pPr>
              <w:pStyle w:val="null3"/>
            </w:pPr>
            <w:r>
              <w:rPr>
                <w:rFonts w:ascii="仿宋_GB2312" w:hAnsi="仿宋_GB2312" w:cs="仿宋_GB2312" w:eastAsia="仿宋_GB2312"/>
              </w:rPr>
              <w:t>项目组人员配备.docx 服务内容及服务要求偏离表.docx 中小企业声明函 供应商业绩一览表.docx 报价表 资格证明文件.docx 其他.docx 响应文件封面 残疾人福利性单位声明函 服务方案 标的清单 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响应报价唯一有效，且未超过项目采购预算（或招标最高限价）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设计思路</w:t>
            </w:r>
          </w:p>
        </w:tc>
        <w:tc>
          <w:tcPr>
            <w:tcW w:type="dxa" w:w="2492"/>
          </w:tcPr>
          <w:p>
            <w:pPr>
              <w:pStyle w:val="null3"/>
            </w:pPr>
            <w:r>
              <w:rPr>
                <w:rFonts w:ascii="仿宋_GB2312" w:hAnsi="仿宋_GB2312" w:cs="仿宋_GB2312" w:eastAsia="仿宋_GB2312"/>
              </w:rPr>
              <w:t>1、设计思路准确，表述清晰、严谨、合理的得10分； 2、设计思路准确性较好，表述较为清晰、严谨、合理性较好的得8分； 3、设计思路基本准确，表述基本清晰、基本严谨、合理的得6分； 4、设计思路不准确，表述不清晰、欠缺严谨、合理性的得4 分； 5、设计思路脱离实际，可行性差、合理性的得2分； 6、未提供设计思路或设计思路脱离实际的不得分。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1、工作计划及进度清晰完善，进度安排合理明确，操作性强，得8分； 2、工作计划及进度较为完善，进度安排有实施性，操作性，得6分； 3、工作计划及进度基本完善，进度安排有一定的实施性，操作性，得4分； 4、工作计划及进度简单笼统，无针对性，得2分；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1、质量保障措施清晰完善，安排合理明确，操作性强，得8分； 2、质量保障措施较为完善，安排有实施性，操作性，得6分； 3、质量保障措施基本完善，安排有一定的实施性，操作性，得4分； 4、质量保障措施简单笼统，无针对性，得2分；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根据本项目的服务内容，做出切实可行的服务承诺，确保项目能按时按质完成，达到服务要求且能保证项目质量。 1、承诺内容清晰、承诺指标明确，后续服务具有可延续性，计5分； 2、承诺及措施科学合理，基本满足项目需求，计3分； 3、承诺及措施不合理，不能满足项目需求，计1分； 4、不提供不得分。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后期配合措施</w:t>
            </w:r>
          </w:p>
        </w:tc>
        <w:tc>
          <w:tcPr>
            <w:tcW w:type="dxa" w:w="2492"/>
          </w:tcPr>
          <w:p>
            <w:pPr>
              <w:pStyle w:val="null3"/>
            </w:pPr>
            <w:r>
              <w:rPr>
                <w:rFonts w:ascii="仿宋_GB2312" w:hAnsi="仿宋_GB2312" w:cs="仿宋_GB2312" w:eastAsia="仿宋_GB2312"/>
              </w:rPr>
              <w:t>服务期内，与采购人配合，指导建设，并协助采购人优化完善项目建设等方面的服务措施。 1.提供的配合措施内容完善，高效合理，计 5分； 2.提供的配合措施内容基本满足需求，计 3分； 3.提供的配合措施一般较合理，计1分；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造价控制措施</w:t>
            </w:r>
          </w:p>
        </w:tc>
        <w:tc>
          <w:tcPr>
            <w:tcW w:type="dxa" w:w="2492"/>
          </w:tcPr>
          <w:p>
            <w:pPr>
              <w:pStyle w:val="null3"/>
            </w:pPr>
            <w:r>
              <w:rPr>
                <w:rFonts w:ascii="仿宋_GB2312" w:hAnsi="仿宋_GB2312" w:cs="仿宋_GB2312" w:eastAsia="仿宋_GB2312"/>
              </w:rPr>
              <w:t>1、造价控制措施全面详细，科学实用、合理性强、可操作性强且完全有利于本采购项目的得8分； 2、造价控制措施较为全面详细，具有一定科学实用性、合理性较好、可操作性较强基本有利于本采购项目的得 6分； 3、造价控制措施完备性一般，方案合理性一般、可操作性低或需要优化后才能基本满足项目需要的得4分； 4、造价控制措施完备性欠缺，方案合理性欠缺、可操作性低或欠缺的得2分； 5、未提供措施或措施完全脱离项目实际的不得分。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1、重点、难点把握准确，分析透彻、描述详尽且与实际情况符合、有对应的解决方案且解决方案针对性强，科学合理可行、能有效提高服务效率的得8分； 2、重点、难点把握基本准确，分析较为透彻、描述较为详尽与实际情况基本符合、有对应的解决方案且解决方案针对性较强强，较为科学合理可行、能提高服务效率的得6分； 3、重点、难点分析基本透彻、描述基本详细且与实际情况符合、但只有部分问题有解决措施方案的得4分； 4、重点、难点分析不详细且与实际情况符合程度一般，发现问题简单、缺少解决措施方案或措施内容空泛的得2分； 5、未提供重点、难点分析或重点难点分析脱离实际的不得分。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供应商针对本项目制作各阶段工作流程。包括前期准备、报告编制、报告审核、修改与最终上报等。 1.方案内容全面，完整性高，实施步骤清晰、合理，能够紧扣项目实际情况，计5分； 2.方案内容基本满足需求，实施步骤明确，计 3分； 3.方案内容一般，实施步骤粗略，计1分；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风险控制</w:t>
            </w:r>
          </w:p>
        </w:tc>
        <w:tc>
          <w:tcPr>
            <w:tcW w:type="dxa" w:w="2492"/>
          </w:tcPr>
          <w:p>
            <w:pPr>
              <w:pStyle w:val="null3"/>
            </w:pPr>
            <w:r>
              <w:rPr>
                <w:rFonts w:ascii="仿宋_GB2312" w:hAnsi="仿宋_GB2312" w:cs="仿宋_GB2312" w:eastAsia="仿宋_GB2312"/>
              </w:rPr>
              <w:t>1、针对本项目提供风险控制方案，方案内容包含①风险识别及调查方法②风险化解措施。 2、方案内容全面详细、阐述条理清晰详尽、符合本项目采购需求得4分；以上分项每缺少一项内容扣2分； 3、有某一项不完整或不符合实际要求或不满足实施要求或套用其他项目内容的每项得1分；未提供不得分。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提供2023年1月1日至今（以签订合同时间为准）已完成的类似项目业绩证明材料，每提供 1 份有效业绩得2分，最高得8分。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1、项目负责人具有高级技术职称的，计1分。 2、项目负责人类似业绩：提供项目负责人近年（2023年1月起至今）的类似项目业绩，一项计1分，本项最高2分。未提供不得分。 注： 以加盖公章的业绩合同、中标通知书二者选一即可，体现项目负责人姓名，时间以签署日期为准。企业类似项目业绩和项目负责人类似项目业绩证明材料可重复赋分。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项目组人员配备.docx</w:t>
            </w:r>
          </w:p>
        </w:tc>
      </w:tr>
      <w:tr>
        <w:tc>
          <w:tcPr>
            <w:tcW w:type="dxa" w:w="831"/>
            <w:vMerge/>
          </w:tcPr>
          <w:p/>
        </w:tc>
        <w:tc>
          <w:tcPr>
            <w:tcW w:type="dxa" w:w="1661"/>
          </w:tcPr>
          <w:p>
            <w:pPr>
              <w:pStyle w:val="null3"/>
            </w:pPr>
            <w:r>
              <w:rPr>
                <w:rFonts w:ascii="仿宋_GB2312" w:hAnsi="仿宋_GB2312" w:cs="仿宋_GB2312" w:eastAsia="仿宋_GB2312"/>
              </w:rPr>
              <w:t>设计团队配置</w:t>
            </w:r>
          </w:p>
        </w:tc>
        <w:tc>
          <w:tcPr>
            <w:tcW w:type="dxa" w:w="2492"/>
          </w:tcPr>
          <w:p>
            <w:pPr>
              <w:pStyle w:val="null3"/>
            </w:pPr>
            <w:r>
              <w:rPr>
                <w:rFonts w:ascii="仿宋_GB2312" w:hAnsi="仿宋_GB2312" w:cs="仿宋_GB2312" w:eastAsia="仿宋_GB2312"/>
              </w:rPr>
              <w:t>1、团队配备合理、数量充足、职责明确、分工清晰、工作经历丰富、能够完全满足采购所需的得8分； 2、团队配备较为合理、数量充足、职责较为明确、分工较为清晰、工作经历较为丰富、但能满足采购所需的得6分； 3、团队配备基本合理、数量、职责、分工一般、缺少部分工作经历、勉强能满足基本采购所需的得4分； 4、团队配备不合理、数量无保证、职责、分工不明确、工作经历较少、不能够满足采购所需的得2分； 5、未提供人员配备方案或人员配备方案与项目实施无关的不得分。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项目组人员配备.docx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价格分统一采用低价优先法计算，即满足磋商文件要求的有效最终报价且磋商价格最低的评审报价为磋商基准价，其价格分为满分。其他供应商的价格分统一按照下列公式计算： 磋商报价得分=(评审基准价／最终磋商报价)×20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详见附件：供应商业绩一览表.docx</w:t>
      </w:r>
    </w:p>
    <w:p>
      <w:pPr>
        <w:pStyle w:val="null3"/>
        <w:ind w:firstLine="960"/>
      </w:pPr>
      <w:r>
        <w:rPr>
          <w:rFonts w:ascii="仿宋_GB2312" w:hAnsi="仿宋_GB2312" w:cs="仿宋_GB2312" w:eastAsia="仿宋_GB2312"/>
        </w:rPr>
        <w:t>详见附件：项目组人员配备.docx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