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版本号：ZBZG2026-0027720260611001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警用装备购置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ZBZG2026-00277</w:t>
      </w:r>
      <w:r>
        <w:br/>
      </w:r>
      <w:r>
        <w:br/>
      </w:r>
      <w:r>
        <w:br/>
      </w:r>
    </w:p>
    <w:p>
      <w:pPr>
        <w:pStyle w:val="null3"/>
        <w:jc w:val="center"/>
        <w:outlineLvl w:val="2"/>
      </w:pPr>
      <w:r>
        <w:rPr>
          <w:rFonts w:ascii="仿宋_GB2312" w:hAnsi="仿宋_GB2312" w:cs="仿宋_GB2312" w:eastAsia="仿宋_GB2312"/>
          <w:sz w:val="28"/>
          <w:b/>
        </w:rPr>
        <w:t>陕西省宝鸡监狱</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陕西省宝鸡监狱</w:t>
      </w:r>
      <w:r>
        <w:rPr>
          <w:rFonts w:ascii="仿宋_GB2312" w:hAnsi="仿宋_GB2312" w:cs="仿宋_GB2312" w:eastAsia="仿宋_GB2312"/>
        </w:rPr>
        <w:t>委托，拟对</w:t>
      </w:r>
      <w:r>
        <w:rPr>
          <w:rFonts w:ascii="仿宋_GB2312" w:hAnsi="仿宋_GB2312" w:cs="仿宋_GB2312" w:eastAsia="仿宋_GB2312"/>
        </w:rPr>
        <w:t>警用装备购置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ZBZG2026-00277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警用装备购置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警用装备购置项目主要包含：执法记录仪采集箱、执法记录仪、催泪瓦斯、手铐、单警手电、多功能战术背心、拒马桩、伸缩警棍。具体见采购清单。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采购包1（警用装备购置）：属于专门面向中小企业采购。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1、法人授权委托书：法定代表人或单位负责人投标的，应提供法定代表人或单位负责人身份证明；授权代表投标的，应提供法定代表人或单位负责人身份证明、授权委托书及授权代表身份证明。</w:t>
      </w:r>
    </w:p>
    <w:p>
      <w:pPr>
        <w:pStyle w:val="null3"/>
      </w:pPr>
      <w:r>
        <w:rPr>
          <w:rFonts w:ascii="仿宋_GB2312" w:hAnsi="仿宋_GB2312" w:cs="仿宋_GB2312" w:eastAsia="仿宋_GB2312"/>
        </w:rPr>
        <w:t>2、信用信息：供应商未被列入“信用中国”网站(www.creditchina.g ov.cn)“失信被执行人或重大税收违法失信主体或政府 采购严重违法失信行为”记录名单； 不处于中国政府采 购网(www.ccgp.gov.cn)“政府采购严重违法失信行为信息记录”中的禁止参加政府采购活动期间。（以采购代理机构于递交投标文件截止时间当天进行资格审查时在“信用中国”网 （www.creditchina.gov.cn）及中国政府采购网(www.ccgp.gov.cn)查询结果为准） 。</w:t>
      </w:r>
    </w:p>
    <w:p>
      <w:pPr>
        <w:pStyle w:val="null3"/>
      </w:pPr>
      <w:r>
        <w:rPr>
          <w:rFonts w:ascii="仿宋_GB2312" w:hAnsi="仿宋_GB2312" w:cs="仿宋_GB2312" w:eastAsia="仿宋_GB2312"/>
        </w:rPr>
        <w:t>3、联合体投标：不允许联合体投标，提供非联合体投标声明。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陕西省宝鸡监狱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陕西省宝鸡市金台区宝平路52号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徐诗扬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0917-3880091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西安市雁塔区曲江新区雁展路1111号莱安中⼼T3-16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代理服务费收费标准：招标代理费参照国家计委颁布的&lt;&lt;招标代理服务收费管理暂行办法&gt;&gt;（计价格［2002］1980号）及发改办价格［2003］857号文件的规定标准下浮10%收取招标代理服务费。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陕西省宝鸡监狱</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陕西省宝鸡监狱</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陕西省宝鸡监狱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国家现行的质量标准。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联系电话：18629048076</w:t>
      </w:r>
    </w:p>
    <w:p>
      <w:pPr>
        <w:pStyle w:val="null3"/>
      </w:pPr>
      <w:r>
        <w:rPr>
          <w:rFonts w:ascii="仿宋_GB2312" w:hAnsi="仿宋_GB2312" w:cs="仿宋_GB2312" w:eastAsia="仿宋_GB2312"/>
        </w:rPr>
        <w:t>地址：西安市雁塔区曲江新区雁展路1111号莱安中心T3-16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警用装备购置主要包含：执法记录仪采集箱、执法记录仪、催泪瓦斯、手铐、单警手电、多功能战术背心、拒马桩、伸缩警棍。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警用装备购置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标的名称：警用装备购置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3"/>
              <w:gridCol w:w="397"/>
              <w:gridCol w:w="1570"/>
              <w:gridCol w:w="111"/>
              <w:gridCol w:w="132"/>
              <w:gridCol w:w="223"/>
            </w:tblGrid>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技术参数及要求</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执法记录仪采集箱</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1、外观尺寸：便携桌面式，上下翻盖带锁，机身及上盖整体尺寸≤560mm*325mm*160mm。（长*宽*高）重量：≤8.5Kg。</w:t>
                  </w:r>
                  <w:r>
                    <w:br/>
                  </w:r>
                  <w:r>
                    <w:rPr>
                      <w:rFonts w:ascii="仿宋_GB2312" w:hAnsi="仿宋_GB2312" w:cs="仿宋_GB2312" w:eastAsia="仿宋_GB2312"/>
                      <w:sz w:val="19"/>
                      <w:color w:val="000000"/>
                    </w:rPr>
                    <w:t xml:space="preserve"> 2、▲接入能力：同时接入≥10台执法记录仪。独立舱位≥10个。可放入现有执法记录仪后合盖后上锁</w:t>
                  </w:r>
                  <w:r>
                    <w:br/>
                  </w:r>
                  <w:r>
                    <w:rPr>
                      <w:rFonts w:ascii="仿宋_GB2312" w:hAnsi="仿宋_GB2312" w:cs="仿宋_GB2312" w:eastAsia="仿宋_GB2312"/>
                      <w:sz w:val="19"/>
                      <w:color w:val="000000"/>
                    </w:rPr>
                    <w:t xml:space="preserve"> 3、▲显示屏：触摸显示屏，屏幕分辨率应≥1280X800。显示屏对角线尺寸应≥10英寸，显示屏支持10点触控操作。</w:t>
                  </w:r>
                  <w:r>
                    <w:br/>
                  </w:r>
                  <w:r>
                    <w:rPr>
                      <w:rFonts w:ascii="仿宋_GB2312" w:hAnsi="仿宋_GB2312" w:cs="仿宋_GB2312" w:eastAsia="仿宋_GB2312"/>
                      <w:sz w:val="19"/>
                      <w:color w:val="000000"/>
                    </w:rPr>
                    <w:t xml:space="preserve"> 4、工作噪声：执法数据采集设备在正常工作条件下的工作噪声≤40dB(A)。</w:t>
                  </w:r>
                  <w:r>
                    <w:br/>
                  </w:r>
                  <w:r>
                    <w:rPr>
                      <w:rFonts w:ascii="仿宋_GB2312" w:hAnsi="仿宋_GB2312" w:cs="仿宋_GB2312" w:eastAsia="仿宋_GB2312"/>
                      <w:sz w:val="19"/>
                      <w:color w:val="000000"/>
                    </w:rPr>
                    <w:t xml:space="preserve"> 5、故障报警功能检验：当执法数据采集设备产生网络中断、存储器溢出等异常情况时，3s 内在本地同时发出可听和可见报警指示。可听报警指示的声压应介于65dB (A)-90dB（A）范围内，持续时间＞5min，报警期间可通过人工干预撤除可听报警指示，当有新的报警产生时，能重新发出可听报警指示。可见报警指示保持到故障完全恢复后才可消失</w:t>
                  </w:r>
                  <w:r>
                    <w:br/>
                  </w:r>
                  <w:r>
                    <w:rPr>
                      <w:rFonts w:ascii="仿宋_GB2312" w:hAnsi="仿宋_GB2312" w:cs="仿宋_GB2312" w:eastAsia="仿宋_GB2312"/>
                      <w:sz w:val="19"/>
                      <w:color w:val="000000"/>
                    </w:rPr>
                    <w:t xml:space="preserve"> 6、▲稳定性：稳定性试验：执法数据采集设备在正常工作条件下，连续工作≥240h，每间隔 24h 在满负荷条件进行不少于2h 的数据采集，不出现电气、机械或软件的故障。</w:t>
                  </w:r>
                  <w:r>
                    <w:br/>
                  </w:r>
                  <w:r>
                    <w:rPr>
                      <w:rFonts w:ascii="仿宋_GB2312" w:hAnsi="仿宋_GB2312" w:cs="仿宋_GB2312" w:eastAsia="仿宋_GB2312"/>
                      <w:sz w:val="19"/>
                      <w:color w:val="000000"/>
                    </w:rPr>
                    <w:t xml:space="preserve"> 7、采用身份鉴别机制：支持用户名和密码作为基本的身份鉴别方式。用户名应唯一，密码不少于8位加密存储。登录失败锁定功能：启用登录失败锁定机制，限制连续登录失败次数。允许管理员设置登录失败次数上限，允许管理员设置账户锁定时间长度。</w:t>
                  </w:r>
                  <w:r>
                    <w:br/>
                  </w:r>
                  <w:r>
                    <w:rPr>
                      <w:rFonts w:ascii="仿宋_GB2312" w:hAnsi="仿宋_GB2312" w:cs="仿宋_GB2312" w:eastAsia="仿宋_GB2312"/>
                      <w:sz w:val="19"/>
                      <w:color w:val="000000"/>
                    </w:rPr>
                    <w:t xml:space="preserve"> 8、USB外设管控：数据采集设备应具有对使用USB接口的移动硬盘、U盘、移动光驱等外部接入的存储设备的启用或禁用功能；</w:t>
                  </w:r>
                  <w:r>
                    <w:br/>
                  </w:r>
                  <w:r>
                    <w:rPr>
                      <w:rFonts w:ascii="仿宋_GB2312" w:hAnsi="仿宋_GB2312" w:cs="仿宋_GB2312" w:eastAsia="仿宋_GB2312"/>
                      <w:sz w:val="19"/>
                      <w:color w:val="000000"/>
                    </w:rPr>
                    <w:t xml:space="preserve"> 9、进程管控：具有进程黑白名单管理功能，对本机所有运行的进程实行黑白名单策略管理，包括仅允许白名单中的进程运行和禁止黑名单中的进程运行，防止恶意进程运行</w:t>
                  </w:r>
                  <w:r>
                    <w:br/>
                  </w:r>
                  <w:r>
                    <w:rPr>
                      <w:rFonts w:ascii="仿宋_GB2312" w:hAnsi="仿宋_GB2312" w:cs="仿宋_GB2312" w:eastAsia="仿宋_GB2312"/>
                      <w:sz w:val="19"/>
                      <w:color w:val="000000"/>
                    </w:rPr>
                    <w:t xml:space="preserve"> 10、泄露电流：采用交流供电的执法数据采集设备的I、II类设备工作时的泄漏电流应符合GB16796-2009中表2的规定，泄露电流≤0.2mA。</w:t>
                  </w:r>
                  <w:r>
                    <w:br/>
                  </w:r>
                  <w:r>
                    <w:rPr>
                      <w:rFonts w:ascii="仿宋_GB2312" w:hAnsi="仿宋_GB2312" w:cs="仿宋_GB2312" w:eastAsia="仿宋_GB2312"/>
                      <w:sz w:val="19"/>
                      <w:color w:val="000000"/>
                    </w:rPr>
                    <w:t xml:space="preserve"> 11、▲采集速率：执法数据采集设备在接入能力满负荷条件下的平均单路数据采集速率应≥10MB/s，10路并发数据采集平均速率应≥150MB/s。</w:t>
                  </w:r>
                  <w:r>
                    <w:br/>
                  </w:r>
                  <w:r>
                    <w:rPr>
                      <w:rFonts w:ascii="仿宋_GB2312" w:hAnsi="仿宋_GB2312" w:cs="仿宋_GB2312" w:eastAsia="仿宋_GB2312"/>
                      <w:sz w:val="19"/>
                      <w:color w:val="000000"/>
                    </w:rPr>
                    <w:t xml:space="preserve"> 12、产品的质量稳定可靠，具有数据采集站稳定性的MTBF检测报告，报告时长≥120000h。</w:t>
                  </w:r>
                  <w:r>
                    <w:br/>
                  </w:r>
                  <w:r>
                    <w:rPr>
                      <w:rFonts w:ascii="仿宋_GB2312" w:hAnsi="仿宋_GB2312" w:cs="仿宋_GB2312" w:eastAsia="仿宋_GB2312"/>
                      <w:sz w:val="20"/>
                      <w:b/>
                      <w:color w:val="000000"/>
                    </w:rPr>
                    <w:t>所投产品需提供国家级检测机构出具的具有CMA、CNAS标识的检测报告</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*核心产品</w:t>
                  </w: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执法记录仪</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1、▲尺寸设计：执法记录仪外形尺寸（背夹、外接设备除外）应≤66mm×46mm×28mm 执法记录仪裸机质量应≤100g,含背夹应≤125g</w:t>
                  </w:r>
                  <w:r>
                    <w:br/>
                  </w:r>
                  <w:r>
                    <w:rPr>
                      <w:rFonts w:ascii="仿宋_GB2312" w:hAnsi="仿宋_GB2312" w:cs="仿宋_GB2312" w:eastAsia="仿宋_GB2312"/>
                      <w:sz w:val="19"/>
                      <w:color w:val="000000"/>
                    </w:rPr>
                    <w:t xml:space="preserve"> 2、摄录功能：执法记录仪取景模式下，按下相应键应自动开始记录视音频信息；按下停止键，执法记录仪应停止记录并且保存记录文件</w:t>
                  </w:r>
                  <w:r>
                    <w:br/>
                  </w:r>
                  <w:r>
                    <w:rPr>
                      <w:rFonts w:ascii="仿宋_GB2312" w:hAnsi="仿宋_GB2312" w:cs="仿宋_GB2312" w:eastAsia="仿宋_GB2312"/>
                      <w:sz w:val="19"/>
                      <w:color w:val="000000"/>
                    </w:rPr>
                    <w:t xml:space="preserve"> 3、显示屏尺寸：≤1.6in显示屏</w:t>
                  </w:r>
                  <w:r>
                    <w:br/>
                  </w:r>
                  <w:r>
                    <w:rPr>
                      <w:rFonts w:ascii="仿宋_GB2312" w:hAnsi="仿宋_GB2312" w:cs="仿宋_GB2312" w:eastAsia="仿宋_GB2312"/>
                      <w:sz w:val="19"/>
                      <w:color w:val="000000"/>
                    </w:rPr>
                    <w:t xml:space="preserve"> 4、延录功能：具有延录功能，可通过菜单开启/关闭，延录时间可设置为5s、10s、30s、1min、2min、5min、10min、30min。</w:t>
                  </w:r>
                  <w:r>
                    <w:br/>
                  </w:r>
                  <w:r>
                    <w:rPr>
                      <w:rFonts w:ascii="仿宋_GB2312" w:hAnsi="仿宋_GB2312" w:cs="仿宋_GB2312" w:eastAsia="仿宋_GB2312"/>
                      <w:sz w:val="19"/>
                      <w:color w:val="000000"/>
                    </w:rPr>
                    <w:t xml:space="preserve"> 5、视音频预录功能：执法记录仪应能在标称最大分辨率下预录触发前大于或等于15s的视音频信息。</w:t>
                  </w:r>
                  <w:r>
                    <w:br/>
                  </w:r>
                  <w:r>
                    <w:rPr>
                      <w:rFonts w:ascii="仿宋_GB2312" w:hAnsi="仿宋_GB2312" w:cs="仿宋_GB2312" w:eastAsia="仿宋_GB2312"/>
                      <w:sz w:val="19"/>
                      <w:color w:val="000000"/>
                    </w:rPr>
                    <w:t xml:space="preserve"> 6、存储容量：执法记录仪存储容量≥ 64GB</w:t>
                  </w:r>
                  <w:r>
                    <w:br/>
                  </w:r>
                  <w:r>
                    <w:rPr>
                      <w:rFonts w:ascii="仿宋_GB2312" w:hAnsi="仿宋_GB2312" w:cs="仿宋_GB2312" w:eastAsia="仿宋_GB2312"/>
                      <w:sz w:val="19"/>
                      <w:color w:val="000000"/>
                    </w:rPr>
                    <w:t xml:space="preserve"> 7、显示屏亮度：执法记录仪应能在回放模式显示全场白测试信号,显示全场白测试信号时的最大亮度应≥290cd/m2</w:t>
                  </w:r>
                  <w:r>
                    <w:br/>
                  </w:r>
                  <w:r>
                    <w:rPr>
                      <w:rFonts w:ascii="仿宋_GB2312" w:hAnsi="仿宋_GB2312" w:cs="仿宋_GB2312" w:eastAsia="仿宋_GB2312"/>
                      <w:sz w:val="19"/>
                      <w:color w:val="000000"/>
                    </w:rPr>
                    <w:t xml:space="preserve"> 8、显示屏对比度：执法记录仪应能在回放模式分别显示全场白和全场黑测试信号，全场白和全场黑测试信号亮度值的比应≥590:1  </w:t>
                  </w:r>
                  <w:r>
                    <w:br/>
                  </w:r>
                  <w:r>
                    <w:rPr>
                      <w:rFonts w:ascii="仿宋_GB2312" w:hAnsi="仿宋_GB2312" w:cs="仿宋_GB2312" w:eastAsia="仿宋_GB2312"/>
                      <w:sz w:val="19"/>
                      <w:color w:val="000000"/>
                    </w:rPr>
                    <w:t xml:space="preserve"> 9、▲水平视场角：执法记录仪摄像头的水平视场角在1920×1080、1280×720、848×480分辨率条件下应≥120°</w:t>
                  </w:r>
                  <w:r>
                    <w:br/>
                  </w:r>
                  <w:r>
                    <w:rPr>
                      <w:rFonts w:ascii="仿宋_GB2312" w:hAnsi="仿宋_GB2312" w:cs="仿宋_GB2312" w:eastAsia="仿宋_GB2312"/>
                      <w:sz w:val="19"/>
                      <w:color w:val="000000"/>
                    </w:rPr>
                    <w:t xml:space="preserve"> 10、▲几何失真 执法记录仪记录的视频在1920×1080、1280×720、848×480分辨率条件下几何失真≤5%</w:t>
                  </w:r>
                  <w:r>
                    <w:br/>
                  </w:r>
                  <w:r>
                    <w:rPr>
                      <w:rFonts w:ascii="仿宋_GB2312" w:hAnsi="仿宋_GB2312" w:cs="仿宋_GB2312" w:eastAsia="仿宋_GB2312"/>
                      <w:sz w:val="19"/>
                      <w:color w:val="000000"/>
                    </w:rPr>
                    <w:t xml:space="preserve"> 11、视频性能：在视频分辨率1920×1080下视频中心水平分辨力为850线，在视频分辨率848×480下视频中心水平分辨力为500线</w:t>
                  </w:r>
                  <w:r>
                    <w:br/>
                  </w:r>
                  <w:r>
                    <w:rPr>
                      <w:rFonts w:ascii="仿宋_GB2312" w:hAnsi="仿宋_GB2312" w:cs="仿宋_GB2312" w:eastAsia="仿宋_GB2312"/>
                      <w:sz w:val="19"/>
                      <w:color w:val="000000"/>
                    </w:rPr>
                    <w:t xml:space="preserve"> 12、▲照片分辨力：执法记录仪拍摄的8000×4760、5336×3000、3008×1688照片分辨力均≥1200线</w:t>
                  </w:r>
                  <w:r>
                    <w:br/>
                  </w:r>
                  <w:r>
                    <w:rPr>
                      <w:rFonts w:ascii="仿宋_GB2312" w:hAnsi="仿宋_GB2312" w:cs="仿宋_GB2312" w:eastAsia="仿宋_GB2312"/>
                      <w:sz w:val="19"/>
                      <w:color w:val="000000"/>
                    </w:rPr>
                    <w:t xml:space="preserve"> 13、▲最大记录间隔时间：执法记录仪采用自动分段记录方式记录时，相邻两段间最大记录间隔时间应≤0.05s</w:t>
                  </w:r>
                  <w:r>
                    <w:br/>
                  </w:r>
                  <w:r>
                    <w:rPr>
                      <w:rFonts w:ascii="仿宋_GB2312" w:hAnsi="仿宋_GB2312" w:cs="仿宋_GB2312" w:eastAsia="仿宋_GB2312"/>
                      <w:sz w:val="19"/>
                      <w:color w:val="000000"/>
                    </w:rPr>
                    <w:t xml:space="preserve"> 14、▲电池工作时间：内置电池供电，分辨率1920×1080,30帧/s条件下，连续摄录≥8.5h，分辨率1280×720,30帧/s条件下，连续摄录≥8.5h，分辨率848×480,30帧/s条件下，连续摄录≥9h</w:t>
                  </w:r>
                  <w:r>
                    <w:br/>
                  </w:r>
                  <w:r>
                    <w:rPr>
                      <w:rFonts w:ascii="仿宋_GB2312" w:hAnsi="仿宋_GB2312" w:cs="仿宋_GB2312" w:eastAsia="仿宋_GB2312"/>
                      <w:sz w:val="19"/>
                      <w:color w:val="000000"/>
                    </w:rPr>
                    <w:t xml:space="preserve"> 15、充电时间：电池充电时间应≤4h</w:t>
                  </w:r>
                  <w:r>
                    <w:br/>
                  </w:r>
                  <w:r>
                    <w:rPr>
                      <w:rFonts w:ascii="仿宋_GB2312" w:hAnsi="仿宋_GB2312" w:cs="仿宋_GB2312" w:eastAsia="仿宋_GB2312"/>
                      <w:sz w:val="19"/>
                      <w:color w:val="000000"/>
                    </w:rPr>
                    <w:t xml:space="preserve"> 16、开机时间：执法记录仪从按下开机键到进入取景预览模式所用时间不应大于 3S</w:t>
                  </w:r>
                  <w:r>
                    <w:br/>
                  </w:r>
                  <w:r>
                    <w:rPr>
                      <w:rFonts w:ascii="仿宋_GB2312" w:hAnsi="仿宋_GB2312" w:cs="仿宋_GB2312" w:eastAsia="仿宋_GB2312"/>
                      <w:sz w:val="19"/>
                      <w:color w:val="000000"/>
                    </w:rPr>
                    <w:t xml:space="preserve"> 17、外壳防护等级：外壳防护等级符合IP56</w:t>
                  </w:r>
                  <w:r>
                    <w:br/>
                  </w:r>
                  <w:r>
                    <w:rPr>
                      <w:rFonts w:ascii="仿宋_GB2312" w:hAnsi="仿宋_GB2312" w:cs="仿宋_GB2312" w:eastAsia="仿宋_GB2312"/>
                      <w:sz w:val="19"/>
                      <w:color w:val="000000"/>
                    </w:rPr>
                    <w:t xml:space="preserve"> 18、▲夜视功能：执法记录仪应具有夜视功能，在开启红外夜视功能后，可看清距样机10m处人体轮廓。</w:t>
                  </w:r>
                  <w:r>
                    <w:br/>
                  </w:r>
                  <w:r>
                    <w:rPr>
                      <w:rFonts w:ascii="仿宋_GB2312" w:hAnsi="仿宋_GB2312" w:cs="仿宋_GB2312" w:eastAsia="仿宋_GB2312"/>
                      <w:sz w:val="19"/>
                      <w:color w:val="000000"/>
                    </w:rPr>
                    <w:t xml:space="preserve"> 19、自由跌落：水泥地跌落高度2000mm，任意4个面各1次，试验后功能应正常。</w:t>
                  </w:r>
                  <w:r>
                    <w:br/>
                  </w:r>
                  <w:r>
                    <w:rPr>
                      <w:rFonts w:ascii="仿宋_GB2312" w:hAnsi="仿宋_GB2312" w:cs="仿宋_GB2312" w:eastAsia="仿宋_GB2312"/>
                      <w:sz w:val="19"/>
                      <w:color w:val="000000"/>
                    </w:rPr>
                    <w:t xml:space="preserve"> 20、耐久性试验：对执法记录仪主要部件按如下要求进行耐久性试验:电源开关 3000次、快门10000次、液晶显示及开关2000次、可动部件 3000次、模式选择开关3000次，USB 接口及连接线1000次，试验后执法记录仪应能正常工作。</w:t>
                  </w:r>
                  <w:r>
                    <w:br/>
                  </w:r>
                  <w:r>
                    <w:rPr>
                      <w:rFonts w:ascii="仿宋_GB2312" w:hAnsi="仿宋_GB2312" w:cs="仿宋_GB2312" w:eastAsia="仿宋_GB2312"/>
                      <w:sz w:val="19"/>
                      <w:color w:val="000000"/>
                    </w:rPr>
                    <w:t xml:space="preserve"> ▲以上技术要求须提供公安部出具的检测报告作为评判依据，检测依据为【GA/T 947-2015】，检验检测报告的出具日期不得晚于本项目招标公告发布之日起。</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催泪瓦斯</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1、竖喷型催泪喷射器应由保险盖、扭簧、转轴、喷嘴、压套、支撑套、支撑盖、内罐、囊袋组件、催泪剂溶液、外罐等零部件组成;催泪剂为合成辣椒素；                                                       </w:t>
                  </w:r>
                  <w:r>
                    <w:br/>
                  </w:r>
                  <w:r>
                    <w:rPr>
                      <w:rFonts w:ascii="仿宋_GB2312" w:hAnsi="仿宋_GB2312" w:cs="仿宋_GB2312" w:eastAsia="仿宋_GB2312"/>
                      <w:sz w:val="19"/>
                      <w:color w:val="000000"/>
                    </w:rPr>
                    <w:t xml:space="preserve"> 2、尺寸：高188.5mm±2mm，筒身最大外径为40mm±0.5mm，外罐外径为37.5mm±0.5mm；                                           </w:t>
                  </w:r>
                  <w:r>
                    <w:br/>
                  </w:r>
                  <w:r>
                    <w:rPr>
                      <w:rFonts w:ascii="仿宋_GB2312" w:hAnsi="仿宋_GB2312" w:cs="仿宋_GB2312" w:eastAsia="仿宋_GB2312"/>
                      <w:sz w:val="19"/>
                      <w:color w:val="000000"/>
                    </w:rPr>
                    <w:t xml:space="preserve"> 3、颜色：主体颜色为黑色，喷嘴颜色为白色，催泪剂溶液颜色为蓝色；                                                   </w:t>
                  </w:r>
                  <w:r>
                    <w:br/>
                  </w:r>
                  <w:r>
                    <w:rPr>
                      <w:rFonts w:ascii="仿宋_GB2312" w:hAnsi="仿宋_GB2312" w:cs="仿宋_GB2312" w:eastAsia="仿宋_GB2312"/>
                      <w:sz w:val="19"/>
                      <w:color w:val="000000"/>
                    </w:rPr>
                    <w:t xml:space="preserve"> 4、质量：185g±15g；                                           </w:t>
                  </w:r>
                  <w:r>
                    <w:br/>
                  </w:r>
                  <w:r>
                    <w:rPr>
                      <w:rFonts w:ascii="仿宋_GB2312" w:hAnsi="仿宋_GB2312" w:cs="仿宋_GB2312" w:eastAsia="仿宋_GB2312"/>
                      <w:sz w:val="19"/>
                      <w:color w:val="000000"/>
                    </w:rPr>
                    <w:t xml:space="preserve"> 5、喷射性能：催泪喷射器连续喷射应为定向射流状，喷射距离应大于或等于4m，有效喷射时间大于或等于7s，完全喷射后剩余溶液量不大于7ml。催泪喷射器有效喷射3s后，放置8h后再进行喷射，喷射距离应大于或等于3m,喷射距离达到3m的时间应大于或等于4s，完全喷射后剩余溶液量小于或等于7ml；                           </w:t>
                  </w:r>
                  <w:r>
                    <w:br/>
                  </w:r>
                  <w:r>
                    <w:rPr>
                      <w:rFonts w:ascii="仿宋_GB2312" w:hAnsi="仿宋_GB2312" w:cs="仿宋_GB2312" w:eastAsia="仿宋_GB2312"/>
                      <w:sz w:val="19"/>
                      <w:color w:val="000000"/>
                    </w:rPr>
                    <w:t xml:space="preserve"> 6、稳定性能：将催泪喷射器放置在温度45℃±2℃、相对湿度95%士2%的试验箱中120h后，产品应表面无剥落，不解体、不泄漏、不爆裂；                                               </w:t>
                  </w:r>
                  <w:r>
                    <w:br/>
                  </w:r>
                  <w:r>
                    <w:rPr>
                      <w:rFonts w:ascii="仿宋_GB2312" w:hAnsi="仿宋_GB2312" w:cs="仿宋_GB2312" w:eastAsia="仿宋_GB2312"/>
                      <w:sz w:val="19"/>
                      <w:color w:val="000000"/>
                    </w:rPr>
                    <w:t xml:space="preserve"> 7、承压安全性能：催泪喷射器经980N承压试验后，应不解体、不泄露、不爆裂；                                               </w:t>
                  </w:r>
                  <w:r>
                    <w:br/>
                  </w:r>
                  <w:r>
                    <w:rPr>
                      <w:rFonts w:ascii="仿宋_GB2312" w:hAnsi="仿宋_GB2312" w:cs="仿宋_GB2312" w:eastAsia="仿宋_GB2312"/>
                      <w:sz w:val="19"/>
                      <w:color w:val="000000"/>
                    </w:rPr>
                    <w:t xml:space="preserve"> 8、振动和跌落可靠性：催泪喷射器带包装条件下经加速度幅值2m/s²，频率为5Hz~55Hz振动试验后，不解体、不泄露、不爆裂，保险盖和喷嘴应不松脱；经振动试验后的催泪喷射器以正立、倒置和横放三种姿态，从1.5m高度自由跌落至水泥地面，各试验一次，应不解体、不泄露、不爆裂，且喷射性能符合要求；           </w:t>
                  </w:r>
                  <w:r>
                    <w:br/>
                  </w:r>
                  <w:r>
                    <w:rPr>
                      <w:rFonts w:ascii="仿宋_GB2312" w:hAnsi="仿宋_GB2312" w:cs="仿宋_GB2312" w:eastAsia="仿宋_GB2312"/>
                      <w:sz w:val="19"/>
                      <w:color w:val="000000"/>
                    </w:rPr>
                    <w:t xml:space="preserve"> 9、温度适应性：催泪喷射器在-30℃~55℃环境下，应不解体、不泄露、不爆裂，且符合喷射性能要求；                               </w:t>
                  </w:r>
                  <w:r>
                    <w:br/>
                  </w:r>
                  <w:r>
                    <w:rPr>
                      <w:rFonts w:ascii="仿宋_GB2312" w:hAnsi="仿宋_GB2312" w:cs="仿宋_GB2312" w:eastAsia="仿宋_GB2312"/>
                      <w:sz w:val="19"/>
                      <w:color w:val="000000"/>
                    </w:rPr>
                    <w:t xml:space="preserve"> 10、产品符合GA 884-2018《公安单警装备 催泪喷射器》的要求，</w:t>
                  </w:r>
                  <w:r>
                    <w:br/>
                  </w:r>
                  <w:r>
                    <w:rPr>
                      <w:rFonts w:ascii="仿宋_GB2312" w:hAnsi="仿宋_GB2312" w:cs="仿宋_GB2312" w:eastAsia="仿宋_GB2312"/>
                      <w:sz w:val="20"/>
                      <w:b/>
                      <w:color w:val="000000"/>
                    </w:rPr>
                    <w:t>出具公安部检测报告</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新标竖喷</w:t>
                  </w: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手铐</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1、结构：金属手铐应由左右铐体和三排齿的扇梁、链座、链环、钥匙等组成。</w:t>
                  </w:r>
                  <w:r>
                    <w:br/>
                  </w:r>
                  <w:r>
                    <w:rPr>
                      <w:rFonts w:ascii="仿宋_GB2312" w:hAnsi="仿宋_GB2312" w:cs="仿宋_GB2312" w:eastAsia="仿宋_GB2312"/>
                      <w:sz w:val="19"/>
                      <w:color w:val="000000"/>
                    </w:rPr>
                    <w:t xml:space="preserve"> 2、尺寸：金属手铐铐体间距52mm~56mm，啮合三齿状态下手铐的最小孔径55±2mm，啮合三齿状态下手铐的最大孔径82±2mm。</w:t>
                  </w:r>
                  <w:r>
                    <w:br/>
                  </w:r>
                  <w:r>
                    <w:rPr>
                      <w:rFonts w:ascii="仿宋_GB2312" w:hAnsi="仿宋_GB2312" w:cs="仿宋_GB2312" w:eastAsia="仿宋_GB2312"/>
                      <w:sz w:val="19"/>
                      <w:color w:val="000000"/>
                    </w:rPr>
                    <w:t xml:space="preserve"> 3、质量：金属手铐的质量（不含钥匙和包装）≤235g。</w:t>
                  </w:r>
                  <w:r>
                    <w:br/>
                  </w:r>
                  <w:r>
                    <w:rPr>
                      <w:rFonts w:ascii="仿宋_GB2312" w:hAnsi="仿宋_GB2312" w:cs="仿宋_GB2312" w:eastAsia="仿宋_GB2312"/>
                      <w:sz w:val="19"/>
                      <w:color w:val="000000"/>
                    </w:rPr>
                    <w:t xml:space="preserve"> 4、灵活度</w:t>
                  </w:r>
                  <w:r>
                    <w:br/>
                  </w:r>
                  <w:r>
                    <w:rPr>
                      <w:rFonts w:ascii="仿宋_GB2312" w:hAnsi="仿宋_GB2312" w:cs="仿宋_GB2312" w:eastAsia="仿宋_GB2312"/>
                      <w:sz w:val="19"/>
                      <w:color w:val="000000"/>
                    </w:rPr>
                    <w:t xml:space="preserve"> 金属手铐的钥匙应能从正、反两面插入铐体锁孔解除反锁和开启手铐。</w:t>
                  </w:r>
                  <w:r>
                    <w:br/>
                  </w:r>
                  <w:r>
                    <w:rPr>
                      <w:rFonts w:ascii="仿宋_GB2312" w:hAnsi="仿宋_GB2312" w:cs="仿宋_GB2312" w:eastAsia="仿宋_GB2312"/>
                      <w:sz w:val="19"/>
                      <w:color w:val="000000"/>
                    </w:rPr>
                    <w:t xml:space="preserve"> 金属手铐的钥匙应能插入反锁定位锁孔实现手铐反锁，反锁定位拨片运行灵活顺畅。</w:t>
                  </w:r>
                  <w:r>
                    <w:br/>
                  </w:r>
                  <w:r>
                    <w:rPr>
                      <w:rFonts w:ascii="仿宋_GB2312" w:hAnsi="仿宋_GB2312" w:cs="仿宋_GB2312" w:eastAsia="仿宋_GB2312"/>
                      <w:sz w:val="19"/>
                      <w:color w:val="000000"/>
                    </w:rPr>
                    <w:t xml:space="preserve"> 金属手铐的扇梁转动灵活、无阻滞。</w:t>
                  </w:r>
                  <w:r>
                    <w:br/>
                  </w:r>
                  <w:r>
                    <w:rPr>
                      <w:rFonts w:ascii="仿宋_GB2312" w:hAnsi="仿宋_GB2312" w:cs="仿宋_GB2312" w:eastAsia="仿宋_GB2312"/>
                      <w:sz w:val="19"/>
                      <w:color w:val="000000"/>
                    </w:rPr>
                    <w:t xml:space="preserve"> 5、反锁定位</w:t>
                  </w:r>
                  <w:r>
                    <w:br/>
                  </w:r>
                  <w:r>
                    <w:rPr>
                      <w:rFonts w:ascii="仿宋_GB2312" w:hAnsi="仿宋_GB2312" w:cs="仿宋_GB2312" w:eastAsia="仿宋_GB2312"/>
                      <w:sz w:val="19"/>
                      <w:color w:val="000000"/>
                    </w:rPr>
                    <w:t xml:space="preserve"> 金属手铐在锁闭并反锁定位状态下施加1500N静压力，不出现啮合松动或失效现象。</w:t>
                  </w:r>
                  <w:r>
                    <w:br/>
                  </w:r>
                  <w:r>
                    <w:rPr>
                      <w:rFonts w:ascii="仿宋_GB2312" w:hAnsi="仿宋_GB2312" w:cs="仿宋_GB2312" w:eastAsia="仿宋_GB2312"/>
                      <w:sz w:val="19"/>
                      <w:color w:val="000000"/>
                    </w:rPr>
                    <w:t xml:space="preserve"> 6、防拨性能</w:t>
                  </w:r>
                  <w:r>
                    <w:br/>
                  </w:r>
                  <w:r>
                    <w:rPr>
                      <w:rFonts w:ascii="仿宋_GB2312" w:hAnsi="仿宋_GB2312" w:cs="仿宋_GB2312" w:eastAsia="仿宋_GB2312"/>
                      <w:sz w:val="19"/>
                      <w:color w:val="000000"/>
                    </w:rPr>
                    <w:t xml:space="preserve"> 金属手铐的三个锁齿相互独立，在拨动任意一个锁齿时，其余两个锁齿不联动。</w:t>
                  </w:r>
                  <w:r>
                    <w:br/>
                  </w:r>
                  <w:r>
                    <w:rPr>
                      <w:rFonts w:ascii="仿宋_GB2312" w:hAnsi="仿宋_GB2312" w:cs="仿宋_GB2312" w:eastAsia="仿宋_GB2312"/>
                      <w:sz w:val="19"/>
                      <w:color w:val="000000"/>
                    </w:rPr>
                    <w:t xml:space="preserve"> 金属手铐在锁闭状态下，防拨净工作时间≥2min。</w:t>
                  </w:r>
                  <w:r>
                    <w:br/>
                  </w:r>
                  <w:r>
                    <w:rPr>
                      <w:rFonts w:ascii="仿宋_GB2312" w:hAnsi="仿宋_GB2312" w:cs="仿宋_GB2312" w:eastAsia="仿宋_GB2312"/>
                      <w:sz w:val="19"/>
                      <w:color w:val="000000"/>
                    </w:rPr>
                    <w:t xml:space="preserve"> 7、强度</w:t>
                  </w:r>
                  <w:r>
                    <w:br/>
                  </w:r>
                  <w:r>
                    <w:rPr>
                      <w:rFonts w:ascii="仿宋_GB2312" w:hAnsi="仿宋_GB2312" w:cs="仿宋_GB2312" w:eastAsia="仿宋_GB2312"/>
                      <w:sz w:val="19"/>
                      <w:color w:val="000000"/>
                    </w:rPr>
                    <w:t xml:space="preserve"> 金属手铐在锁闭状态下，施加2200N纵向静拉力并保持30s，试验过程中金属手铐不应被拉开，试验后铐体上不应有永久性变形或裂纹，金属手铐应能正常使用。</w:t>
                  </w:r>
                  <w:r>
                    <w:br/>
                  </w:r>
                  <w:r>
                    <w:rPr>
                      <w:rFonts w:ascii="仿宋_GB2312" w:hAnsi="仿宋_GB2312" w:cs="仿宋_GB2312" w:eastAsia="仿宋_GB2312"/>
                      <w:sz w:val="19"/>
                      <w:color w:val="000000"/>
                    </w:rPr>
                    <w:t xml:space="preserve"> 对金属手铐施加2200N横向静拉力并保 持30s，试验过程中金属手铐不应被拉开，试验后铐体上不应有永久性变形或裂纹，金属手铐应能正常使用。</w:t>
                  </w:r>
                  <w:r>
                    <w:br/>
                  </w:r>
                  <w:r>
                    <w:rPr>
                      <w:rFonts w:ascii="仿宋_GB2312" w:hAnsi="仿宋_GB2312" w:cs="仿宋_GB2312" w:eastAsia="仿宋_GB2312"/>
                      <w:sz w:val="19"/>
                      <w:color w:val="000000"/>
                    </w:rPr>
                    <w:t xml:space="preserve"> 对金属手铐的扇梁铆钉施加2940N静压力并保持30s，试验后固定连接件不应松脱，金属手铐应能正常使用。</w:t>
                  </w:r>
                  <w:r>
                    <w:br/>
                  </w:r>
                  <w:r>
                    <w:rPr>
                      <w:rFonts w:ascii="仿宋_GB2312" w:hAnsi="仿宋_GB2312" w:cs="仿宋_GB2312" w:eastAsia="仿宋_GB2312"/>
                      <w:sz w:val="19"/>
                      <w:color w:val="000000"/>
                    </w:rPr>
                    <w:t xml:space="preserve"> 对金属手铐的钥匙施加3Nm扭矩，保持30s，试验后钥匙不应出现变形、断裂，且能正常使用。</w:t>
                  </w:r>
                  <w:r>
                    <w:br/>
                  </w:r>
                  <w:r>
                    <w:rPr>
                      <w:rFonts w:ascii="仿宋_GB2312" w:hAnsi="仿宋_GB2312" w:cs="仿宋_GB2312" w:eastAsia="仿宋_GB2312"/>
                      <w:sz w:val="19"/>
                      <w:color w:val="000000"/>
                    </w:rPr>
                    <w:t xml:space="preserve"> 对金属手铐的铐体施加15Nm扭矩，保持30s，试验后铐体与扇齿不应脱离，金属手铐应能正常使用。</w:t>
                  </w:r>
                  <w:r>
                    <w:br/>
                  </w:r>
                  <w:r>
                    <w:rPr>
                      <w:rFonts w:ascii="仿宋_GB2312" w:hAnsi="仿宋_GB2312" w:cs="仿宋_GB2312" w:eastAsia="仿宋_GB2312"/>
                      <w:sz w:val="19"/>
                      <w:color w:val="000000"/>
                    </w:rPr>
                    <w:t xml:space="preserve"> 8、耐用度：金属手铐用钥匙正常开启、锁闭为一个循环,经过7000次循环(每1000次循环后反锁定位1次)后，应能正常使用。</w:t>
                  </w:r>
                  <w:r>
                    <w:br/>
                  </w:r>
                  <w:r>
                    <w:rPr>
                      <w:rFonts w:ascii="仿宋_GB2312" w:hAnsi="仿宋_GB2312" w:cs="仿宋_GB2312" w:eastAsia="仿宋_GB2312"/>
                      <w:sz w:val="19"/>
                      <w:color w:val="000000"/>
                    </w:rPr>
                    <w:t xml:space="preserve"> 9、产品符合GA 1512-2018《公安单警装备 金属手铐》的要求；</w:t>
                  </w:r>
                  <w:r>
                    <w:br/>
                  </w:r>
                  <w:r>
                    <w:rPr>
                      <w:rFonts w:ascii="仿宋_GB2312" w:hAnsi="仿宋_GB2312" w:cs="仿宋_GB2312" w:eastAsia="仿宋_GB2312"/>
                      <w:sz w:val="20"/>
                      <w:b/>
                      <w:color w:val="000000"/>
                    </w:rPr>
                    <w:t>注：投标单位须提供所投产品具有资质的第三方机构出具的检测报告复印件加盖公章</w:t>
                  </w:r>
                  <w:r>
                    <w:rPr>
                      <w:rFonts w:ascii="仿宋_GB2312" w:hAnsi="仿宋_GB2312" w:cs="仿宋_GB2312" w:eastAsia="仿宋_GB2312"/>
                      <w:sz w:val="20"/>
                      <w:color w:val="000000"/>
                    </w:rPr>
                    <w:t>。</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单警手电</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1、执行标准：GA 883-2010《强光手电》；</w:t>
                  </w:r>
                  <w:r>
                    <w:br/>
                  </w:r>
                  <w:r>
                    <w:rPr>
                      <w:rFonts w:ascii="仿宋_GB2312" w:hAnsi="仿宋_GB2312" w:cs="仿宋_GB2312" w:eastAsia="仿宋_GB2312"/>
                      <w:sz w:val="19"/>
                      <w:color w:val="000000"/>
                    </w:rPr>
                    <w:t xml:space="preserve"> 2、外观：成品表面应光滑，无划痕、磨损、毛刺、油渍；镜片和反光罩应光洁，无痕迹；</w:t>
                  </w:r>
                  <w:r>
                    <w:br/>
                  </w:r>
                  <w:r>
                    <w:rPr>
                      <w:rFonts w:ascii="仿宋_GB2312" w:hAnsi="仿宋_GB2312" w:cs="仿宋_GB2312" w:eastAsia="仿宋_GB2312"/>
                      <w:sz w:val="19"/>
                      <w:color w:val="000000"/>
                    </w:rPr>
                    <w:t xml:space="preserve"> 3、颜色：黑色；</w:t>
                  </w:r>
                  <w:r>
                    <w:br/>
                  </w:r>
                  <w:r>
                    <w:rPr>
                      <w:rFonts w:ascii="仿宋_GB2312" w:hAnsi="仿宋_GB2312" w:cs="仿宋_GB2312" w:eastAsia="仿宋_GB2312"/>
                      <w:sz w:val="19"/>
                      <w:color w:val="000000"/>
                    </w:rPr>
                    <w:t xml:space="preserve"> 4、尺寸：总长度150mm±2mm，握柄直径Φ27mm±1mm，头盖外径35mm±1mm，挂绳长度155mm±5mm，电池直径Φ18.6mm±0.2mm，电池长度69mm±2mm；</w:t>
                  </w:r>
                  <w:r>
                    <w:br/>
                  </w:r>
                  <w:r>
                    <w:rPr>
                      <w:rFonts w:ascii="仿宋_GB2312" w:hAnsi="仿宋_GB2312" w:cs="仿宋_GB2312" w:eastAsia="仿宋_GB2312"/>
                      <w:sz w:val="19"/>
                      <w:color w:val="000000"/>
                    </w:rPr>
                    <w:t xml:space="preserve"> 5、强光初始照度：电池初始状态进入强光模式，距光源5m处光斑中心初始照度应≥180 lx；</w:t>
                  </w:r>
                  <w:r>
                    <w:br/>
                  </w:r>
                  <w:r>
                    <w:rPr>
                      <w:rFonts w:ascii="仿宋_GB2312" w:hAnsi="仿宋_GB2312" w:cs="仿宋_GB2312" w:eastAsia="仿宋_GB2312"/>
                      <w:sz w:val="19"/>
                      <w:color w:val="000000"/>
                    </w:rPr>
                    <w:t xml:space="preserve"> 6、强光照明时间：电池初始状态进入强光模式，连续照明200min，距光源5m处光斑中心照度值应≥135 1x；</w:t>
                  </w:r>
                  <w:r>
                    <w:br/>
                  </w:r>
                  <w:r>
                    <w:rPr>
                      <w:rFonts w:ascii="仿宋_GB2312" w:hAnsi="仿宋_GB2312" w:cs="仿宋_GB2312" w:eastAsia="仿宋_GB2312"/>
                      <w:sz w:val="19"/>
                      <w:color w:val="000000"/>
                    </w:rPr>
                    <w:t xml:space="preserve"> 7、弱光初始照度：电池初始状态进入弱光模式，距光源 1m处光斑中心初始照度应为120 lx～180 lx；</w:t>
                  </w:r>
                  <w:r>
                    <w:br/>
                  </w:r>
                  <w:r>
                    <w:rPr>
                      <w:rFonts w:ascii="仿宋_GB2312" w:hAnsi="仿宋_GB2312" w:cs="仿宋_GB2312" w:eastAsia="仿宋_GB2312"/>
                      <w:sz w:val="19"/>
                      <w:color w:val="000000"/>
                    </w:rPr>
                    <w:t xml:space="preserve"> 8、密封性能：在0.5m深度水密封试验 1h,内部不应进水；</w:t>
                  </w:r>
                  <w:r>
                    <w:br/>
                  </w:r>
                  <w:r>
                    <w:rPr>
                      <w:rFonts w:ascii="仿宋_GB2312" w:hAnsi="仿宋_GB2312" w:cs="仿宋_GB2312" w:eastAsia="仿宋_GB2312"/>
                      <w:sz w:val="19"/>
                      <w:color w:val="000000"/>
                    </w:rPr>
                    <w:t xml:space="preserve"> 9、强光爆闪频率：8Hz～10Hz；</w:t>
                  </w:r>
                  <w:r>
                    <w:br/>
                  </w:r>
                  <w:r>
                    <w:rPr>
                      <w:rFonts w:ascii="仿宋_GB2312" w:hAnsi="仿宋_GB2312" w:cs="仿宋_GB2312" w:eastAsia="仿宋_GB2312"/>
                      <w:sz w:val="19"/>
                      <w:color w:val="000000"/>
                    </w:rPr>
                    <w:t xml:space="preserve"> 10、光束角：4°-7°；</w:t>
                  </w:r>
                  <w:r>
                    <w:br/>
                  </w:r>
                  <w:r>
                    <w:rPr>
                      <w:rFonts w:ascii="仿宋_GB2312" w:hAnsi="仿宋_GB2312" w:cs="仿宋_GB2312" w:eastAsia="仿宋_GB2312"/>
                      <w:sz w:val="19"/>
                      <w:color w:val="000000"/>
                    </w:rPr>
                    <w:t xml:space="preserve"> 11、跌落可靠性：自1.5m高度，强光手电以水平状态，头部向下状态和尾部向下状态，分别跌落到水泥地面上强光手电应无裂纹、破碎，开关工作模式转换正常；</w:t>
                  </w:r>
                  <w:r>
                    <w:br/>
                  </w:r>
                  <w:r>
                    <w:rPr>
                      <w:rFonts w:ascii="仿宋_GB2312" w:hAnsi="仿宋_GB2312" w:cs="仿宋_GB2312" w:eastAsia="仿宋_GB2312"/>
                      <w:sz w:val="19"/>
                      <w:color w:val="000000"/>
                    </w:rPr>
                    <w:t xml:space="preserve"> 12、外壳强度：强光手电外壳应能承受980N的径向压力后，强光手电应不变形，开关工作模式转换正常；</w:t>
                  </w:r>
                  <w:r>
                    <w:br/>
                  </w:r>
                  <w:r>
                    <w:rPr>
                      <w:rFonts w:ascii="仿宋_GB2312" w:hAnsi="仿宋_GB2312" w:cs="仿宋_GB2312" w:eastAsia="仿宋_GB2312"/>
                      <w:sz w:val="19"/>
                      <w:color w:val="000000"/>
                    </w:rPr>
                    <w:t xml:space="preserve"> 13、开关耐久性：处压开关动作 30000次，开关功能正常，开关工作模式转换正常；</w:t>
                  </w:r>
                  <w:r>
                    <w:br/>
                  </w:r>
                  <w:r>
                    <w:rPr>
                      <w:rFonts w:ascii="仿宋_GB2312" w:hAnsi="仿宋_GB2312" w:cs="仿宋_GB2312" w:eastAsia="仿宋_GB2312"/>
                      <w:sz w:val="19"/>
                      <w:color w:val="000000"/>
                    </w:rPr>
                    <w:t xml:space="preserve"> 14、充电插头座连接可靠性:充电插头插拔3000次，应能正常充电。</w:t>
                  </w:r>
                  <w:r>
                    <w:br/>
                  </w:r>
                  <w:r>
                    <w:rPr>
                      <w:rFonts w:ascii="仿宋_GB2312" w:hAnsi="仿宋_GB2312" w:cs="仿宋_GB2312" w:eastAsia="仿宋_GB2312"/>
                      <w:sz w:val="19"/>
                      <w:color w:val="000000"/>
                    </w:rPr>
                    <w:t xml:space="preserve"> 15、挂绳强度：挂绳承受50N的拉力应不断裂；</w:t>
                  </w:r>
                  <w:r>
                    <w:br/>
                  </w:r>
                  <w:r>
                    <w:rPr>
                      <w:rFonts w:ascii="仿宋_GB2312" w:hAnsi="仿宋_GB2312" w:cs="仿宋_GB2312" w:eastAsia="仿宋_GB2312"/>
                      <w:sz w:val="19"/>
                      <w:color w:val="000000"/>
                    </w:rPr>
                    <w:t xml:space="preserve"> 16、外壳升温：＜25K。</w:t>
                  </w:r>
                  <w:r>
                    <w:br/>
                  </w:r>
                  <w:r>
                    <w:rPr>
                      <w:rFonts w:ascii="仿宋_GB2312" w:hAnsi="仿宋_GB2312" w:cs="仿宋_GB2312" w:eastAsia="仿宋_GB2312"/>
                      <w:sz w:val="20"/>
                      <w:b/>
                      <w:color w:val="000000"/>
                    </w:rPr>
                    <w:t>注：投标单位须提供所投产品具有资质的第三方机构出具的检测报告复印件加盖公章。</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多功能战术背心</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1、颜色：黑色</w:t>
                  </w:r>
                  <w:r>
                    <w:br/>
                  </w:r>
                  <w:r>
                    <w:rPr>
                      <w:rFonts w:ascii="仿宋_GB2312" w:hAnsi="仿宋_GB2312" w:cs="仿宋_GB2312" w:eastAsia="仿宋_GB2312"/>
                      <w:sz w:val="19"/>
                      <w:color w:val="000000"/>
                    </w:rPr>
                    <w:t xml:space="preserve"> 2、主面料：650D-N66阻燃尼龙面料</w:t>
                  </w:r>
                  <w:r>
                    <w:br/>
                  </w:r>
                  <w:r>
                    <w:rPr>
                      <w:rFonts w:ascii="仿宋_GB2312" w:hAnsi="仿宋_GB2312" w:cs="仿宋_GB2312" w:eastAsia="仿宋_GB2312"/>
                      <w:sz w:val="19"/>
                      <w:color w:val="000000"/>
                    </w:rPr>
                    <w:t xml:space="preserve"> 3、净重：2.1±0.05kg  毛重：2.16±0.05kg</w:t>
                  </w:r>
                  <w:r>
                    <w:br/>
                  </w:r>
                  <w:r>
                    <w:rPr>
                      <w:rFonts w:ascii="仿宋_GB2312" w:hAnsi="仿宋_GB2312" w:cs="仿宋_GB2312" w:eastAsia="仿宋_GB2312"/>
                      <w:sz w:val="19"/>
                      <w:color w:val="000000"/>
                    </w:rPr>
                    <w:t xml:space="preserve"> 4、大身尺寸：宽32.5cm*长38cm</w:t>
                  </w:r>
                  <w:r>
                    <w:br/>
                  </w:r>
                  <w:r>
                    <w:rPr>
                      <w:rFonts w:ascii="仿宋_GB2312" w:hAnsi="仿宋_GB2312" w:cs="仿宋_GB2312" w:eastAsia="仿宋_GB2312"/>
                      <w:sz w:val="19"/>
                      <w:color w:val="000000"/>
                    </w:rPr>
                    <w:t xml:space="preserve"> 5、尺码：均码（腰围、肩部可调节，常规适配胸围/肚围＜120cm ）</w:t>
                  </w:r>
                  <w:r>
                    <w:br/>
                  </w:r>
                  <w:r>
                    <w:rPr>
                      <w:rFonts w:ascii="仿宋_GB2312" w:hAnsi="仿宋_GB2312" w:cs="仿宋_GB2312" w:eastAsia="仿宋_GB2312"/>
                      <w:sz w:val="19"/>
                      <w:color w:val="000000"/>
                    </w:rPr>
                    <w:t xml:space="preserve"> 6、包装清单：背心本体*1、前胸可拆卸六件套挂载包*1</w:t>
                  </w:r>
                  <w:r>
                    <w:rPr>
                      <w:rFonts w:ascii="仿宋_GB2312" w:hAnsi="仿宋_GB2312" w:cs="仿宋_GB2312" w:eastAsia="仿宋_GB2312"/>
                      <w:sz w:val="20"/>
                      <w:color w:val="000000"/>
                    </w:rPr>
                    <w:t></w:t>
                  </w:r>
                  <w:r>
                    <w:br/>
                  </w:r>
                  <w:r>
                    <w:rPr>
                      <w:rFonts w:ascii="仿宋_GB2312" w:hAnsi="仿宋_GB2312" w:cs="仿宋_GB2312" w:eastAsia="仿宋_GB2312"/>
                      <w:sz w:val="20"/>
                      <w:b/>
                      <w:color w:val="000000"/>
                    </w:rPr>
                    <w:t>提供主面料检测报告</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拒马桩</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1、主体为黄黑相间的涂装配色，钢管表面喷涂黄黑警示色，醒目且辨识度高</w:t>
                  </w:r>
                  <w:r>
                    <w:br/>
                  </w:r>
                  <w:r>
                    <w:rPr>
                      <w:rFonts w:ascii="仿宋_GB2312" w:hAnsi="仿宋_GB2312" w:cs="仿宋_GB2312" w:eastAsia="仿宋_GB2312"/>
                      <w:sz w:val="19"/>
                      <w:color w:val="000000"/>
                    </w:rPr>
                    <w:t xml:space="preserve"> 2、整体为三角形桁架式结构，由多根钢管焊接组成，结构稳固</w:t>
                  </w:r>
                  <w:r>
                    <w:br/>
                  </w:r>
                  <w:r>
                    <w:rPr>
                      <w:rFonts w:ascii="仿宋_GB2312" w:hAnsi="仿宋_GB2312" w:cs="仿宋_GB2312" w:eastAsia="仿宋_GB2312"/>
                      <w:sz w:val="19"/>
                      <w:color w:val="000000"/>
                    </w:rPr>
                    <w:t xml:space="preserve"> 3、底部安装有万向滚轮，可灵活移动</w:t>
                  </w:r>
                  <w:r>
                    <w:br/>
                  </w:r>
                  <w:r>
                    <w:rPr>
                      <w:rFonts w:ascii="仿宋_GB2312" w:hAnsi="仿宋_GB2312" w:cs="仿宋_GB2312" w:eastAsia="仿宋_GB2312"/>
                      <w:sz w:val="19"/>
                      <w:color w:val="000000"/>
                    </w:rPr>
                    <w:t xml:space="preserve"> 4、规格尺寸：高度 120cm、长度 500cm、宽度 80cm</w:t>
                  </w:r>
                  <w:r>
                    <w:br/>
                  </w:r>
                  <w:r>
                    <w:rPr>
                      <w:rFonts w:ascii="仿宋_GB2312" w:hAnsi="仿宋_GB2312" w:cs="仿宋_GB2312" w:eastAsia="仿宋_GB2312"/>
                      <w:sz w:val="19"/>
                      <w:color w:val="000000"/>
                    </w:rPr>
                    <w:t xml:space="preserve"> 5、管材参数：内管直径60mm，外管直径89mm</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带刺</w:t>
                  </w:r>
                </w:p>
              </w:tc>
            </w:tr>
            <w:tr>
              <w:tc>
                <w:tcPr>
                  <w:tcW w:type="dxa" w:w="11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伸缩警棍</w:t>
                  </w:r>
                </w:p>
              </w:tc>
              <w:tc>
                <w:tcPr>
                  <w:tcW w:type="dxa" w:w="15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1、伸缩警棍由小管组件、中管组件、握把组件和开关组件组成； </w:t>
                  </w:r>
                  <w:r>
                    <w:br/>
                  </w:r>
                  <w:r>
                    <w:rPr>
                      <w:rFonts w:ascii="仿宋_GB2312" w:hAnsi="仿宋_GB2312" w:cs="仿宋_GB2312" w:eastAsia="仿宋_GB2312"/>
                      <w:sz w:val="19"/>
                      <w:color w:val="000000"/>
                    </w:rPr>
                    <w:t xml:space="preserve"> 2、尺寸：收回长度224mm±0.5mm,伸展长度508mm±0.5mm,握把外径26.5mm±0.05mm,中管外径20.5mm±0.05mm，小管外径16mm±0.05mm；</w:t>
                  </w:r>
                  <w:r>
                    <w:br/>
                  </w:r>
                  <w:r>
                    <w:rPr>
                      <w:rFonts w:ascii="仿宋_GB2312" w:hAnsi="仿宋_GB2312" w:cs="仿宋_GB2312" w:eastAsia="仿宋_GB2312"/>
                      <w:sz w:val="19"/>
                      <w:color w:val="000000"/>
                    </w:rPr>
                    <w:t xml:space="preserve"> 3、质量：基础型伸缩警棍质量≤325g；                         </w:t>
                  </w:r>
                  <w:r>
                    <w:br/>
                  </w:r>
                  <w:r>
                    <w:rPr>
                      <w:rFonts w:ascii="仿宋_GB2312" w:hAnsi="仿宋_GB2312" w:cs="仿宋_GB2312" w:eastAsia="仿宋_GB2312"/>
                      <w:sz w:val="19"/>
                      <w:color w:val="000000"/>
                    </w:rPr>
                    <w:t xml:space="preserve"> 4、伸缩性能：伸缩警棍应能通过手拉或甩动的方式顺畅伸展，各节棍体应锁定稳固；按压解锁按键回推，应能顺畅收回；               </w:t>
                  </w:r>
                  <w:r>
                    <w:br/>
                  </w:r>
                  <w:r>
                    <w:rPr>
                      <w:rFonts w:ascii="仿宋_GB2312" w:hAnsi="仿宋_GB2312" w:cs="仿宋_GB2312" w:eastAsia="仿宋_GB2312"/>
                      <w:sz w:val="19"/>
                      <w:color w:val="000000"/>
                    </w:rPr>
                    <w:t xml:space="preserve"> 5、防脱出性能：伸缩警棍在收回状态下，对棍头施加5N轴向拉力，不应被拉出；                                               </w:t>
                  </w:r>
                  <w:r>
                    <w:br/>
                  </w:r>
                  <w:r>
                    <w:rPr>
                      <w:rFonts w:ascii="仿宋_GB2312" w:hAnsi="仿宋_GB2312" w:cs="仿宋_GB2312" w:eastAsia="仿宋_GB2312"/>
                      <w:sz w:val="19"/>
                      <w:color w:val="000000"/>
                    </w:rPr>
                    <w:t xml:space="preserve"> 6、锁合抗冲击性能：伸缩警棍完全伸展并锁定状态下，以质量500g±5g的钢球，在高度1m的高度自由落下，对棍头进行轴向冲击，试验3次，伸缩警棍不应回缩，且能正常使用；                       </w:t>
                  </w:r>
                  <w:r>
                    <w:br/>
                  </w:r>
                  <w:r>
                    <w:rPr>
                      <w:rFonts w:ascii="仿宋_GB2312" w:hAnsi="仿宋_GB2312" w:cs="仿宋_GB2312" w:eastAsia="仿宋_GB2312"/>
                      <w:sz w:val="19"/>
                      <w:color w:val="000000"/>
                    </w:rPr>
                    <w:t xml:space="preserve"> 7、伸缩可靠性：伸缩警棍伸展、收回为一个循环，分别用拉出伸展和甩动伸展循环3000次后，应能正常伸展和收回；                     </w:t>
                  </w:r>
                  <w:r>
                    <w:br/>
                  </w:r>
                  <w:r>
                    <w:rPr>
                      <w:rFonts w:ascii="仿宋_GB2312" w:hAnsi="仿宋_GB2312" w:cs="仿宋_GB2312" w:eastAsia="仿宋_GB2312"/>
                      <w:sz w:val="19"/>
                      <w:color w:val="000000"/>
                    </w:rPr>
                    <w:t xml:space="preserve"> 8、轴向抗拉性能：伸缩警棍完全伸展并锁定状态下，对棍头施加轴向拉力至1000N，并保持1min后，应正常使用；                         </w:t>
                  </w:r>
                  <w:r>
                    <w:br/>
                  </w:r>
                  <w:r>
                    <w:rPr>
                      <w:rFonts w:ascii="仿宋_GB2312" w:hAnsi="仿宋_GB2312" w:cs="仿宋_GB2312" w:eastAsia="仿宋_GB2312"/>
                      <w:sz w:val="19"/>
                      <w:color w:val="000000"/>
                    </w:rPr>
                    <w:t xml:space="preserve"> 9、抗弯性能：伸缩警棍完全伸展并锁定状态下，对中管施加5000N的压力，并保持1min后，应正常使用；                         </w:t>
                  </w:r>
                  <w:r>
                    <w:br/>
                  </w:r>
                  <w:r>
                    <w:rPr>
                      <w:rFonts w:ascii="仿宋_GB2312" w:hAnsi="仿宋_GB2312" w:cs="仿宋_GB2312" w:eastAsia="仿宋_GB2312"/>
                      <w:sz w:val="19"/>
                      <w:color w:val="000000"/>
                    </w:rPr>
                    <w:t xml:space="preserve"> 10、耐击打性能：伸缩警棍完全伸展并锁定状态下，固定在专用击打试验机上，以3000N击打力连续击打3000次，伸缩警棍不应断裂，棍头不应脱落，应能正常伸展和收回；                             </w:t>
                  </w:r>
                  <w:r>
                    <w:br/>
                  </w:r>
                  <w:r>
                    <w:rPr>
                      <w:rFonts w:ascii="仿宋_GB2312" w:hAnsi="仿宋_GB2312" w:cs="仿宋_GB2312" w:eastAsia="仿宋_GB2312"/>
                      <w:sz w:val="19"/>
                      <w:color w:val="000000"/>
                    </w:rPr>
                    <w:t xml:space="preserve"> 11、极限击打性能：伸缩警棍完全伸展并锁定状态下，固定在专用击打试验机上，按规定的击打力对钢制刀具进行击打，伸缩警棍不应断裂，棍头不应脱落，应能正常伸展和收回；               </w:t>
                  </w:r>
                  <w:r>
                    <w:br/>
                  </w:r>
                  <w:r>
                    <w:rPr>
                      <w:rFonts w:ascii="仿宋_GB2312" w:hAnsi="仿宋_GB2312" w:cs="仿宋_GB2312" w:eastAsia="仿宋_GB2312"/>
                      <w:sz w:val="19"/>
                      <w:color w:val="000000"/>
                    </w:rPr>
                    <w:t xml:space="preserve"> 12、跌落可靠性：伸缩警棍在完全伸展并锁定状态下，以水平、正立、倒立3种姿态，从1.5m高度自由跌落至水泥地面，各试验1次，应符合功能要求；                                                 </w:t>
                  </w:r>
                  <w:r>
                    <w:br/>
                  </w:r>
                  <w:r>
                    <w:rPr>
                      <w:rFonts w:ascii="仿宋_GB2312" w:hAnsi="仿宋_GB2312" w:cs="仿宋_GB2312" w:eastAsia="仿宋_GB2312"/>
                      <w:sz w:val="19"/>
                      <w:color w:val="000000"/>
                    </w:rPr>
                    <w:t xml:space="preserve"> 13、耐腐蚀性：伸缩警棍经8h盐雾试验，应符合要求；                     </w:t>
                  </w:r>
                  <w:r>
                    <w:br/>
                  </w:r>
                  <w:r>
                    <w:rPr>
                      <w:rFonts w:ascii="仿宋_GB2312" w:hAnsi="仿宋_GB2312" w:cs="仿宋_GB2312" w:eastAsia="仿宋_GB2312"/>
                      <w:sz w:val="19"/>
                      <w:color w:val="000000"/>
                    </w:rPr>
                    <w:t xml:space="preserve"> 14、温度适应性：伸缩警棍在-40℃~60℃条件下，握把橡胶套应无粘连、变形或龟裂；                                             </w:t>
                  </w:r>
                  <w:r>
                    <w:br/>
                  </w:r>
                  <w:r>
                    <w:rPr>
                      <w:rFonts w:ascii="仿宋_GB2312" w:hAnsi="仿宋_GB2312" w:cs="仿宋_GB2312" w:eastAsia="仿宋_GB2312"/>
                      <w:sz w:val="19"/>
                      <w:color w:val="000000"/>
                    </w:rPr>
                    <w:t xml:space="preserve"> 15、握把橡胶套防脱性能：伸缩警棍在收回状态下，在警棍套中进行插拔试验3000次后，握把橡胶套应无卷边、翘起、移位等现象；                                       </w:t>
                  </w:r>
                  <w:r>
                    <w:br/>
                  </w:r>
                  <w:r>
                    <w:rPr>
                      <w:rFonts w:ascii="仿宋_GB2312" w:hAnsi="仿宋_GB2312" w:cs="仿宋_GB2312" w:eastAsia="仿宋_GB2312"/>
                      <w:sz w:val="19"/>
                      <w:color w:val="000000"/>
                    </w:rPr>
                    <w:t xml:space="preserve"> 16、产品符合GA 886-2018《公安单警装备  伸缩警棍》的要求。</w:t>
                  </w:r>
                  <w:r>
                    <w:br/>
                  </w:r>
                  <w:r>
                    <w:rPr>
                      <w:rFonts w:ascii="仿宋_GB2312" w:hAnsi="仿宋_GB2312" w:cs="仿宋_GB2312" w:eastAsia="仿宋_GB2312"/>
                      <w:sz w:val="20"/>
                      <w:b/>
                      <w:color w:val="000000"/>
                    </w:rPr>
                    <w:t>注：出具公安部检测报告</w:t>
                  </w:r>
                </w:p>
              </w:tc>
              <w:tc>
                <w:tcPr>
                  <w:tcW w:type="dxa" w:w="1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新标</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交货地点：宝鸡市金台区宝平路52号。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进度款，合同签订后7日内，货到验收合格 ，达到付款条件起10个工作日内，支付合同总金额的95.0%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进度款，质保期（1年）满后，达到付款条件起30个工作日内，支付合同总金额的5.0%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货物到场后由甲乙双方共同验收。 验收标准：（1）货物外形、包装完好； （2）型号、规格、数量无误； （3）货物符 合国家法律、法规、监管规定要求的质量、技术、安全、有效期、环保等标准，符合本合同各项要求及标准，乙方对该货物有 质量说明的，也应符合该质量说明。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违约责任：（一）甲方的违约责任包括： 甲方无故中途退货，应向乙方支付退货部分货款[ 10 ]% 的违约金，因乙方违 约及本合同另有规定的除外。 （二）乙方的违约责任包括： 1.乙方所交系统品种、型号、规格、质量、功能、外观等不符合 本合同规定的，如果甲方同意使用，应当按质论价；如果甲方认为不能使用的，应根据货物的具体情况，由乙方在[ 10 ]个工 作日内负责包换或包修，并承担因修理、调换、运输而产生的全部费用。乙方不能在前述时间内完成修理或者调换，或者修理 和调换后的货物仍不符合合同规定的，甲方有权退货，并要求乙方按不能交货部分货款的[ 5 ]%承担违约金并赔偿甲方的损 失。 2.乙方提前交货的，甲方接货后，仍可按合同规定的交货时间付款。 解决争议的方法：1.产生纠纷首先协商，争取自行 友好解决。2.协商解决不成的双方均有权向甲方所在地有管辖权的人民法院提起民事诉讼。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1.具有独立承担民事责任能力的法人、其他组织，并出具合法有效的营业执照或事业单位法人证书等国家规定的相关证明。 2.财务状况报告：提供2024或2025年度经审计的财务会计报告 (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 3.税收缴纳证明：提供开标日期前六个月内任意一个月的纳税证明或完税证明(复印件加盖投标供应商公章) (依法免税的投标供应商应提供相应证明文件) 4.社会保障资金缴纳证明：提供开标日期前六个月内任意一个月的社会保障资金缴存单据或社保机构开具的社会保险参保缴费情况证明。 5.提供具有履行本合同所必需的设备和专业技术能力的承诺。 6.参加政府采购活动前近3年内，在经营活动中没有重大违法记录的声明。</w:t>
            </w:r>
          </w:p>
        </w:tc>
        <w:tc>
          <w:tcPr>
            <w:tcW w:type="dxa" w:w="1661"/>
          </w:tcPr>
          <w:p>
            <w:pPr>
              <w:pStyle w:val="null3"/>
            </w:pPr>
            <w:r>
              <w:rPr>
                <w:rFonts w:ascii="仿宋_GB2312" w:hAnsi="仿宋_GB2312" w:cs="仿宋_GB2312" w:eastAsia="仿宋_GB2312"/>
              </w:rPr>
              <w:t>投标函 一般资格证明文件.docx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一般资格证明文件.docx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法定代表人或单位负责人投标的，应提供法定代表人或单位负责人身份证明；授权代表投标的，应提供法定代表人或单位负责人身份证明、授权委托书及授权代表身份证明。</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 ov.cn)“失信被执行人或重大税收违法失信主体或政府 采购严重违法失信行为”记录名单； 不处于中国政府采 购网(www.ccgp.gov.cn)“政府采购严重违法失信行为信息记录”中的禁止参加政府采购活动期间。（以采购代理机构于递交投标文件截止时间当天进行资格审查时在“信用中国”网 （www.creditchina.gov.cn）及中国政府采购网(www.ccgp.gov.cn)查询结果为准） 。</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不允许联合体投标，提供非联合体投标声明。</w:t>
            </w:r>
          </w:p>
        </w:tc>
        <w:tc>
          <w:tcPr>
            <w:tcW w:type="dxa" w:w="1661"/>
          </w:tcPr>
          <w:p>
            <w:pPr>
              <w:pStyle w:val="null3"/>
            </w:pPr>
            <w:r>
              <w:rPr>
                <w:rFonts w:ascii="仿宋_GB2312" w:hAnsi="仿宋_GB2312" w:cs="仿宋_GB2312" w:eastAsia="仿宋_GB2312"/>
              </w:rPr>
              <w:t>特殊资格证明文件.docx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 xml:space="preserve"> 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 xml:space="preserve"> 满足本招标文件第三章3.4商务要求中：交货时间、交货 地点、支付约定、质量保修范围和保修期要求的投标保证金已按招标文件规定提交且金额、形式符合招表文件要求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一、投标产品的技术指标评审：技术参数完全响应，没有负偏离，得20分。“▲”号技术参数有一项不满 足扣2分，非“▲”号技术指标参数一项不满足扣1分，扣完为止。评审依据：按照技术参数要求提供相应 的证明文件（包括不限于检测报告、技术白皮书、厂家产品说明等）。 二、投标产品的可靠性5分：1.所投设备技术先进、可靠性强、成熟度高，满足用户需求，得5分； 2.所投设备技术成熟、性能稳定 ，基本满足用户需求，得3分；3.所投设备技术成熟、性能满足、不影响用户使用效果，得1分。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投标人针对本项目提供的项目供货方案，包含但不限于以下内容：①项目实施方案及说明；②工作进度计划；③备货、配送、安装调试、验收等工作流程；④产品质量保证措施；；⑤备品、备件方案； 以上各项内容完整详细、具有针对性与可行性且符合项目实际需求的计15分，每缺少一项扣3分，每项有一处内容不合理或存在缺陷与不足的扣1分，扣完为止。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故障及其他突发情况的应急方案，有具体可行的应急措施和解决方案。具有针对性与可行性且符合项目实际需求的计5分，每缺少一项扣1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培训计划及售后服务承诺</w:t>
            </w:r>
          </w:p>
        </w:tc>
        <w:tc>
          <w:tcPr>
            <w:tcW w:type="dxa" w:w="2492"/>
          </w:tcPr>
          <w:p>
            <w:pPr>
              <w:pStyle w:val="null3"/>
            </w:pPr>
            <w:r>
              <w:rPr>
                <w:rFonts w:ascii="仿宋_GB2312" w:hAnsi="仿宋_GB2312" w:cs="仿宋_GB2312" w:eastAsia="仿宋_GB2312"/>
              </w:rPr>
              <w:t>根据投标人针对本项目提供的培训计划及售后服务承诺，包含但不限于以下内容：①培训计划（培训人数、培训时间、培训内容等）；②用户操作、后期维护方案；③故障处理及响应时间；④售后服务内容及范围承诺等。以上各项内容完整详细、具有针对性与可行性且符合项目实际需求的计8分，每缺少一项扣2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投标人针对所供货物，有具体可行的包装运输方案。具有针对性与可行性且符合项目实际需求的计4分，每缺少一项扣2分，每项有一处内容不合理或存在缺陷与不足的扣0.5分，扣完为止。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提供所投产品合法来源渠道证明文件（包括但不限于销售协议、代理协议、原厂授权等），确保生产供 应的产品为全新产品,无假货、水货、翻新货且无产权纠纷。提供齐全计3分，提供不全的计1分，未提供 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提供2023年5月至投标截止时间（以合同签订时间为准）类似项目业绩，每提供一个业绩得2分，满分 10分。 评审依据：以加盖公章的业绩合同复印件为准，合同至少需包含合同首页、采购清单（至少有3项和本次采购货物类似或一致）、签章页。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满足招标文件要求且有效投标文件的最低投标报价为评审基准价，其价格分为满分。其他投标人的价格分统一按照下列公式计算：投标报价得分=（评标基准价/投标报价）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详见附件：一般资格证明文件.docx</w:t>
      </w:r>
    </w:p>
    <w:p>
      <w:pPr>
        <w:pStyle w:val="null3"/>
        <w:ind w:firstLine="960"/>
      </w:pPr>
      <w:r>
        <w:rPr>
          <w:rFonts w:ascii="仿宋_GB2312" w:hAnsi="仿宋_GB2312" w:cs="仿宋_GB2312" w:eastAsia="仿宋_GB2312"/>
        </w:rPr>
        <w:t>详见附件：特殊资格证明文件.docx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