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版本号：SYCG-GK-26007-1.1B120260429001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县委、县政府机关大院物业服务项目(二次)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SYCG-GK-26007-1.1B1</w:t>
      </w:r>
      <w:r>
        <w:br/>
      </w:r>
      <w:r>
        <w:br/>
      </w:r>
      <w:r>
        <w:br/>
      </w:r>
    </w:p>
    <w:p>
      <w:pPr>
        <w:pStyle w:val="null3"/>
        <w:jc w:val="center"/>
        <w:outlineLvl w:val="2"/>
      </w:pPr>
      <w:r>
        <w:rPr>
          <w:rFonts w:ascii="仿宋_GB2312" w:hAnsi="仿宋_GB2312" w:cs="仿宋_GB2312" w:eastAsia="仿宋_GB2312"/>
          <w:sz w:val="28"/>
          <w:b/>
        </w:rPr>
        <w:t>三原县人民政府办公室</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三原县人民政府办公室</w:t>
      </w:r>
      <w:r>
        <w:rPr>
          <w:rFonts w:ascii="仿宋_GB2312" w:hAnsi="仿宋_GB2312" w:cs="仿宋_GB2312" w:eastAsia="仿宋_GB2312"/>
        </w:rPr>
        <w:t>委托，拟对</w:t>
      </w:r>
      <w:r>
        <w:rPr>
          <w:rFonts w:ascii="仿宋_GB2312" w:hAnsi="仿宋_GB2312" w:cs="仿宋_GB2312" w:eastAsia="仿宋_GB2312"/>
        </w:rPr>
        <w:t>县委、县政府机关大院物业服务项目(二次)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SYCG-GK-26007-1.1B1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县委、县政府机关大院物业服务项目(二次)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推进机关后勤服务社会化，提升保障水平，提供安全、整洁、有序办公环境，保障政务活动顺利开展，规范管理维护国有资产。</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采购包1（县委、县政府机关大院物业服务项目）：属于专门面向中小企业采购。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1、响应主体：具有独立承担民事责任能力的法人、其他组织或自然人，并出具合法有效的营业执照或事业单位法人证书 等国家规定的相关证明， 自然人参与的提供其身份证明；</w:t>
      </w:r>
    </w:p>
    <w:p>
      <w:pPr>
        <w:pStyle w:val="null3"/>
      </w:pPr>
      <w:r>
        <w:rPr>
          <w:rFonts w:ascii="仿宋_GB2312" w:hAnsi="仿宋_GB2312" w:cs="仿宋_GB2312" w:eastAsia="仿宋_GB2312"/>
        </w:rPr>
        <w:t>2、财务审计报告：投标人需提供2024年度或2025年度经审计的投标人财务审计报告或者开标前三个月内的银行资信证 明或财政部门认可的政府采购专业担保机构出具的投标担保函；</w:t>
      </w:r>
    </w:p>
    <w:p>
      <w:pPr>
        <w:pStyle w:val="null3"/>
      </w:pPr>
      <w:r>
        <w:rPr>
          <w:rFonts w:ascii="仿宋_GB2312" w:hAnsi="仿宋_GB2312" w:cs="仿宋_GB2312" w:eastAsia="仿宋_GB2312"/>
        </w:rPr>
        <w:t>3、税收缴纳证明：提供开标截止时间前半年内至少一个月的纳税证明或完税证明；依法免税的单位应提供相关证明材料；</w:t>
      </w:r>
    </w:p>
    <w:p>
      <w:pPr>
        <w:pStyle w:val="null3"/>
      </w:pPr>
      <w:r>
        <w:rPr>
          <w:rFonts w:ascii="仿宋_GB2312" w:hAnsi="仿宋_GB2312" w:cs="仿宋_GB2312" w:eastAsia="仿宋_GB2312"/>
        </w:rPr>
        <w:t>4、社会保障资金缴纳证明：提供开标截止时间前半年内至少一个月的社保机构开具的社会保险参保缴费情况证明；依法不需要缴纳社会保障资金的单位应提供相关证明材料；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5、无重大违法记录书面声明：参加本次招标前3年内，在政府采购经营活动中没有重大违法记录的书面声明；</w:t>
      </w:r>
    </w:p>
    <w:p>
      <w:pPr>
        <w:pStyle w:val="null3"/>
      </w:pPr>
      <w:r>
        <w:rPr>
          <w:rFonts w:ascii="仿宋_GB2312" w:hAnsi="仿宋_GB2312" w:cs="仿宋_GB2312" w:eastAsia="仿宋_GB2312"/>
        </w:rPr>
        <w:t>6、信用查询：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7、声明：具有履行合同所必需的设备和专业技术能力；</w:t>
      </w:r>
    </w:p>
    <w:p>
      <w:pPr>
        <w:pStyle w:val="null3"/>
      </w:pPr>
      <w:r>
        <w:rPr>
          <w:rFonts w:ascii="仿宋_GB2312" w:hAnsi="仿宋_GB2312" w:cs="仿宋_GB2312" w:eastAsia="仿宋_GB2312"/>
        </w:rPr>
        <w:t>8、身份证明：法定代表人身份证、法定代表人授权书及被授权人身份证合法有效；</w:t>
      </w:r>
    </w:p>
    <w:p>
      <w:pPr>
        <w:pStyle w:val="null3"/>
      </w:pPr>
      <w:r>
        <w:rPr>
          <w:rFonts w:ascii="仿宋_GB2312" w:hAnsi="仿宋_GB2312" w:cs="仿宋_GB2312" w:eastAsia="仿宋_GB2312"/>
        </w:rPr>
        <w:t>9、非联合体证明：本项目不接受联合体投标，供应商在本采购项目中，不能有与其它供应商负责人为同一人，有控股、管理等关联关系。</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三原县人民政府办公室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政府街4号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三原县政府街</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翟亚琦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13892926608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029-32269233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采购包1：1,786,571.04元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三原县人民政府办公室</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三原县人民政府办公室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三原县人民政府办公室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达到验收合格标准，满足项目要求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联系电话：029-32269233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推进机关后勤服务社会化，提升保障水平，提供安全、整洁、有序办公环境，保障政务活动顺利开展，规范管理维护国有资产。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1,786,571.04</w:t>
      </w:r>
    </w:p>
    <w:p>
      <w:pPr>
        <w:pStyle w:val="null3"/>
      </w:pPr>
      <w:r>
        <w:rPr>
          <w:rFonts w:ascii="仿宋_GB2312" w:hAnsi="仿宋_GB2312" w:cs="仿宋_GB2312" w:eastAsia="仿宋_GB2312"/>
        </w:rPr>
        <w:t>采购包最高限价（元）: 1,786,571.04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县委 县政府机关大院物业服务项目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1,786,571.04</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标的名称：县委 县政府机关大院物业服务项目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5"/>
                <w:b/>
              </w:rPr>
              <w:t>一、总体技术要求</w:t>
            </w:r>
          </w:p>
          <w:p>
            <w:pPr>
              <w:pStyle w:val="null3"/>
            </w:pPr>
            <w:r>
              <w:rPr>
                <w:rFonts w:ascii="仿宋_GB2312" w:hAnsi="仿宋_GB2312" w:cs="仿宋_GB2312" w:eastAsia="仿宋_GB2312"/>
                <w:sz w:val="15"/>
              </w:rPr>
              <w:t>1.服务须符合国家及地方机关后勤物业服务相关规范、行业通用标准与政务办公场所管理要求。</w:t>
            </w:r>
          </w:p>
          <w:p>
            <w:pPr>
              <w:pStyle w:val="null3"/>
            </w:pPr>
            <w:r>
              <w:rPr>
                <w:rFonts w:ascii="仿宋_GB2312" w:hAnsi="仿宋_GB2312" w:cs="仿宋_GB2312" w:eastAsia="仿宋_GB2312"/>
                <w:sz w:val="15"/>
              </w:rPr>
              <w:t>2.服务团队具备机关物业服务经验，管理体系完善，流程规范，响应及时。</w:t>
            </w:r>
          </w:p>
          <w:p>
            <w:pPr>
              <w:pStyle w:val="null3"/>
            </w:pPr>
            <w:r>
              <w:rPr>
                <w:rFonts w:ascii="仿宋_GB2312" w:hAnsi="仿宋_GB2312" w:cs="仿宋_GB2312" w:eastAsia="仿宋_GB2312"/>
                <w:sz w:val="15"/>
              </w:rPr>
              <w:t>3.项目负责人（项目经理1人，主管1人、文员1人）:拟派项目经理和主管需提供具有3年以上相关工作经验的证明（证明材料为任职单位出具的证明材料或者甲方出具的证明材料等）。</w:t>
            </w:r>
          </w:p>
          <w:p>
            <w:pPr>
              <w:pStyle w:val="null3"/>
            </w:pPr>
            <w:r>
              <w:rPr>
                <w:rFonts w:ascii="仿宋_GB2312" w:hAnsi="仿宋_GB2312" w:cs="仿宋_GB2312" w:eastAsia="仿宋_GB2312"/>
                <w:sz w:val="15"/>
              </w:rPr>
              <w:t>4.服务全过程安全合规，不影响机关正常办公秩序与政务活动开展。</w:t>
            </w:r>
          </w:p>
          <w:p>
            <w:pPr>
              <w:pStyle w:val="null3"/>
            </w:pPr>
            <w:r>
              <w:rPr>
                <w:rFonts w:ascii="仿宋_GB2312" w:hAnsi="仿宋_GB2312" w:cs="仿宋_GB2312" w:eastAsia="仿宋_GB2312"/>
                <w:sz w:val="15"/>
              </w:rPr>
              <w:t>5.服务方案贴合机关大院实际场景，满足日常保障、应急处置、环境维护等综合需求。</w:t>
            </w:r>
          </w:p>
          <w:p>
            <w:pPr>
              <w:pStyle w:val="null3"/>
            </w:pPr>
            <w:r>
              <w:rPr>
                <w:rFonts w:ascii="仿宋_GB2312" w:hAnsi="仿宋_GB2312" w:cs="仿宋_GB2312" w:eastAsia="仿宋_GB2312"/>
                <w:sz w:val="15"/>
                <w:b/>
              </w:rPr>
              <w:t>二、环境保洁服务区域及标准</w:t>
            </w:r>
          </w:p>
          <w:p>
            <w:pPr>
              <w:pStyle w:val="null3"/>
            </w:pPr>
            <w:r>
              <w:rPr>
                <w:rFonts w:ascii="仿宋_GB2312" w:hAnsi="仿宋_GB2312" w:cs="仿宋_GB2312" w:eastAsia="仿宋_GB2312"/>
                <w:sz w:val="15"/>
              </w:rPr>
              <w:t>1.公共区域、办公通道、会议室、院落场地等，面积约37100平方米，人数不少于25人，</w:t>
            </w:r>
            <w:r>
              <w:rPr>
                <w:rFonts w:ascii="仿宋_GB2312" w:hAnsi="仿宋_GB2312" w:cs="仿宋_GB2312" w:eastAsia="仿宋_GB2312"/>
                <w:sz w:val="15"/>
              </w:rPr>
              <w:t>每日至少清扫 2 次、巡回保洁，无垃圾、杂物、污渍、积水。</w:t>
            </w:r>
          </w:p>
          <w:p>
            <w:pPr>
              <w:pStyle w:val="null3"/>
            </w:pPr>
            <w:r>
              <w:rPr>
                <w:rFonts w:ascii="仿宋_GB2312" w:hAnsi="仿宋_GB2312" w:cs="仿宋_GB2312" w:eastAsia="仿宋_GB2312"/>
                <w:sz w:val="15"/>
              </w:rPr>
              <w:t>2.垃圾及时分类日产日清，清运过程规范，无异味、无散落、无遗留。</w:t>
            </w:r>
          </w:p>
          <w:p>
            <w:pPr>
              <w:pStyle w:val="null3"/>
            </w:pPr>
            <w:r>
              <w:rPr>
                <w:rFonts w:ascii="仿宋_GB2312" w:hAnsi="仿宋_GB2312" w:cs="仿宋_GB2312" w:eastAsia="仿宋_GB2312"/>
                <w:sz w:val="15"/>
              </w:rPr>
              <w:t>3.公共设施每日擦拭，定期消杀，保持完好整洁。</w:t>
            </w:r>
          </w:p>
          <w:p>
            <w:pPr>
              <w:pStyle w:val="null3"/>
            </w:pPr>
            <w:r>
              <w:rPr>
                <w:rFonts w:ascii="仿宋_GB2312" w:hAnsi="仿宋_GB2312" w:cs="仿宋_GB2312" w:eastAsia="仿宋_GB2312"/>
                <w:sz w:val="15"/>
              </w:rPr>
              <w:t>4.特殊天气与重大活动期间按要求加强保洁保障，满足现场环境标准。</w:t>
            </w:r>
          </w:p>
          <w:p>
            <w:pPr>
              <w:pStyle w:val="null3"/>
            </w:pPr>
            <w:r>
              <w:rPr>
                <w:rFonts w:ascii="仿宋_GB2312" w:hAnsi="仿宋_GB2312" w:cs="仿宋_GB2312" w:eastAsia="仿宋_GB2312"/>
                <w:sz w:val="15"/>
                <w:b/>
              </w:rPr>
              <w:t>三、秩序维护人员与安全服务标准</w:t>
            </w:r>
          </w:p>
          <w:p>
            <w:pPr>
              <w:pStyle w:val="null3"/>
            </w:pPr>
            <w:r>
              <w:rPr>
                <w:rFonts w:ascii="仿宋_GB2312" w:hAnsi="仿宋_GB2312" w:cs="仿宋_GB2312" w:eastAsia="仿宋_GB2312"/>
                <w:sz w:val="15"/>
              </w:rPr>
              <w:t>1.负责大院日常秩序管理，24 小时门岗值守、出入登记，维护正常通行与办公秩序，规范人员与车辆管理，人数不少于12人。</w:t>
            </w:r>
          </w:p>
          <w:p>
            <w:pPr>
              <w:pStyle w:val="null3"/>
            </w:pPr>
            <w:r>
              <w:rPr>
                <w:rFonts w:ascii="仿宋_GB2312" w:hAnsi="仿宋_GB2312" w:cs="仿宋_GB2312" w:eastAsia="仿宋_GB2312"/>
                <w:sz w:val="15"/>
              </w:rPr>
              <w:t>2.落实安全巡查制度，及时发现并上报安全隐患，配合做好风险处置。</w:t>
            </w:r>
          </w:p>
          <w:p>
            <w:pPr>
              <w:pStyle w:val="null3"/>
            </w:pPr>
            <w:r>
              <w:rPr>
                <w:rFonts w:ascii="仿宋_GB2312" w:hAnsi="仿宋_GB2312" w:cs="仿宋_GB2312" w:eastAsia="仿宋_GB2312"/>
                <w:sz w:val="15"/>
              </w:rPr>
              <w:t>3.重大会议 / 活动：专人现场秩序、车辆引导、安全值守。</w:t>
            </w:r>
          </w:p>
          <w:p>
            <w:pPr>
              <w:pStyle w:val="null3"/>
            </w:pPr>
            <w:r>
              <w:rPr>
                <w:rFonts w:ascii="仿宋_GB2312" w:hAnsi="仿宋_GB2312" w:cs="仿宋_GB2312" w:eastAsia="仿宋_GB2312"/>
                <w:sz w:val="15"/>
              </w:rPr>
              <w:t>4.监控保存不少于 30 天，规范管理不外泄。</w:t>
            </w:r>
          </w:p>
          <w:p>
            <w:pPr>
              <w:pStyle w:val="null3"/>
            </w:pPr>
            <w:r>
              <w:rPr>
                <w:rFonts w:ascii="仿宋_GB2312" w:hAnsi="仿宋_GB2312" w:cs="仿宋_GB2312" w:eastAsia="仿宋_GB2312"/>
                <w:sz w:val="15"/>
                <w:b/>
              </w:rPr>
              <w:t>四、设施设备日常协助维护标准</w:t>
            </w:r>
          </w:p>
          <w:p>
            <w:pPr>
              <w:pStyle w:val="null3"/>
            </w:pPr>
            <w:r>
              <w:rPr>
                <w:rFonts w:ascii="仿宋_GB2312" w:hAnsi="仿宋_GB2312" w:cs="仿宋_GB2312" w:eastAsia="仿宋_GB2312"/>
                <w:sz w:val="15"/>
              </w:rPr>
              <w:t>1.协助做好公共区域设施设备的日常巡检、状态观察与问题上报，人数不少于2人。</w:t>
            </w:r>
          </w:p>
          <w:p>
            <w:pPr>
              <w:pStyle w:val="null3"/>
            </w:pPr>
            <w:r>
              <w:rPr>
                <w:rFonts w:ascii="仿宋_GB2312" w:hAnsi="仿宋_GB2312" w:cs="仿宋_GB2312" w:eastAsia="仿宋_GB2312"/>
                <w:sz w:val="15"/>
              </w:rPr>
              <w:t>2.保持公共设施完好可用，发现故障及时反馈并配合处置。</w:t>
            </w:r>
          </w:p>
          <w:p>
            <w:pPr>
              <w:pStyle w:val="null3"/>
            </w:pPr>
            <w:r>
              <w:rPr>
                <w:rFonts w:ascii="仿宋_GB2312" w:hAnsi="仿宋_GB2312" w:cs="仿宋_GB2312" w:eastAsia="仿宋_GB2312"/>
                <w:sz w:val="15"/>
              </w:rPr>
              <w:t>3.配合完成设施日常保养相关辅助工作，保障正常使用。</w:t>
            </w:r>
          </w:p>
          <w:p>
            <w:pPr>
              <w:pStyle w:val="null3"/>
            </w:pPr>
            <w:r>
              <w:rPr>
                <w:rFonts w:ascii="仿宋_GB2312" w:hAnsi="仿宋_GB2312" w:cs="仿宋_GB2312" w:eastAsia="仿宋_GB2312"/>
                <w:sz w:val="15"/>
                <w:b/>
              </w:rPr>
              <w:t>五、绿化养护服务标准</w:t>
            </w:r>
          </w:p>
          <w:p>
            <w:pPr>
              <w:pStyle w:val="null3"/>
            </w:pPr>
            <w:r>
              <w:rPr>
                <w:rFonts w:ascii="仿宋_GB2312" w:hAnsi="仿宋_GB2312" w:cs="仿宋_GB2312" w:eastAsia="仿宋_GB2312"/>
                <w:sz w:val="15"/>
              </w:rPr>
              <w:t>1.负责院内绿植日常养护，保持长势良好、造型规整，人数不少于2人。</w:t>
            </w:r>
          </w:p>
          <w:p>
            <w:pPr>
              <w:pStyle w:val="null3"/>
            </w:pPr>
            <w:r>
              <w:rPr>
                <w:rFonts w:ascii="仿宋_GB2312" w:hAnsi="仿宋_GB2312" w:cs="仿宋_GB2312" w:eastAsia="仿宋_GB2312"/>
                <w:sz w:val="15"/>
              </w:rPr>
              <w:t>2.按规范做好浇水、修剪、除草、病虫害防护等工作。</w:t>
            </w:r>
          </w:p>
          <w:p>
            <w:pPr>
              <w:pStyle w:val="null3"/>
            </w:pPr>
            <w:r>
              <w:rPr>
                <w:rFonts w:ascii="仿宋_GB2312" w:hAnsi="仿宋_GB2312" w:cs="仿宋_GB2312" w:eastAsia="仿宋_GB2312"/>
                <w:sz w:val="15"/>
              </w:rPr>
              <w:t>3.维护绿化区域整洁，无枯枝败叶、无杂草杂物。</w:t>
            </w:r>
          </w:p>
          <w:p>
            <w:pPr>
              <w:pStyle w:val="null3"/>
            </w:pPr>
            <w:r>
              <w:rPr>
                <w:rFonts w:ascii="仿宋_GB2312" w:hAnsi="仿宋_GB2312" w:cs="仿宋_GB2312" w:eastAsia="仿宋_GB2312"/>
                <w:sz w:val="15"/>
                <w:b/>
              </w:rPr>
              <w:t>六、会务与综合保障服务标准</w:t>
            </w:r>
          </w:p>
          <w:p>
            <w:pPr>
              <w:pStyle w:val="null3"/>
            </w:pPr>
            <w:r>
              <w:rPr>
                <w:rFonts w:ascii="仿宋_GB2312" w:hAnsi="仿宋_GB2312" w:cs="仿宋_GB2312" w:eastAsia="仿宋_GB2312"/>
                <w:sz w:val="15"/>
              </w:rPr>
              <w:t>1.按要求提供会议场地布置、会场清洁、茶水保障等会务支持，人数不少于4人。</w:t>
            </w:r>
          </w:p>
          <w:p>
            <w:pPr>
              <w:pStyle w:val="null3"/>
            </w:pPr>
            <w:r>
              <w:rPr>
                <w:rFonts w:ascii="仿宋_GB2312" w:hAnsi="仿宋_GB2312" w:cs="仿宋_GB2312" w:eastAsia="仿宋_GB2312"/>
                <w:sz w:val="15"/>
              </w:rPr>
              <w:t>2.配合完成政务接待、专项活动等临时保障任务。</w:t>
            </w:r>
          </w:p>
          <w:p>
            <w:pPr>
              <w:pStyle w:val="null3"/>
            </w:pPr>
            <w:r>
              <w:rPr>
                <w:rFonts w:ascii="仿宋_GB2312" w:hAnsi="仿宋_GB2312" w:cs="仿宋_GB2312" w:eastAsia="仿宋_GB2312"/>
                <w:sz w:val="15"/>
              </w:rPr>
              <w:t>3.提供文明规范、主动高效的现场服务，树立良好机关形象。</w:t>
            </w:r>
          </w:p>
          <w:p>
            <w:pPr>
              <w:pStyle w:val="null3"/>
            </w:pPr>
            <w:r>
              <w:rPr>
                <w:rFonts w:ascii="仿宋_GB2312" w:hAnsi="仿宋_GB2312" w:cs="仿宋_GB2312" w:eastAsia="仿宋_GB2312"/>
                <w:sz w:val="15"/>
                <w:b/>
              </w:rPr>
              <w:t>七、服务质量与履约标准</w:t>
            </w:r>
          </w:p>
          <w:p>
            <w:pPr>
              <w:pStyle w:val="null3"/>
            </w:pPr>
            <w:r>
              <w:rPr>
                <w:rFonts w:ascii="仿宋_GB2312" w:hAnsi="仿宋_GB2312" w:cs="仿宋_GB2312" w:eastAsia="仿宋_GB2312"/>
                <w:sz w:val="15"/>
              </w:rPr>
              <w:t>1.服务响应及时，处理高效，满足日常与应急双重要求。</w:t>
            </w:r>
          </w:p>
          <w:p>
            <w:pPr>
              <w:pStyle w:val="null3"/>
            </w:pPr>
            <w:r>
              <w:rPr>
                <w:rFonts w:ascii="仿宋_GB2312" w:hAnsi="仿宋_GB2312" w:cs="仿宋_GB2312" w:eastAsia="仿宋_GB2312"/>
                <w:sz w:val="15"/>
              </w:rPr>
              <w:t>2.人员着装统一、言行规范、持证上岗、培训合格，人员稳定，工资不低于当地最低工资标准，人员空缺24 小时内补齐。</w:t>
            </w:r>
          </w:p>
          <w:p>
            <w:pPr>
              <w:pStyle w:val="null3"/>
            </w:pPr>
            <w:r>
              <w:rPr>
                <w:rFonts w:ascii="仿宋_GB2312" w:hAnsi="仿宋_GB2312" w:cs="仿宋_GB2312" w:eastAsia="仿宋_GB2312"/>
                <w:sz w:val="15"/>
              </w:rPr>
              <w:t>3.服务过程文明服务、规范操作，无违规、无投诉、无安全事故。</w:t>
            </w:r>
          </w:p>
          <w:p>
            <w:pPr>
              <w:pStyle w:val="null3"/>
            </w:pPr>
            <w:r>
              <w:rPr>
                <w:rFonts w:ascii="仿宋_GB2312" w:hAnsi="仿宋_GB2312" w:cs="仿宋_GB2312" w:eastAsia="仿宋_GB2312"/>
                <w:sz w:val="15"/>
              </w:rPr>
              <w:t>4.达到采购方日常考核、季度考核与年度评价要求，满足机关办公保障目标。</w:t>
            </w:r>
          </w:p>
          <w:p>
            <w:pPr>
              <w:pStyle w:val="null3"/>
            </w:pPr>
            <w:r>
              <w:rPr>
                <w:rFonts w:ascii="仿宋_GB2312" w:hAnsi="仿宋_GB2312" w:cs="仿宋_GB2312" w:eastAsia="仿宋_GB2312"/>
                <w:sz w:val="15"/>
                <w:b/>
              </w:rPr>
              <w:t>八、安全、环保与合规要求</w:t>
            </w:r>
          </w:p>
          <w:p>
            <w:pPr>
              <w:pStyle w:val="null3"/>
            </w:pPr>
            <w:r>
              <w:rPr>
                <w:rFonts w:ascii="仿宋_GB2312" w:hAnsi="仿宋_GB2312" w:cs="仿宋_GB2312" w:eastAsia="仿宋_GB2312"/>
                <w:sz w:val="15"/>
              </w:rPr>
              <w:t>1.遵守安全生产、消防安全、治安管理相关规定，落实安全责任。</w:t>
            </w:r>
          </w:p>
          <w:p>
            <w:pPr>
              <w:pStyle w:val="null3"/>
            </w:pPr>
            <w:r>
              <w:rPr>
                <w:rFonts w:ascii="仿宋_GB2312" w:hAnsi="仿宋_GB2312" w:cs="仿宋_GB2312" w:eastAsia="仿宋_GB2312"/>
                <w:sz w:val="15"/>
              </w:rPr>
              <w:t>2.使用环保清洁用品，符合绿色环保与卫生防疫要求。</w:t>
            </w:r>
          </w:p>
          <w:p>
            <w:pPr>
              <w:pStyle w:val="null3"/>
            </w:pPr>
            <w:r>
              <w:rPr>
                <w:rFonts w:ascii="仿宋_GB2312" w:hAnsi="仿宋_GB2312" w:cs="仿宋_GB2312" w:eastAsia="仿宋_GB2312"/>
                <w:sz w:val="15"/>
              </w:rPr>
              <w:t>3.严格遵守机关管理规定，做好信息保密与工作纪律要求。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本项目一招两年，合同一年一签。合同期满前，在采购人考核合格的情况下,采购人有权决定是否续签合同，但是累计合同履行期限不超过两年，本次公开招标成交价格（含总价和单价）即为第二年的采购合同价。</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县委、县政府机关大院指定区域</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提供安全、整洁、有序的办公环境，确保政务活动顺利开展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第一季度末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第二季度末</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第三季度末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第四季度末</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在履行过程中发生的与之有关的任何争议，双方友好协商解决，协商不成的，由仲裁机构裁决。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分项报价表.docx 人员配置清单.docx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分项报价表.docx 投标函 人员配置清单.docx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分项报价表.docx 投标函 人员配置清单.docx 残疾人福利性单位声明函 服务方案 标的清单 投标文件封面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 等国家规定的相关证明， 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投标人需提供2024年度或2025年度经审计的投标人财务审计报告或者开标前三个月内的银行资信证 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提供开标截止时间前半年内至少一个月的社保机构开具的社会保险参保缴费情况证明；依法不需要缴纳社会保障资金的单位应提供相关证明材料；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参加本次招标前3年内，在政府采购经营活动中没有重大违法记录的书面声明；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法定代表人身份证、法定代表人授权书及被授权人身份证合法有效；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非联合体证明</w:t>
            </w:r>
          </w:p>
        </w:tc>
        <w:tc>
          <w:tcPr>
            <w:tcW w:type="dxa" w:w="3322"/>
          </w:tcPr>
          <w:p>
            <w:pPr>
              <w:pStyle w:val="null3"/>
            </w:pPr>
            <w:r>
              <w:rPr>
                <w:rFonts w:ascii="仿宋_GB2312" w:hAnsi="仿宋_GB2312" w:cs="仿宋_GB2312" w:eastAsia="仿宋_GB2312"/>
              </w:rPr>
              <w:t>本项目不接受联合体投标，供应商在本采购项目中，不能有与其它供应商负责人为同一人，有控股、管理等关联关系。</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分项报价表.docx 投标函 人员配置清单.docx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分项报价表.docx 投标函 人员配置清单.docx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w:t>
            </w:r>
          </w:p>
        </w:tc>
        <w:tc>
          <w:tcPr>
            <w:tcW w:type="dxa" w:w="3322"/>
          </w:tcPr>
          <w:p>
            <w:pPr>
              <w:pStyle w:val="null3"/>
            </w:pPr>
            <w:r>
              <w:rPr>
                <w:rFonts w:ascii="仿宋_GB2312" w:hAnsi="仿宋_GB2312" w:cs="仿宋_GB2312" w:eastAsia="仿宋_GB2312"/>
              </w:rPr>
              <w:t>针对同一项目提交两份或多份内容不同的响应文件，未书面声明哪一份是有效的或出现选择性报价的</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分项报价表.docx 投标函 人员配置清单.docx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限价</w:t>
            </w:r>
          </w:p>
        </w:tc>
        <w:tc>
          <w:tcPr>
            <w:tcW w:type="dxa" w:w="3322"/>
          </w:tcPr>
          <w:p>
            <w:pPr>
              <w:pStyle w:val="null3"/>
            </w:pPr>
            <w:r>
              <w:rPr>
                <w:rFonts w:ascii="仿宋_GB2312" w:hAnsi="仿宋_GB2312" w:cs="仿宋_GB2312" w:eastAsia="仿宋_GB2312"/>
              </w:rPr>
              <w:t>报价不超过采购预算/限价</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分项报价表.docx 投标函 人员配置清单.docx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有效期不符合招标文件的要求</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分项报价表.docx 投标函 人员配置清单.docx 残疾人福利性单位声明函 服务方案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巡查服务方案</w:t>
            </w:r>
          </w:p>
        </w:tc>
        <w:tc>
          <w:tcPr>
            <w:tcW w:type="dxa" w:w="2492"/>
          </w:tcPr>
          <w:p>
            <w:pPr>
              <w:pStyle w:val="null3"/>
            </w:pPr>
            <w:r>
              <w:rPr>
                <w:rFonts w:ascii="仿宋_GB2312" w:hAnsi="仿宋_GB2312" w:cs="仿宋_GB2312" w:eastAsia="仿宋_GB2312"/>
              </w:rPr>
              <w:t>供应商针对本项目提出巡查服务方案，包含但不限于①重点区域专项巡查方案、②全流程隐患闭环巡查方案等，内容完整、详细、合理、可操作性强，符合项目要求。每项满分2分，缺项不得分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供应商针对本项目培训考核方案，包含但不限于①岗前专项培训考核方案、②在岗技能提升培训考核方案、③应急处置实战培训考核方案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应急预案内容，包含但不限于①突发事件应急、②安全意外应急、③应急资源统筹④演练计划安排⑤过往应急处理经验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供应商针对本项目的人员配备，包含但不限于①精准化人员配置方案、②人员资质保障与稳定性方案等，内容完整、详细、合理、可操作性强，符合项目要求。每项满分2分，缺项不得分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供应商针对本项目的设备配备，包括但不限于①设施配备构成及合理性安排、②实际作用等内容，内容完整、详细、合理、可操作性强，符合项目要求。每项满分2分，缺项不得分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接受监督</w:t>
            </w:r>
          </w:p>
        </w:tc>
        <w:tc>
          <w:tcPr>
            <w:tcW w:type="dxa" w:w="2492"/>
          </w:tcPr>
          <w:p>
            <w:pPr>
              <w:pStyle w:val="null3"/>
            </w:pPr>
            <w:r>
              <w:rPr>
                <w:rFonts w:ascii="仿宋_GB2312" w:hAnsi="仿宋_GB2312" w:cs="仿宋_GB2312" w:eastAsia="仿宋_GB2312"/>
              </w:rPr>
              <w:t>供应商针对本项目接受监督，包括但不限于①全维度监督体系搭建方案、②监督反馈闭环处置方案等内容，内容完整、详细、合理、可操作性强，符合项目要求。每项满分2分，缺项不得分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服务方案，内容包括但不限于①对项目的背景和工作目的理解②人员调配、人员分工③实施计划、行程安排④实施细则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管理服务方案</w:t>
            </w:r>
          </w:p>
        </w:tc>
        <w:tc>
          <w:tcPr>
            <w:tcW w:type="dxa" w:w="2492"/>
          </w:tcPr>
          <w:p>
            <w:pPr>
              <w:pStyle w:val="null3"/>
            </w:pPr>
            <w:r>
              <w:rPr>
                <w:rFonts w:ascii="仿宋_GB2312" w:hAnsi="仿宋_GB2312" w:cs="仿宋_GB2312" w:eastAsia="仿宋_GB2312"/>
              </w:rPr>
              <w:t>供应商针对本项目管理服务方案，内容包括但不限于①人员精细化管理方案②智能化管控方案③物资规范化管控方案④应急处置方案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秩序维护服务方案</w:t>
            </w:r>
          </w:p>
        </w:tc>
        <w:tc>
          <w:tcPr>
            <w:tcW w:type="dxa" w:w="2492"/>
          </w:tcPr>
          <w:p>
            <w:pPr>
              <w:pStyle w:val="null3"/>
            </w:pPr>
            <w:r>
              <w:rPr>
                <w:rFonts w:ascii="仿宋_GB2312" w:hAnsi="仿宋_GB2312" w:cs="仿宋_GB2312" w:eastAsia="仿宋_GB2312"/>
              </w:rPr>
              <w:t>供应商针对本项目秩序维护服务方案 ，内容包括但不限于①公共区域秩序精细化管控方案、②重点场景秩序专项防控方案，③秩序冲突柔性处置方案等。内容完整、详细、合理、可操作性强，符合项目要求。每项满分2分，缺项不得分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供应商须根据本项目档案管理等规章制度，内容包括但不限于①档案管理合规性、②档案管理安全性，③档案利用有效性等。内容完整、详细、合理、可操作性强，符合项目要求。每项满分2分，缺项不得分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岗位管理制度</w:t>
            </w:r>
          </w:p>
        </w:tc>
        <w:tc>
          <w:tcPr>
            <w:tcW w:type="dxa" w:w="2492"/>
          </w:tcPr>
          <w:p>
            <w:pPr>
              <w:pStyle w:val="null3"/>
            </w:pPr>
            <w:r>
              <w:rPr>
                <w:rFonts w:ascii="仿宋_GB2312" w:hAnsi="仿宋_GB2312" w:cs="仿宋_GB2312" w:eastAsia="仿宋_GB2312"/>
              </w:rPr>
              <w:t>供应商具对本项目岗位管理制度，包含但不限于，①岗位责任明细制度、②考勤与值守管理制度，③行为规范与奖惩管理制度等。内容完整、详细、合理、可操作性强，符合项目要求。每项满分2分，缺项不得分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内控管理制度</w:t>
            </w:r>
          </w:p>
        </w:tc>
        <w:tc>
          <w:tcPr>
            <w:tcW w:type="dxa" w:w="2492"/>
          </w:tcPr>
          <w:p>
            <w:pPr>
              <w:pStyle w:val="null3"/>
            </w:pPr>
            <w:r>
              <w:rPr>
                <w:rFonts w:ascii="仿宋_GB2312" w:hAnsi="仿宋_GB2312" w:cs="仿宋_GB2312" w:eastAsia="仿宋_GB2312"/>
              </w:rPr>
              <w:t>供应商针对本项目有完整的管理制度，内容包括但不限于①员工聘用管理制度②人员培训制度③服务质量检查制度④设施设备安全使用管理制度⑤内控制度及信息反馈制度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服务承诺，内容包括但不限于①承诺所有上岗人员在上岗前经过专业培训②承诺若出现服务人员因事、病等不能工作的，及时调整其他服务人员补充，确保服务工作的正常进行等。内容完整、详细、合理、可操作性强，符合项目要求。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提供供应商近三年内至今类似项目业绩，每提供1个有效业绩得2分，满分10分。（附 完整合同复印件并加盖供应商公章，时间以合同签订时间为准，未提供或提供不完整或不清晰均不得分。）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经初审合格的投标文件，其投标报价为有效投标报价，对符合政策性扣减的投标人的有 效投标价格进行政策性扣减，并依据扣减后的价格（评审价格）进行价格评审。 2.满足招 标文件实质性要求且最低的投标报价为评标基准价，其价格分为满分10分。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详见附件：人员配置清单.docx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 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