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版本号：JXRZ-HC-2026-08120260624001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西乡县自然资源局西乡县国土空间总体规划动态维护方案编制服务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JXRZ-HC-2026-081</w:t>
      </w:r>
      <w:r>
        <w:br/>
      </w:r>
      <w:r>
        <w:br/>
      </w:r>
      <w:r>
        <w:br/>
      </w:r>
    </w:p>
    <w:p>
      <w:pPr>
        <w:pStyle w:val="null3"/>
        <w:jc w:val="center"/>
        <w:outlineLvl w:val="2"/>
      </w:pPr>
      <w:r>
        <w:rPr>
          <w:rFonts w:ascii="仿宋_GB2312" w:hAnsi="仿宋_GB2312" w:cs="仿宋_GB2312" w:eastAsia="仿宋_GB2312"/>
          <w:sz w:val="28"/>
          <w:b/>
        </w:rPr>
        <w:t>西乡县自然资源局(不动产登记局)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西乡县自然资源局(不动产登记局)</w:t>
      </w:r>
      <w:r>
        <w:rPr>
          <w:rFonts w:ascii="仿宋_GB2312" w:hAnsi="仿宋_GB2312" w:cs="仿宋_GB2312" w:eastAsia="仿宋_GB2312"/>
        </w:rPr>
        <w:t>委托，拟对</w:t>
      </w:r>
      <w:r>
        <w:rPr>
          <w:rFonts w:ascii="仿宋_GB2312" w:hAnsi="仿宋_GB2312" w:cs="仿宋_GB2312" w:eastAsia="仿宋_GB2312"/>
        </w:rPr>
        <w:t>西乡县自然资源局西乡县国土空间总体规划动态维护方案编制服务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西乡县自然资源局西乡县国土空间总体规划动态维护方案编制服务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拟采购西乡县国土空间总体规划动态维护方案编制服务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采购包1（西乡县自然资源局西乡县国土空间总体规划动态维护方案编制服务）：属于专门面向中小企业采购。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1、营业执照：供应商具有独⽴承担⺠事责任能⼒的法⼈、其他组织或⾃然⼈，提供合法有效的统⼀社会信⽤代码营业执照或事业单位法⼈证书（⾃然⼈应提供⾝份证明）；</w:t>
      </w:r>
    </w:p>
    <w:p>
      <w:pPr>
        <w:pStyle w:val="null3"/>
      </w:pPr>
      <w:r>
        <w:rPr>
          <w:rFonts w:ascii="仿宋_GB2312" w:hAnsi="仿宋_GB2312" w:cs="仿宋_GB2312" w:eastAsia="仿宋_GB2312"/>
        </w:rPr>
        <w:t>2、授权代表：供应商应授权合法的⼈员参加投标全过程，其中法定代表⼈直接参加投标的，须出具法⼈⾝份证，法定代表⼈授权代表参加投标的，须出具法定代表⼈授权书及授权代表⾝份证扫描件；</w:t>
      </w:r>
    </w:p>
    <w:p>
      <w:pPr>
        <w:pStyle w:val="null3"/>
      </w:pPr>
      <w:r>
        <w:rPr>
          <w:rFonts w:ascii="仿宋_GB2312" w:hAnsi="仿宋_GB2312" w:cs="仿宋_GB2312" w:eastAsia="仿宋_GB2312"/>
        </w:rPr>
        <w:t>3、资格承诺：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w:t>
      </w:r>
    </w:p>
    <w:p>
      <w:pPr>
        <w:pStyle w:val="null3"/>
      </w:pPr>
      <w:r>
        <w:rPr>
          <w:rFonts w:ascii="仿宋_GB2312" w:hAnsi="仿宋_GB2312" w:cs="仿宋_GB2312" w:eastAsia="仿宋_GB2312"/>
        </w:rPr>
        <w:t>4、资质要求：供应商应具有行政主管部门颁发的有效期内的城乡规划（国土空间规划）编制单位乙级及以上资质证书或土地规划机构等级证书乙级（包含乙级）以上资质证书（提供证书复印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西乡县自然资源局(不动产登记局)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西乡县金牛路北段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13571674605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15909161227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中标（成交）供应商的中标（成交）金额为基数，按照《国家计委关于印发&lt;采购代理服务收费管理暂行办法&gt;的通知》（计价格[2002]1980号）规定收取，由采购项目中标（成交）供应商向受托方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西乡县自然资源局(不动产登记局)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西乡县自然资源局(不动产登记局)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西乡县自然资源局(不动产登记局)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符合国家及陕西省国土空间规划技术规范，满足本项目采购需求全部要求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拟采购西乡县国土空间总体规划动态维护方案编制服务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总体规划动态维护方案编制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标的名称：总体规划动态维护方案编制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项目名称</w:t>
            </w:r>
          </w:p>
          <w:p>
            <w:pPr>
              <w:pStyle w:val="null3"/>
              <w:ind w:firstLine="480"/>
              <w:jc w:val="left"/>
            </w:pPr>
            <w:r>
              <w:rPr>
                <w:rFonts w:ascii="仿宋_GB2312" w:hAnsi="仿宋_GB2312" w:cs="仿宋_GB2312" w:eastAsia="仿宋_GB2312"/>
                <w:sz w:val="24"/>
                <w:color w:val="222222"/>
              </w:rPr>
              <w:t>西乡县自然资源局西乡县国土空间总体规划动态维护方案编制服务</w:t>
            </w:r>
          </w:p>
          <w:p>
            <w:pPr>
              <w:pStyle w:val="null3"/>
              <w:ind w:firstLine="482"/>
              <w:jc w:val="left"/>
            </w:pPr>
            <w:r>
              <w:rPr>
                <w:rFonts w:ascii="仿宋_GB2312" w:hAnsi="仿宋_GB2312" w:cs="仿宋_GB2312" w:eastAsia="仿宋_GB2312"/>
                <w:sz w:val="24"/>
                <w:b/>
                <w:color w:val="222222"/>
              </w:rPr>
              <w:t>二、</w:t>
            </w:r>
            <w:r>
              <w:rPr>
                <w:rFonts w:ascii="仿宋_GB2312" w:hAnsi="仿宋_GB2312" w:cs="仿宋_GB2312" w:eastAsia="仿宋_GB2312"/>
                <w:sz w:val="24"/>
                <w:b/>
                <w:color w:val="222222"/>
              </w:rPr>
              <w:t>工作内容</w:t>
            </w:r>
          </w:p>
          <w:p>
            <w:pPr>
              <w:pStyle w:val="null3"/>
              <w:ind w:firstLine="480"/>
              <w:jc w:val="left"/>
            </w:pPr>
            <w:r>
              <w:rPr>
                <w:rFonts w:ascii="仿宋_GB2312" w:hAnsi="仿宋_GB2312" w:cs="仿宋_GB2312" w:eastAsia="仿宋_GB2312"/>
                <w:sz w:val="24"/>
              </w:rPr>
              <w:t>1.规划实施评估：编制2024年度国土空间规划体检评估报告，全面研判规划实施成效、现存问题，形成问题清单与优化建议，作为动态调整工作基础。</w:t>
            </w:r>
          </w:p>
          <w:p>
            <w:pPr>
              <w:pStyle w:val="null3"/>
              <w:ind w:firstLine="480"/>
              <w:jc w:val="left"/>
            </w:pPr>
            <w:r>
              <w:rPr>
                <w:rFonts w:ascii="仿宋_GB2312" w:hAnsi="仿宋_GB2312" w:cs="仿宋_GB2312" w:eastAsia="仿宋_GB2312"/>
                <w:sz w:val="24"/>
              </w:rPr>
              <w:t>2.需求梳理对接：对接县本级“十五五” 发展规划、专项规划及发改部门确认的重点建设项目，梳理用地规模、空间范围，协调化解空间冲突。</w:t>
            </w:r>
          </w:p>
          <w:p>
            <w:pPr>
              <w:pStyle w:val="null3"/>
              <w:ind w:firstLine="480"/>
              <w:jc w:val="left"/>
            </w:pPr>
            <w:r>
              <w:rPr>
                <w:rFonts w:ascii="仿宋_GB2312" w:hAnsi="仿宋_GB2312" w:cs="仿宋_GB2312" w:eastAsia="仿宋_GB2312"/>
                <w:sz w:val="24"/>
              </w:rPr>
              <w:t>3.规划调整优化：严格坚守三条控制线刚性底线，分类开展规划动态维护，对耕地和永久基本农田、生态保护红线、城镇开发边界开展正向优化；统筹调整中心城区用地布局、城市四线、历史文化保护线、洪涝风险控制线；同步优化规划分区，增补、完善重点建设项目清单。</w:t>
            </w:r>
          </w:p>
          <w:p>
            <w:pPr>
              <w:pStyle w:val="null3"/>
              <w:ind w:firstLine="480"/>
              <w:jc w:val="left"/>
            </w:pPr>
            <w:r>
              <w:rPr>
                <w:rFonts w:ascii="仿宋_GB2312" w:hAnsi="仿宋_GB2312" w:cs="仿宋_GB2312" w:eastAsia="仿宋_GB2312"/>
                <w:sz w:val="24"/>
              </w:rPr>
              <w:t>4.数据与方案编制：按照省级统一标准编制年度县级国土空间总体规划动态维护方案，完成各项正向优化指标核算、图件制作、表格填报；同步更新国土空间规划数据库，确保数、线、图、表一致。</w:t>
            </w:r>
          </w:p>
          <w:p>
            <w:pPr>
              <w:pStyle w:val="null3"/>
              <w:ind w:firstLine="480"/>
              <w:jc w:val="left"/>
            </w:pPr>
            <w:r>
              <w:rPr>
                <w:rFonts w:ascii="仿宋_GB2312" w:hAnsi="仿宋_GB2312" w:cs="仿宋_GB2312" w:eastAsia="仿宋_GB2312"/>
                <w:sz w:val="24"/>
              </w:rPr>
              <w:t>5.配合报审汇交：按流程完成部门意见征求、公众公示、专家评审，配合县、市、省各级主管部门技术审查、审议报批，依托国土空间规划 “一张图” 系统完成成果汇交、数据更新及后期整改。</w:t>
            </w:r>
          </w:p>
          <w:p>
            <w:pPr>
              <w:pStyle w:val="null3"/>
              <w:ind w:firstLine="482"/>
              <w:jc w:val="left"/>
            </w:pPr>
            <w:r>
              <w:rPr>
                <w:rFonts w:ascii="仿宋_GB2312" w:hAnsi="仿宋_GB2312" w:cs="仿宋_GB2312" w:eastAsia="仿宋_GB2312"/>
                <w:sz w:val="24"/>
                <w:b/>
                <w:color w:val="222222"/>
              </w:rPr>
              <w:t>三、</w:t>
            </w:r>
            <w:r>
              <w:rPr>
                <w:rFonts w:ascii="仿宋_GB2312" w:hAnsi="仿宋_GB2312" w:cs="仿宋_GB2312" w:eastAsia="仿宋_GB2312"/>
                <w:sz w:val="24"/>
                <w:b/>
                <w:color w:val="222222"/>
              </w:rPr>
              <w:t>编制依据</w:t>
            </w:r>
          </w:p>
          <w:p>
            <w:pPr>
              <w:pStyle w:val="null3"/>
              <w:ind w:firstLine="480"/>
              <w:jc w:val="both"/>
            </w:pPr>
            <w:r>
              <w:rPr>
                <w:rFonts w:ascii="仿宋_GB2312" w:hAnsi="仿宋_GB2312" w:cs="仿宋_GB2312" w:eastAsia="仿宋_GB2312"/>
                <w:sz w:val="24"/>
              </w:rPr>
              <w:t>1.上位政策文件：《中共中央国务院关于建立国土空间规划体系并监督实施的若干意见》（中发〔2019〕18号）、自然资源部《关于国土空间总体规划动态调整完善工作有关问题的答复（第三版）》（自然资空间规划函〔2026〕107号）、《国土空间总体规划动态维护成果数据要求（试行）》（自然资空间规划函〔2026〕120号）。</w:t>
            </w:r>
          </w:p>
          <w:p>
            <w:pPr>
              <w:pStyle w:val="null3"/>
              <w:ind w:firstLine="480"/>
              <w:jc w:val="both"/>
            </w:pPr>
            <w:r>
              <w:rPr>
                <w:rFonts w:ascii="仿宋_GB2312" w:hAnsi="仿宋_GB2312" w:cs="仿宋_GB2312" w:eastAsia="仿宋_GB2312"/>
                <w:sz w:val="24"/>
              </w:rPr>
              <w:t>2.省级文件：《陕西省国土空间总体规划2026年度动态调整完善工作技术指南（试行，第三版）》、陕西省委“十五五”规划相关建议、省自然资源厅配套工作通知及永久基本农田、生态保护红线等专项管理规则。</w:t>
            </w:r>
          </w:p>
          <w:p>
            <w:pPr>
              <w:pStyle w:val="null3"/>
              <w:ind w:firstLine="480"/>
              <w:jc w:val="both"/>
            </w:pPr>
            <w:r>
              <w:rPr>
                <w:rFonts w:ascii="仿宋_GB2312" w:hAnsi="仿宋_GB2312" w:cs="仿宋_GB2312" w:eastAsia="仿宋_GB2312"/>
                <w:sz w:val="24"/>
              </w:rPr>
              <w:t>3.基础数据成果：自然资源部确认的2020年、2025年国土变更调查成果；用地报批数据、高标准农田、全域土地综合整治、成片开发方案、详细规划、专项规划等依法获批成果；发改部门认定的“十五五” 重点建设项目清单；部、省备案的“三区三线”、城镇开发边界局部优化等规划成果。</w:t>
            </w:r>
          </w:p>
          <w:p>
            <w:pPr>
              <w:pStyle w:val="null3"/>
              <w:ind w:firstLine="480"/>
              <w:jc w:val="both"/>
            </w:pPr>
            <w:r>
              <w:rPr>
                <w:rFonts w:ascii="仿宋_GB2312" w:hAnsi="仿宋_GB2312" w:cs="仿宋_GB2312" w:eastAsia="仿宋_GB2312"/>
                <w:sz w:val="24"/>
              </w:rPr>
              <w:t>4.技术规范：国土空间规划体检评估规程、各级国土空间规划成果数据汇交审查要求、城市体检评估规程等行业技术标准。</w:t>
            </w:r>
          </w:p>
          <w:p>
            <w:pPr>
              <w:pStyle w:val="null3"/>
              <w:ind w:firstLine="482"/>
              <w:jc w:val="left"/>
            </w:pPr>
            <w:r>
              <w:rPr>
                <w:rFonts w:ascii="仿宋_GB2312" w:hAnsi="仿宋_GB2312" w:cs="仿宋_GB2312" w:eastAsia="仿宋_GB2312"/>
                <w:sz w:val="24"/>
                <w:b/>
                <w:color w:val="222222"/>
              </w:rPr>
              <w:t>四、</w:t>
            </w:r>
            <w:r>
              <w:rPr>
                <w:rFonts w:ascii="仿宋_GB2312" w:hAnsi="仿宋_GB2312" w:cs="仿宋_GB2312" w:eastAsia="仿宋_GB2312"/>
                <w:sz w:val="24"/>
                <w:b/>
                <w:color w:val="222222"/>
              </w:rPr>
              <w:t>成果要求</w:t>
            </w:r>
          </w:p>
          <w:p>
            <w:pPr>
              <w:pStyle w:val="null3"/>
              <w:ind w:firstLine="480"/>
              <w:jc w:val="both"/>
            </w:pPr>
            <w:r>
              <w:rPr>
                <w:rFonts w:ascii="仿宋_GB2312" w:hAnsi="仿宋_GB2312" w:cs="仿宋_GB2312" w:eastAsia="仿宋_GB2312"/>
                <w:sz w:val="24"/>
              </w:rPr>
              <w:t>1.文本报告：提交2024年度国土空间规划体检评估报告，</w:t>
            </w:r>
            <w:r>
              <w:rPr>
                <w:rFonts w:ascii="仿宋_GB2312" w:hAnsi="仿宋_GB2312" w:cs="仿宋_GB2312" w:eastAsia="仿宋_GB2312"/>
                <w:sz w:val="24"/>
              </w:rPr>
              <w:t>系统总结规划实施情况、分析问题并提出优化方向</w:t>
            </w:r>
            <w:r>
              <w:rPr>
                <w:rFonts w:ascii="仿宋_GB2312" w:hAnsi="仿宋_GB2312" w:cs="仿宋_GB2312" w:eastAsia="仿宋_GB2312"/>
                <w:sz w:val="24"/>
              </w:rPr>
              <w:t>；提交县级国土空间总体规划</w:t>
            </w:r>
            <w:r>
              <w:rPr>
                <w:rFonts w:ascii="仿宋_GB2312" w:hAnsi="仿宋_GB2312" w:cs="仿宋_GB2312" w:eastAsia="仿宋_GB2312"/>
                <w:sz w:val="24"/>
              </w:rPr>
              <w:t>2026年度动态维护方案文本，</w:t>
            </w:r>
            <w:r>
              <w:rPr>
                <w:rFonts w:ascii="仿宋_GB2312" w:hAnsi="仿宋_GB2312" w:cs="仿宋_GB2312" w:eastAsia="仿宋_GB2312"/>
                <w:sz w:val="24"/>
              </w:rPr>
              <w:t>明确调整必要性、优化内容、实施安排与保障措施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2.表格：文本附表包含国土空间总体规划动态维护表、重点建设项目修订表、</w:t>
            </w:r>
            <w:r>
              <w:rPr>
                <w:rFonts w:ascii="仿宋_GB2312" w:hAnsi="仿宋_GB2312" w:cs="仿宋_GB2312" w:eastAsia="仿宋_GB2312"/>
                <w:sz w:val="24"/>
              </w:rPr>
              <w:t>国土空间总体规划动态调整完善方案对照表</w:t>
            </w:r>
            <w:r>
              <w:rPr>
                <w:rFonts w:ascii="仿宋_GB2312" w:hAnsi="仿宋_GB2312" w:cs="仿宋_GB2312" w:eastAsia="仿宋_GB2312"/>
                <w:sz w:val="24"/>
              </w:rPr>
              <w:t>，与文本、矢量数据保持一致；表格数据采用</w:t>
            </w:r>
            <w:r>
              <w:rPr>
                <w:rFonts w:ascii="仿宋_GB2312" w:hAnsi="仿宋_GB2312" w:cs="仿宋_GB2312" w:eastAsia="仿宋_GB2312"/>
                <w:sz w:val="24"/>
              </w:rPr>
              <w:t>mdb格式，包含发生变化的规划表格，</w:t>
            </w:r>
            <w:r>
              <w:rPr>
                <w:rFonts w:ascii="仿宋_GB2312" w:hAnsi="仿宋_GB2312" w:cs="仿宋_GB2312" w:eastAsia="仿宋_GB2312"/>
                <w:sz w:val="24"/>
              </w:rPr>
              <w:t>指标严格符合正向优化标准，与文本、矢量数据保持一致</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3.图件：包含三区三线维护前后对比图、永久基本农田、生态保护红线、 城镇开发边界维护图、国土空间用途分区规划图、中心城区用地布局图等，清晰标注调入、调出范围及边界变化。</w:t>
            </w:r>
          </w:p>
          <w:p>
            <w:pPr>
              <w:pStyle w:val="null3"/>
              <w:ind w:firstLine="480"/>
              <w:jc w:val="both"/>
            </w:pPr>
            <w:r>
              <w:rPr>
                <w:rFonts w:ascii="仿宋_GB2312" w:hAnsi="仿宋_GB2312" w:cs="仿宋_GB2312" w:eastAsia="仿宋_GB2312"/>
                <w:sz w:val="24"/>
              </w:rPr>
              <w:t>4.数据库：严格按照自然资源部、陕西省数据标准制作国土空间规划动态维护数据库，矢量图层、属性字段、拓扑关系符合规范；完成“三区三线”、规划分区、用地布局等图层更新，保障数据可顺利通过“一张图”系统质检与汇交。</w:t>
            </w:r>
          </w:p>
          <w:p>
            <w:pPr>
              <w:pStyle w:val="null3"/>
              <w:ind w:firstLine="480"/>
              <w:jc w:val="both"/>
            </w:pPr>
            <w:r>
              <w:rPr>
                <w:rFonts w:ascii="仿宋_GB2312" w:hAnsi="仿宋_GB2312" w:cs="仿宋_GB2312" w:eastAsia="仿宋_GB2312"/>
                <w:sz w:val="24"/>
              </w:rPr>
              <w:t>5.合规性要求：所有成果必须满足国土空间总体规划正向优化标准，各项约束性、引导性指标全部达标；成果完整、规范、真实，满足省、市、县三级审查及部备案相关要求。</w:t>
            </w:r>
          </w:p>
          <w:p>
            <w:pPr>
              <w:pStyle w:val="null3"/>
              <w:ind w:firstLine="482"/>
              <w:jc w:val="left"/>
            </w:pPr>
            <w:r>
              <w:rPr>
                <w:rFonts w:ascii="仿宋_GB2312" w:hAnsi="仿宋_GB2312" w:cs="仿宋_GB2312" w:eastAsia="仿宋_GB2312"/>
                <w:sz w:val="24"/>
                <w:b/>
                <w:color w:val="222222"/>
              </w:rPr>
              <w:t>五、</w:t>
            </w:r>
            <w:r>
              <w:rPr>
                <w:rFonts w:ascii="仿宋_GB2312" w:hAnsi="仿宋_GB2312" w:cs="仿宋_GB2312" w:eastAsia="仿宋_GB2312"/>
                <w:sz w:val="24"/>
                <w:b/>
                <w:color w:val="222222"/>
              </w:rPr>
              <w:t>其他要求</w:t>
            </w:r>
          </w:p>
          <w:p>
            <w:pPr>
              <w:pStyle w:val="null3"/>
              <w:ind w:firstLine="480"/>
            </w:pPr>
            <w:r>
              <w:rPr>
                <w:rFonts w:ascii="仿宋_GB2312" w:hAnsi="仿宋_GB2312" w:cs="仿宋_GB2312" w:eastAsia="仿宋_GB2312"/>
                <w:sz w:val="24"/>
              </w:rPr>
              <w:t>服务期限：</w:t>
            </w:r>
            <w:r>
              <w:rPr>
                <w:rFonts w:ascii="仿宋_GB2312" w:hAnsi="仿宋_GB2312" w:cs="仿宋_GB2312" w:eastAsia="仿宋_GB2312"/>
                <w:sz w:val="24"/>
              </w:rPr>
              <w:t>合同签订后</w:t>
            </w:r>
            <w:r>
              <w:rPr>
                <w:rFonts w:ascii="仿宋_GB2312" w:hAnsi="仿宋_GB2312" w:cs="仿宋_GB2312" w:eastAsia="仿宋_GB2312"/>
                <w:sz w:val="24"/>
              </w:rPr>
              <w:t>45日历天内完成</w:t>
            </w:r>
            <w:r>
              <w:rPr>
                <w:rFonts w:ascii="仿宋_GB2312" w:hAnsi="仿宋_GB2312" w:cs="仿宋_GB2312" w:eastAsia="仿宋_GB2312"/>
                <w:sz w:val="24"/>
              </w:rPr>
              <w:t>。</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合理配备能够满足项目开展的人员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合理配备能够满足项目开展的设备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按采购需求及省、市国土空间规划技术规范执行，供应商提交全部成果并完成省级汇交后，由采购人组织验收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进度款，合同签订完毕、服务商提交履约资料并正式启动项目工作后5个工作日内，达到付款条件起5个工作日内，支付合同总金额的60.0%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进度款，完成全部调研工作并提交完整送审稿，通过采购人内部初审及专家评审会后，达到付款条件起5个工作日内，支付合同总金额的40.0%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违约方按合同约定承担责任；争议先协商解决，协商不成向项目所在地法院提起诉讼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陕财办采函〔2023〕14号⽂”《陕西省财政厅关于省级预算单位全⾯推⾏政府采购项⽬电⼦化交易的通知》“陕西省财政厅陕财办采〔2022〕9号⽂”《政府采购项⽬电⼦化交易规则》等⽂件的要求，做好⼈员配备、设施设备、系统操作的相应准备，熟悉并正确实施相关操作流程，承担由于操作或其他因素造成的不利后果。（⼆）为顺利推进政府采购电⼦化交易平台应⽤⼯作，供应商需要在线提交所有通过电⼦化交易平台实施的政府采购项⽬的投标⽂件，同时，中标供应商领取中标通知书时，应线下提交纸质版投标⽂件，正本壹份、副本壹份⾄代理机构。线上电⼦投标⽂件与纸质投标⽂件⼀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供应商具有独⽴承担⺠事责任能⼒的法⼈、其他组织或⾃然⼈，提供合法有效的统⼀社会信⽤代码营业执照或事业单位法⼈证书（⾃然⼈应提供⾝份证明）；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供应商应授权合法的⼈员参加投标全过程，其中法定代表⼈直接参加投标的，须出具法⼈⾝份证，法定代表⼈授权代表参加投标的，须出具法定代表⼈授权书及授权代表⾝份证扫描件；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以及参加本项⽬采购活动前三年内在经营活动中⽆重⼤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供应商应具有行政主管部门颁发的有效期内的城乡规划（国土空间规划）编制单位乙级及以上资质证书或土地规划机构等级证书乙级（包含乙级）以上资质证书（提供证书复印件并进行电子签章）；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均按采购⽂件要求签字、盖章</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服务方案 标的清单 拟派项目团队人员配置表.docx 响应函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应满⾜采购⽂件中的规定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符合采购⽂件的要求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中小企业声明函 商务应答表 服务内容及服务要求应答表 报价表 响应文件封面 供应商应提交的相关资格证明材料.docx 残疾人福利性单位声明函 服务方案 标的清单 拟派项目团队人员配置表.docx 响应函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1、供应商针对本项⽬配置的项⽬负责⼈具有注册城乡（市）规划师职业资格证书的得5分。 2、项⽬负责⼈具有规划专业中级技术职称证书的得2.5分，具有规划专业副⾼级及以上技术职称证书的得5分。 注：需提供相关证书的扫描件并加盖公章，供应商不提供或提供错误的不得分。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配置的其他服务人员（除项目负责人外）中具有规划类或国土工程类或自然科学类相关专业中级技术职称证书的，一人得2分；其他服务人员中具有注册城乡规划师资格的，⼀⼈得2分。本小项最多得16分。 注：①上述所有人员一人一岗一证，不重复计分。以最高等级证书计分。 ②上述所有人员须提供相关有效的证书扫描件并加盖公章，供应商不提供或提供错误的均不得分。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供应商自2023年01月01日（以合同签订时间为准）至今具有类似项目业绩的，一个得2分，最多得4分。 注：须提供合同扫描件并加盖公章，供应商不提供或提供错误的均不得分。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总体规划方案</w:t>
            </w:r>
          </w:p>
        </w:tc>
        <w:tc>
          <w:tcPr>
            <w:tcW w:type="dxa" w:w="2492"/>
          </w:tcPr>
          <w:p>
            <w:pPr>
              <w:pStyle w:val="null3"/>
            </w:pPr>
            <w:r>
              <w:rPr>
                <w:rFonts w:ascii="仿宋_GB2312" w:hAnsi="仿宋_GB2312" w:cs="仿宋_GB2312" w:eastAsia="仿宋_GB2312"/>
              </w:rPr>
              <w:t>总体规划方案包括但不限于：①规划指导思想；②规划原则；③规划⽬标；④规划编制技术路线；⑤规划编制其他要求。评审标准：上述每项⽅案内容⽆缺陷得5分，满分为25分。每个分项⽅案内容每存在1处缺陷：扣1分，扣完为⽌；只提供评分标准题⽬，没有实质内容的不得分（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项目保障方案</w:t>
            </w:r>
          </w:p>
        </w:tc>
        <w:tc>
          <w:tcPr>
            <w:tcW w:type="dxa" w:w="2492"/>
          </w:tcPr>
          <w:p>
            <w:pPr>
              <w:pStyle w:val="null3"/>
            </w:pPr>
            <w:r>
              <w:rPr>
                <w:rFonts w:ascii="仿宋_GB2312" w:hAnsi="仿宋_GB2312" w:cs="仿宋_GB2312" w:eastAsia="仿宋_GB2312"/>
              </w:rPr>
              <w:t>项目保障方案包括但不限于：①工作进度安排；②成果质量保障方案；③项目后续服务方案；评审标准：上述每项⽅案内容⽆缺陷得5分，满分为15分。每个分项⽅案内容每存在1处缺陷：扣1分，扣完为⽌；只提供评分标准题⽬，没有实质内容的不得分（评审内容中的缺陷是指：内容不完整或缺少关键点、内容描述过于简单、条理不清晰、⾮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以满足竞争性磋商文件要求且报价最低的最终报价作为评审基准价，其价格分为满分。其他供应商的价格分别按照下列公式计算：最终报价得分=(评审基准价／最终报价)×30%×100。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