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版本号：KY2026-1-57520260611001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古建筑群保护修缮工程（二期）设计项目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KY2026-1-575</w:t>
      </w:r>
      <w:r>
        <w:br/>
      </w:r>
      <w:r>
        <w:br/>
      </w:r>
      <w:r>
        <w:br/>
      </w:r>
    </w:p>
    <w:p>
      <w:pPr>
        <w:pStyle w:val="null3"/>
        <w:jc w:val="center"/>
        <w:outlineLvl w:val="2"/>
      </w:pPr>
      <w:r>
        <w:rPr>
          <w:rFonts w:ascii="仿宋_GB2312" w:hAnsi="仿宋_GB2312" w:cs="仿宋_GB2312" w:eastAsia="仿宋_GB2312"/>
          <w:sz w:val="28"/>
          <w:b/>
        </w:rPr>
        <w:t>西安碑林博物馆</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西安碑林博物馆</w:t>
      </w:r>
      <w:r>
        <w:rPr>
          <w:rFonts w:ascii="仿宋_GB2312" w:hAnsi="仿宋_GB2312" w:cs="仿宋_GB2312" w:eastAsia="仿宋_GB2312"/>
        </w:rPr>
        <w:t>委托，拟对</w:t>
      </w:r>
      <w:r>
        <w:rPr>
          <w:rFonts w:ascii="仿宋_GB2312" w:hAnsi="仿宋_GB2312" w:cs="仿宋_GB2312" w:eastAsia="仿宋_GB2312"/>
        </w:rPr>
        <w:t>古建筑群保护修缮工程（二期）设计项目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古建筑群保护修缮工程（二期）设计项目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西安碑林博物馆古建筑群保护修缮工程(二期)设计项目，1项，具体内容详见采购文件第三章。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采购包1（西安碑林博物馆古建筑群保护修缮工程(二期)设计项目）：属于专门面向中小企业采购。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4、社会保障资金缴存证明：提供2025年6月至今已缴存的至少一个月的社会保障资金缴存单据或社保机构开具的社会保险参保缴费情况证明，依法不需要缴存社会保障资金的单位应提供相关证明材料。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8、特殊资质：供应商具备文物保护工程勘察设计乙级及以上资质证书。</w:t>
      </w:r>
    </w:p>
    <w:p>
      <w:pPr>
        <w:pStyle w:val="null3"/>
      </w:pPr>
      <w:r>
        <w:rPr>
          <w:rFonts w:ascii="仿宋_GB2312" w:hAnsi="仿宋_GB2312" w:cs="仿宋_GB2312" w:eastAsia="仿宋_GB2312"/>
        </w:rPr>
        <w:t>9、声明函：本项目专门面向中小企业采购，供应商应为中小企业或监狱企业或残疾人福利性单位，并提供声明函。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西安碑林博物馆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西安市三学街15号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029-87210764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文件的规定标准收取，不足5000元按照5000元计取。由成交供应商在成交通知书发放前付给代理机构。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西安碑林博物馆</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西安碑林博物馆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西安碑林博物馆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本项目主要是针对西安碑林西配殿本体，一展室、二展室及三展室屋面等四处单体文物建筑和展廊三（西）一处附属建筑进行常规修缮工作。其中西配殿占地面积为</w:t>
      </w:r>
      <w:r>
        <w:rPr>
          <w:rFonts w:ascii="仿宋_GB2312" w:hAnsi="仿宋_GB2312" w:cs="仿宋_GB2312" w:eastAsia="仿宋_GB2312"/>
          <w:sz w:val="24"/>
        </w:rPr>
        <w:t>107.8平方米，一展室占地面积为1297.44平方米，二展室占地面积为235.51平方米，三展室占地面积为407.32平方米，展廊三（西）占地面积为66.45平方米。具体内容详见采购需求。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古建设计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标的名称：古建设计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本项目主要是针对西安碑林西配殿本体，一展室、二展室及三展室屋面等四处单体文物建筑和展廊三（西）一处附属建筑进行常规修缮工作。其中西配殿占地面积为</w:t>
            </w:r>
            <w:r>
              <w:rPr>
                <w:rFonts w:ascii="仿宋_GB2312" w:hAnsi="仿宋_GB2312" w:cs="仿宋_GB2312" w:eastAsia="仿宋_GB2312"/>
                <w:sz w:val="24"/>
              </w:rPr>
              <w:t>107.8平方米，一展室占地面积为1297.44平方米，二展室占地面积为235.51平方米，三展室占地面积为407.32平方米，展廊三（西）占地面积为66.45平方米。</w:t>
            </w:r>
          </w:p>
          <w:p>
            <w:pPr>
              <w:pStyle w:val="null3"/>
              <w:ind w:firstLine="482"/>
              <w:jc w:val="both"/>
            </w:pPr>
            <w:r>
              <w:rPr>
                <w:rFonts w:ascii="仿宋_GB2312" w:hAnsi="仿宋_GB2312" w:cs="仿宋_GB2312" w:eastAsia="仿宋_GB2312"/>
                <w:sz w:val="24"/>
                <w:b/>
              </w:rPr>
              <w:t>二、采购内容</w:t>
            </w:r>
          </w:p>
          <w:p>
            <w:pPr>
              <w:pStyle w:val="null3"/>
              <w:ind w:firstLine="480"/>
              <w:jc w:val="both"/>
            </w:pPr>
            <w:r>
              <w:rPr>
                <w:rFonts w:ascii="仿宋_GB2312" w:hAnsi="仿宋_GB2312" w:cs="仿宋_GB2312" w:eastAsia="仿宋_GB2312"/>
                <w:sz w:val="24"/>
              </w:rPr>
              <w:t>1、主要工作量：西安碑林古建筑群保护修缮工程（二期）为</w:t>
            </w:r>
            <w:r>
              <w:rPr>
                <w:rFonts w:ascii="仿宋_GB2312" w:hAnsi="仿宋_GB2312" w:cs="仿宋_GB2312" w:eastAsia="仿宋_GB2312"/>
                <w:sz w:val="24"/>
              </w:rPr>
              <w:t>西配殿本体，一展室、二展室及三展室屋面等四处单体文物建筑和展廊三（西）一处附属建筑进行常规修缮工作</w:t>
            </w:r>
            <w:r>
              <w:rPr>
                <w:rFonts w:ascii="仿宋_GB2312" w:hAnsi="仿宋_GB2312" w:cs="仿宋_GB2312" w:eastAsia="仿宋_GB2312"/>
                <w:sz w:val="24"/>
              </w:rPr>
              <w:t>；更换屋面残损瓦件、更换白蚁蛀蚀严重木基层，更换后期截断木构架，解决建筑屋面瓦件松动、开裂导致的漏雨渗水问题，消除木构件变形对建筑结构安全造成的隐患，以及结合碑刻搬迁所产生的建筑局部拆砌问题。</w:t>
            </w:r>
          </w:p>
          <w:p>
            <w:pPr>
              <w:pStyle w:val="null3"/>
              <w:ind w:firstLine="480"/>
              <w:jc w:val="both"/>
            </w:pPr>
            <w:r>
              <w:rPr>
                <w:rFonts w:ascii="仿宋_GB2312" w:hAnsi="仿宋_GB2312" w:cs="仿宋_GB2312" w:eastAsia="仿宋_GB2312"/>
                <w:sz w:val="24"/>
              </w:rPr>
              <w:t xml:space="preserve">2、深度要求：满足国家规范要求，满足施工设计要求。   </w:t>
            </w:r>
          </w:p>
          <w:p>
            <w:pPr>
              <w:pStyle w:val="null3"/>
              <w:ind w:firstLine="480"/>
              <w:jc w:val="both"/>
            </w:pPr>
            <w:r>
              <w:rPr>
                <w:rFonts w:ascii="仿宋_GB2312" w:hAnsi="仿宋_GB2312" w:cs="仿宋_GB2312" w:eastAsia="仿宋_GB2312"/>
                <w:sz w:val="24"/>
              </w:rPr>
              <w:t>3、成果要求，电子版成果1份，纸质版成果4份。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服务期限：方案设计阶段30个工作日，施工图设计阶段20个工作日。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西安碑林博物馆指定地点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其他，完成施工图并得到甲方确认，达到付款条件起10个工作日内，支付合同总金额的60.0%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1、纸质响应文件递交要求： ①供应商须线下提交纸质响应文件正本壹份、副本贰份、电子版壹份（U盘壹份），内容和通过电子化交易平台实施的政府采购项目提交的响应文件一致。 ②纸质响应文件正本、副本、电子版，标明供应商名称分开密封递交（纸质响应文件采用双面打印）。 ③线下纸质文件递交截止时间：同在线递交电子响应文件截止时间一致；线下纸质文件递交地点：西安市雁展路1111号莱安中心T6-15层。如需邮寄响应文件，仅接受顺丰速运（联系人：杭琨、联系电话：029-81206622-825）。 2、保证金的退还：自采购合同签订之日起5个工作日内退还成交供应商的投标保证金。 3、采购人应按照采购文件和成交供应商响应文件，在成交通知书发出之日起25日内签订合同。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供应商具备文物保护工程勘察设计乙级及以上资质证书。</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4供应商资格证明文件.docx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项目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1分项报价表.docx 中小企业声明函 3商务条款响应说明.docx 标的清单 4供应商资格证明文件.docx 响应函 6供应商承诺书.docx 2服务内容及服务要求应答表.docx 5响应方案说明.docx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提出针对本项目的整体服务方案，内容包括：①总体设计思路明确；②设计依据符合规范；③重难点分析把控准确；④设计方案科学合理；⑤经济技术指标及设计限额控制方案。 评审标准：以上内容全面详细、目标明确、阐述条理清晰、对评审内容中的各项要求有详细描述及说明得25分，每有一项缺项扣5分，每有一项内容存在缺陷，扣1分，扣完为止。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提出针对本项目的工作实施方案，内容包括：①进度安排计划；②进度保障措施；③工作流程。 评审标准：以上内容全面详细、目标明确、阐述条理清晰、对评审内容中的各项要求有详细描述及说明得12分，每有一项缺项扣4分，每有一项内容存在缺陷，扣1分，扣完为止。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提出针对本项目的服务质量保证措施，内容包括：①核心环节质量管控措施；②整改机制；③后期设计优化配合服务体系；④应急预案和安全保障方案。 评审标准：以上内容全面详细、目标明确、阐述条理清晰、对评审内容中的各项要求有详细描述及说明得12分，每有一项缺项扣3分，每有一项内容存在缺陷，扣1分，扣完为止。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拟派项目设计负责人</w:t>
            </w:r>
          </w:p>
        </w:tc>
        <w:tc>
          <w:tcPr>
            <w:tcW w:type="dxa" w:w="2492"/>
          </w:tcPr>
          <w:p>
            <w:pPr>
              <w:pStyle w:val="null3"/>
            </w:pPr>
            <w:r>
              <w:rPr>
                <w:rFonts w:ascii="仿宋_GB2312" w:hAnsi="仿宋_GB2312" w:cs="仿宋_GB2312" w:eastAsia="仿宋_GB2312"/>
              </w:rPr>
              <w:t>1.拟派项目设计负责人职称：拟派项目设计负责人具备高级职称的得3分。 2.拟派项目设计负责人业绩：提供自2023年1月1日至今（以合同签订日期为准）类似项目设计业绩证明材料，每提供1份得1分，最多得3分。 评审标准：须提供项目合同或协议的关键页（包括但不限于合同首尾页、项目内容页，签字盖章页，签订日期页）扫描件加盖公章，上述证明文件中须体现项目设计负责人的姓名。否则不计分。（拟派项目设计负责人业绩与企业业绩可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项目部人员构成</w:t>
            </w:r>
          </w:p>
        </w:tc>
        <w:tc>
          <w:tcPr>
            <w:tcW w:type="dxa" w:w="2492"/>
          </w:tcPr>
          <w:p>
            <w:pPr>
              <w:pStyle w:val="null3"/>
            </w:pPr>
            <w:r>
              <w:rPr>
                <w:rFonts w:ascii="仿宋_GB2312" w:hAnsi="仿宋_GB2312" w:cs="仿宋_GB2312" w:eastAsia="仿宋_GB2312"/>
              </w:rPr>
              <w:t>供应商根据项目实际需求提供项目部人员构成情况，包括：①拟投入本项目的人员配备情况；②人员专业分布情况；③人员岗位职责分配。 评审标准：以上内容全面详细、目标明确、阐述条理清晰、对评审内容中的各项要求有详细描述及说明得6分，每有一项缺项扣2分，每有一项内容存在缺陷，扣1分，扣完为止。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组织措施及制度</w:t>
            </w:r>
          </w:p>
        </w:tc>
        <w:tc>
          <w:tcPr>
            <w:tcW w:type="dxa" w:w="2492"/>
          </w:tcPr>
          <w:p>
            <w:pPr>
              <w:pStyle w:val="null3"/>
            </w:pPr>
            <w:r>
              <w:rPr>
                <w:rFonts w:ascii="仿宋_GB2312" w:hAnsi="仿宋_GB2312" w:cs="仿宋_GB2312" w:eastAsia="仿宋_GB2312"/>
              </w:rPr>
              <w:t>提出针对本项目的组织措施及制度，内容包括：①内部管理制度；②日常工作制度；③人员培训制度；④岗位职责。 评审标准：以上内容全面详细、目标明确、阐述条理清晰、对评审内容中的各项要求有详细描述及说明得12分，每有一项缺项扣3分，每有一项内容存在缺陷，扣1分，扣完为止。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后期服务保证方案</w:t>
            </w:r>
          </w:p>
        </w:tc>
        <w:tc>
          <w:tcPr>
            <w:tcW w:type="dxa" w:w="2492"/>
          </w:tcPr>
          <w:p>
            <w:pPr>
              <w:pStyle w:val="null3"/>
            </w:pPr>
            <w:r>
              <w:rPr>
                <w:rFonts w:ascii="仿宋_GB2312" w:hAnsi="仿宋_GB2312" w:cs="仿宋_GB2312" w:eastAsia="仿宋_GB2312"/>
              </w:rPr>
              <w:t>提出针对本项目的后期服务保证方案，内容包括： ①后期服务范围：包括审批后续配合、成果补充修改、技术咨询等相关服务； ②响应机制：明确响应时限，指定专人负责后期服务工作，确保及时对接需求； ③成果修改预案：针对政策调整、审批要求变化等突发情况，制定完善的成果修改预案，明确修改流程、时限。 评审标准：以上内容全面详细、目标明确、阐述条理清晰、对评审内容中的各项要求有详细描述及说明得9分，每有一项缺项扣3分，每有一项内容存在缺陷，扣1分，扣完为止。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根据供应商提供的针对本项目的增值服务进行评审，每提供一条合理且有针对性的增值服务得1分，最多得3分。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提供2023年1月1日至今（以合同签订日期为准）类似项目设计业绩证明材料，每提供一个得2分，最高得6分。 评审依据：须提供项目合同或协议的关键页（包括但不限于合同首尾页、项目内容页，签字盖章页，签订日期页）扫描件加盖公章，否则不计分。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磋商报价得分=(评标基准价／磋商报价)×价格权值×100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详见附件：4供应商资格证明文件.docx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