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版本号：KY2026-3-09220260522001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落锤冲击性能测试系统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KY2026-3-092</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落锤冲击性能测试系统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KY2026-3-092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落锤冲击性能测试系统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落锤冲击性能测试系统、详见招标文件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贾彤菲、王琦、戈迪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银行账号：86113010750181502001229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代理服务费收费标准：1、项目中标价小于50万元以内的委托代理项目，代理服务费定额3000元(人民币) 2、项目中标价大于50万元(含)小于1000万元的项目，服务费率收取为委托项目人民币成交价的0.69%。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见验收交付标准和方法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联系人：贾彤菲、王琦、戈迪</w:t>
      </w:r>
    </w:p>
    <w:p>
      <w:pPr>
        <w:pStyle w:val="null3"/>
      </w:pPr>
      <w:r>
        <w:rPr>
          <w:rFonts w:ascii="仿宋_GB2312" w:hAnsi="仿宋_GB2312" w:cs="仿宋_GB2312" w:eastAsia="仿宋_GB2312"/>
        </w:rPr>
        <w:t>联系电话：029-81206622-833</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落锤冲击性能测试系统，详见招标文件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1,760,000.00</w:t>
      </w:r>
    </w:p>
    <w:p>
      <w:pPr>
        <w:pStyle w:val="null3"/>
      </w:pPr>
      <w:r>
        <w:rPr>
          <w:rFonts w:ascii="仿宋_GB2312" w:hAnsi="仿宋_GB2312" w:cs="仿宋_GB2312" w:eastAsia="仿宋_GB2312"/>
        </w:rPr>
        <w:t>采购包最高限价（元）: 1,760,000.00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落锤冲击性能测试系统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1,760,000.00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标的名称：落锤冲击性能测试系统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落锤冲击性能测试系统（数量：一套）（核心产品）</w:t>
            </w:r>
          </w:p>
          <w:p>
            <w:pPr>
              <w:pStyle w:val="null3"/>
            </w:pPr>
            <w:r>
              <w:rPr>
                <w:rFonts w:ascii="仿宋_GB2312" w:hAnsi="仿宋_GB2312" w:cs="仿宋_GB2312" w:eastAsia="仿宋_GB2312"/>
                <w:sz w:val="21"/>
                <w:b/>
                <w:color w:val="000000"/>
              </w:rPr>
              <w:t>▲</w:t>
            </w:r>
            <w:r>
              <w:rPr>
                <w:rFonts w:ascii="仿宋_GB2312" w:hAnsi="仿宋_GB2312" w:cs="仿宋_GB2312" w:eastAsia="仿宋_GB2312"/>
                <w:sz w:val="21"/>
                <w:color w:val="000000"/>
                <w:shd w:fill="FFFFFF" w:val="clear"/>
              </w:rPr>
              <w:t>1.冲击能量：≥30万焦耳；</w:t>
            </w:r>
          </w:p>
          <w:p>
            <w:pPr>
              <w:pStyle w:val="null3"/>
            </w:pPr>
            <w:r>
              <w:rPr>
                <w:rFonts w:ascii="仿宋_GB2312" w:hAnsi="仿宋_GB2312" w:cs="仿宋_GB2312" w:eastAsia="仿宋_GB2312"/>
                <w:sz w:val="21"/>
                <w:b/>
                <w:color w:val="000000"/>
              </w:rPr>
              <w:t>▲</w:t>
            </w:r>
            <w:r>
              <w:rPr>
                <w:rFonts w:ascii="仿宋_GB2312" w:hAnsi="仿宋_GB2312" w:cs="仿宋_GB2312" w:eastAsia="仿宋_GB2312"/>
                <w:sz w:val="21"/>
                <w:color w:val="000000"/>
                <w:shd w:fill="FFFFFF" w:val="clear"/>
              </w:rPr>
              <w:t>2.有效冲击高度：≥10m（冲击高度范围内任意可调）；</w:t>
            </w:r>
          </w:p>
          <w:p>
            <w:pPr>
              <w:pStyle w:val="null3"/>
            </w:pPr>
            <w:r>
              <w:rPr>
                <w:rFonts w:ascii="仿宋_GB2312" w:hAnsi="仿宋_GB2312" w:cs="仿宋_GB2312" w:eastAsia="仿宋_GB2312"/>
                <w:sz w:val="21"/>
                <w:b/>
                <w:color w:val="000000"/>
              </w:rPr>
              <w:t>▲</w:t>
            </w:r>
            <w:r>
              <w:rPr>
                <w:rFonts w:ascii="仿宋_GB2312" w:hAnsi="仿宋_GB2312" w:cs="仿宋_GB2312" w:eastAsia="仿宋_GB2312"/>
                <w:sz w:val="21"/>
                <w:color w:val="000000"/>
                <w:shd w:fill="FFFFFF" w:val="clear"/>
              </w:rPr>
              <w:t>3.有效冲击速度：≥14m/s；</w:t>
            </w:r>
          </w:p>
          <w:p>
            <w:pPr>
              <w:pStyle w:val="null3"/>
            </w:pPr>
            <w:r>
              <w:rPr>
                <w:rFonts w:ascii="仿宋_GB2312" w:hAnsi="仿宋_GB2312" w:cs="仿宋_GB2312" w:eastAsia="仿宋_GB2312"/>
                <w:sz w:val="21"/>
                <w:b/>
                <w:color w:val="000000"/>
              </w:rPr>
              <w:t>▲</w:t>
            </w:r>
            <w:r>
              <w:rPr>
                <w:rFonts w:ascii="仿宋_GB2312" w:hAnsi="仿宋_GB2312" w:cs="仿宋_GB2312" w:eastAsia="仿宋_GB2312"/>
                <w:sz w:val="21"/>
                <w:color w:val="000000"/>
                <w:shd w:fill="FFFFFF" w:val="clear"/>
              </w:rPr>
              <w:t>4.设备总高度：≥12.0m；</w:t>
            </w:r>
          </w:p>
          <w:p>
            <w:pPr>
              <w:pStyle w:val="null3"/>
            </w:pPr>
            <w:r>
              <w:rPr>
                <w:rFonts w:ascii="仿宋_GB2312" w:hAnsi="仿宋_GB2312" w:cs="仿宋_GB2312" w:eastAsia="仿宋_GB2312"/>
                <w:sz w:val="21"/>
                <w:color w:val="000000"/>
                <w:shd w:fill="FFFFFF" w:val="clear"/>
              </w:rPr>
              <w:t>5.立柱数量：≥ 4个；</w:t>
            </w:r>
          </w:p>
          <w:p>
            <w:pPr>
              <w:pStyle w:val="null3"/>
            </w:pPr>
            <w:r>
              <w:rPr>
                <w:rFonts w:ascii="仿宋_GB2312" w:hAnsi="仿宋_GB2312" w:cs="仿宋_GB2312" w:eastAsia="仿宋_GB2312"/>
                <w:sz w:val="21"/>
                <w:color w:val="000000"/>
                <w:shd w:fill="FFFFFF" w:val="clear"/>
              </w:rPr>
              <w:t>6.格构式框架，支架采用对称结构组合安装；</w:t>
            </w:r>
          </w:p>
          <w:p>
            <w:pPr>
              <w:pStyle w:val="null3"/>
            </w:pPr>
            <w:r>
              <w:rPr>
                <w:rFonts w:ascii="仿宋_GB2312" w:hAnsi="仿宋_GB2312" w:cs="仿宋_GB2312" w:eastAsia="仿宋_GB2312"/>
                <w:sz w:val="21"/>
                <w:color w:val="000000"/>
                <w:shd w:fill="FFFFFF" w:val="clear"/>
              </w:rPr>
              <w:t>7.在整体载荷作用下的变形：≤3mm；</w:t>
            </w:r>
          </w:p>
          <w:p>
            <w:pPr>
              <w:pStyle w:val="null3"/>
            </w:pPr>
            <w:r>
              <w:rPr>
                <w:rFonts w:ascii="仿宋_GB2312" w:hAnsi="仿宋_GB2312" w:cs="仿宋_GB2312" w:eastAsia="仿宋_GB2312"/>
                <w:sz w:val="21"/>
                <w:color w:val="000000"/>
                <w:shd w:fill="FFFFFF" w:val="clear"/>
              </w:rPr>
              <w:t>8.导轨：合金钢材，硬度：不低于HRC42；安装、调试保证直线度、垂直度误差≤0.1%；间距：≥600mm；</w:t>
            </w:r>
          </w:p>
          <w:p>
            <w:pPr>
              <w:pStyle w:val="null3"/>
            </w:pPr>
            <w:r>
              <w:rPr>
                <w:rFonts w:ascii="仿宋_GB2312" w:hAnsi="仿宋_GB2312" w:cs="仿宋_GB2312" w:eastAsia="仿宋_GB2312"/>
                <w:sz w:val="21"/>
                <w:color w:val="000000"/>
                <w:shd w:fill="FFFFFF" w:val="clear"/>
              </w:rPr>
              <w:t>9.锤头定位精度：≤5mm；重复试验锤头速度误差：≤2%；</w:t>
            </w:r>
          </w:p>
          <w:p>
            <w:pPr>
              <w:pStyle w:val="null3"/>
            </w:pPr>
            <w:r>
              <w:rPr>
                <w:rFonts w:ascii="仿宋_GB2312" w:hAnsi="仿宋_GB2312" w:cs="仿宋_GB2312" w:eastAsia="仿宋_GB2312"/>
                <w:sz w:val="21"/>
                <w:shd w:fill="FFFFFF" w:val="clear"/>
              </w:rPr>
              <w:t>10.锤体材料：不低于中合金钢；</w:t>
            </w:r>
          </w:p>
          <w:p>
            <w:pPr>
              <w:pStyle w:val="null3"/>
            </w:pPr>
            <w:r>
              <w:rPr>
                <w:rFonts w:ascii="仿宋_GB2312" w:hAnsi="仿宋_GB2312" w:cs="仿宋_GB2312" w:eastAsia="仿宋_GB2312"/>
                <w:sz w:val="21"/>
                <w:shd w:fill="FFFFFF" w:val="clear"/>
              </w:rPr>
              <w:t>11.锤头材料：用</w:t>
            </w:r>
            <w:r>
              <w:rPr>
                <w:rFonts w:ascii="仿宋_GB2312" w:hAnsi="仿宋_GB2312" w:cs="仿宋_GB2312" w:eastAsia="仿宋_GB2312"/>
                <w:sz w:val="21"/>
                <w:shd w:fill="FFFFFF" w:val="clear"/>
              </w:rPr>
              <w:t>σ</w:t>
            </w:r>
            <w:r>
              <w:rPr>
                <w:rFonts w:ascii="仿宋_GB2312" w:hAnsi="仿宋_GB2312" w:cs="仿宋_GB2312" w:eastAsia="仿宋_GB2312"/>
                <w:sz w:val="21"/>
                <w:vertAlign w:val="subscript"/>
                <w:shd w:fill="FFFFFF" w:val="clear"/>
              </w:rPr>
              <w:t>s</w:t>
            </w:r>
            <w:r>
              <w:rPr>
                <w:rFonts w:ascii="仿宋_GB2312" w:hAnsi="仿宋_GB2312" w:cs="仿宋_GB2312" w:eastAsia="仿宋_GB2312"/>
                <w:sz w:val="21"/>
                <w:shd w:fill="FFFFFF" w:val="clear"/>
              </w:rPr>
              <w:t>≥800MPa合金钢，锤头硬度：HRC58～62，精加工并油淬；</w:t>
            </w:r>
          </w:p>
          <w:p>
            <w:pPr>
              <w:pStyle w:val="null3"/>
            </w:pPr>
            <w:r>
              <w:rPr>
                <w:rFonts w:ascii="仿宋_GB2312" w:hAnsi="仿宋_GB2312" w:cs="仿宋_GB2312" w:eastAsia="仿宋_GB2312"/>
                <w:sz w:val="21"/>
                <w:shd w:fill="FFFFFF" w:val="clear"/>
              </w:rPr>
              <w:t>12.锤体锤头确保平面度、垂直度误差：≤0.5mm/m；</w:t>
            </w:r>
          </w:p>
          <w:p>
            <w:pPr>
              <w:pStyle w:val="null3"/>
            </w:pPr>
            <w:r>
              <w:rPr>
                <w:rFonts w:ascii="仿宋_GB2312" w:hAnsi="仿宋_GB2312" w:cs="仿宋_GB2312" w:eastAsia="仿宋_GB2312"/>
                <w:sz w:val="21"/>
                <w:shd w:fill="FFFFFF" w:val="clear"/>
              </w:rPr>
              <w:t>13.锤体质量：200Kg-3000Kg自由组合，且方便安装；</w:t>
            </w:r>
          </w:p>
          <w:p>
            <w:pPr>
              <w:pStyle w:val="null3"/>
            </w:pPr>
            <w:r>
              <w:rPr>
                <w:rFonts w:ascii="仿宋_GB2312" w:hAnsi="仿宋_GB2312" w:cs="仿宋_GB2312" w:eastAsia="仿宋_GB2312"/>
                <w:sz w:val="21"/>
                <w:shd w:fill="FFFFFF" w:val="clear"/>
              </w:rPr>
              <w:t>14.锤体质量误差：≤±5%；</w:t>
            </w:r>
          </w:p>
          <w:p>
            <w:pPr>
              <w:pStyle w:val="null3"/>
            </w:pPr>
            <w:r>
              <w:rPr>
                <w:rFonts w:ascii="仿宋_GB2312" w:hAnsi="仿宋_GB2312" w:cs="仿宋_GB2312" w:eastAsia="仿宋_GB2312"/>
                <w:sz w:val="21"/>
                <w:shd w:fill="FFFFFF" w:val="clear"/>
              </w:rPr>
              <w:t>15.落锤锤体：≥3套；</w:t>
            </w:r>
          </w:p>
          <w:p>
            <w:pPr>
              <w:pStyle w:val="null3"/>
            </w:pPr>
            <w:r>
              <w:rPr>
                <w:rFonts w:ascii="仿宋_GB2312" w:hAnsi="仿宋_GB2312" w:cs="仿宋_GB2312" w:eastAsia="仿宋_GB2312"/>
                <w:sz w:val="21"/>
                <w:shd w:fill="FFFFFF" w:val="clear"/>
              </w:rPr>
              <w:t>16.冲击锤头应不少于平面(矩形和圆形)、半球面锤头；</w:t>
            </w:r>
          </w:p>
          <w:p>
            <w:pPr>
              <w:pStyle w:val="null3"/>
            </w:pPr>
            <w:r>
              <w:rPr>
                <w:rFonts w:ascii="仿宋_GB2312" w:hAnsi="仿宋_GB2312" w:cs="仿宋_GB2312" w:eastAsia="仿宋_GB2312"/>
                <w:sz w:val="21"/>
                <w:shd w:fill="FFFFFF" w:val="clear"/>
              </w:rPr>
              <w:t>17.电动落锤升降系统，用伺服电动机、减速机，满足自锁及速比的要求；</w:t>
            </w:r>
          </w:p>
          <w:p>
            <w:pPr>
              <w:pStyle w:val="null3"/>
            </w:pPr>
            <w:r>
              <w:rPr>
                <w:rFonts w:ascii="仿宋_GB2312" w:hAnsi="仿宋_GB2312" w:cs="仿宋_GB2312" w:eastAsia="仿宋_GB2312"/>
                <w:sz w:val="21"/>
                <w:shd w:fill="FFFFFF" w:val="clear"/>
              </w:rPr>
              <w:t>18.配置步长毫米级高度测量位移传感器；</w:t>
            </w:r>
          </w:p>
          <w:p>
            <w:pPr>
              <w:pStyle w:val="null3"/>
              <w:jc w:val="both"/>
            </w:pPr>
            <w:r>
              <w:rPr>
                <w:rFonts w:ascii="仿宋_GB2312" w:hAnsi="仿宋_GB2312" w:cs="仿宋_GB2312" w:eastAsia="仿宋_GB2312"/>
                <w:sz w:val="21"/>
                <w:shd w:fill="FFFFFF" w:val="clear"/>
              </w:rPr>
              <w:t>19.锤体提升速度：1~5m/min无级可调；</w:t>
            </w:r>
          </w:p>
          <w:p>
            <w:pPr>
              <w:pStyle w:val="null3"/>
            </w:pPr>
            <w:r>
              <w:rPr>
                <w:rFonts w:ascii="仿宋_GB2312" w:hAnsi="仿宋_GB2312" w:cs="仿宋_GB2312" w:eastAsia="仿宋_GB2312"/>
                <w:sz w:val="21"/>
                <w:shd w:fill="FFFFFF" w:val="clear"/>
              </w:rPr>
              <w:t>20.锤头定位精度：±5mm；</w:t>
            </w:r>
          </w:p>
          <w:p>
            <w:pPr>
              <w:pStyle w:val="null3"/>
            </w:pPr>
            <w:r>
              <w:rPr>
                <w:rFonts w:ascii="仿宋_GB2312" w:hAnsi="仿宋_GB2312" w:cs="仿宋_GB2312" w:eastAsia="仿宋_GB2312"/>
                <w:sz w:val="21"/>
                <w:shd w:fill="FFFFFF" w:val="clear"/>
              </w:rPr>
              <w:t>21.具有自锁式挂钩，设置落锤释放安全保护装置；</w:t>
            </w:r>
          </w:p>
          <w:p>
            <w:pPr>
              <w:pStyle w:val="null3"/>
            </w:pPr>
            <w:r>
              <w:rPr>
                <w:rFonts w:ascii="仿宋_GB2312" w:hAnsi="仿宋_GB2312" w:cs="仿宋_GB2312" w:eastAsia="仿宋_GB2312"/>
                <w:sz w:val="21"/>
                <w:shd w:fill="FFFFFF" w:val="clear"/>
              </w:rPr>
              <w:t>22.所有操控部件应设置意外操作急停控制装置；设置试验区域钢网安全维护装置；</w:t>
            </w:r>
          </w:p>
          <w:p>
            <w:pPr>
              <w:pStyle w:val="null3"/>
            </w:pPr>
            <w:r>
              <w:rPr>
                <w:rFonts w:ascii="仿宋_GB2312" w:hAnsi="仿宋_GB2312" w:cs="仿宋_GB2312" w:eastAsia="仿宋_GB2312"/>
                <w:sz w:val="21"/>
                <w:b/>
              </w:rPr>
              <w:t>▲</w:t>
            </w:r>
            <w:r>
              <w:rPr>
                <w:rFonts w:ascii="仿宋_GB2312" w:hAnsi="仿宋_GB2312" w:cs="仿宋_GB2312" w:eastAsia="仿宋_GB2312"/>
                <w:sz w:val="21"/>
                <w:shd w:fill="FFFFFF" w:val="clear"/>
              </w:rPr>
              <w:t>23.配置二次冲击安全防护系统；</w:t>
            </w:r>
          </w:p>
          <w:p>
            <w:pPr>
              <w:pStyle w:val="null3"/>
            </w:pPr>
            <w:r>
              <w:rPr>
                <w:rFonts w:ascii="仿宋_GB2312" w:hAnsi="仿宋_GB2312" w:cs="仿宋_GB2312" w:eastAsia="仿宋_GB2312"/>
                <w:sz w:val="21"/>
                <w:shd w:fill="FFFFFF" w:val="clear"/>
              </w:rPr>
              <w:t>24.配置缓冲装置，根据实际需要可自行组合调整高度；</w:t>
            </w:r>
          </w:p>
          <w:p>
            <w:pPr>
              <w:pStyle w:val="null3"/>
            </w:pPr>
            <w:r>
              <w:rPr>
                <w:rFonts w:ascii="仿宋_GB2312" w:hAnsi="仿宋_GB2312" w:cs="仿宋_GB2312" w:eastAsia="仿宋_GB2312"/>
                <w:sz w:val="21"/>
                <w:shd w:fill="FFFFFF" w:val="clear"/>
              </w:rPr>
              <w:t>25.配置试验安全保障系统机械安全防护、远程主控、监控、声光报警等；</w:t>
            </w:r>
          </w:p>
          <w:p>
            <w:pPr>
              <w:pStyle w:val="null3"/>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6</w:t>
            </w:r>
            <w:r>
              <w:rPr>
                <w:rFonts w:ascii="仿宋_GB2312" w:hAnsi="仿宋_GB2312" w:cs="仿宋_GB2312" w:eastAsia="仿宋_GB2312"/>
                <w:sz w:val="21"/>
                <w:shd w:fill="FFFFFF" w:val="clear"/>
              </w:rPr>
              <w:t>.高性能工控硬件一套，具备高算力、高稳定性、多扩展能力，支持机器视觉多路图像实时处理、多轴运动控制、高速数据采集、工业总线通讯及边缘AI推理，可在工业环境下7×24h 连续稳定运行，具备丰富I/O 接口及 PCIe 扩展插槽，支持宽压供电与硬件密码狗，采用工业级无风扇或强散热设计，配套工业级存储与可靠供电。</w:t>
            </w:r>
          </w:p>
          <w:p>
            <w:pPr>
              <w:pStyle w:val="null3"/>
            </w:pPr>
            <w:r>
              <w:rPr>
                <w:rFonts w:ascii="仿宋_GB2312" w:hAnsi="仿宋_GB2312" w:cs="仿宋_GB2312" w:eastAsia="仿宋_GB2312"/>
                <w:sz w:val="21"/>
                <w:b/>
              </w:rPr>
              <w:t>▲</w:t>
            </w: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7</w:t>
            </w:r>
            <w:r>
              <w:rPr>
                <w:rFonts w:ascii="仿宋_GB2312" w:hAnsi="仿宋_GB2312" w:cs="仿宋_GB2312" w:eastAsia="仿宋_GB2312"/>
                <w:sz w:val="21"/>
                <w:shd w:fill="FFFFFF" w:val="clear"/>
              </w:rPr>
              <w:t>.数字控制模块一套：实现上升、下降、释放等操作、实时显示落锤释放前的高度、限位状态等功能，与本系统动态采集为一体化设计，并能联动外置第三方采集仪软件。</w:t>
            </w:r>
          </w:p>
          <w:p>
            <w:pPr>
              <w:pStyle w:val="null3"/>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8</w:t>
            </w:r>
            <w:r>
              <w:rPr>
                <w:rFonts w:ascii="仿宋_GB2312" w:hAnsi="仿宋_GB2312" w:cs="仿宋_GB2312" w:eastAsia="仿宋_GB2312"/>
                <w:sz w:val="21"/>
                <w:shd w:fill="FFFFFF" w:val="clear"/>
              </w:rPr>
              <w:t>.操控方式</w:t>
            </w:r>
            <w:r>
              <w:rPr>
                <w:rFonts w:ascii="仿宋_GB2312" w:hAnsi="仿宋_GB2312" w:cs="仿宋_GB2312" w:eastAsia="仿宋_GB2312"/>
                <w:sz w:val="21"/>
                <w:shd w:fill="FFFFFF" w:val="clear"/>
              </w:rPr>
              <w:t>至少包括</w:t>
            </w:r>
            <w:r>
              <w:rPr>
                <w:rFonts w:ascii="仿宋_GB2312" w:hAnsi="仿宋_GB2312" w:cs="仿宋_GB2312" w:eastAsia="仿宋_GB2312"/>
                <w:sz w:val="21"/>
                <w:shd w:fill="FFFFFF" w:val="clear"/>
              </w:rPr>
              <w:t>：显示屏操作控制</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遥控器操作控制</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线控器操作控制</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按钮操作控制</w:t>
            </w:r>
          </w:p>
          <w:p>
            <w:pPr>
              <w:pStyle w:val="null3"/>
            </w:pPr>
            <w:r>
              <w:rPr>
                <w:rFonts w:ascii="仿宋_GB2312" w:hAnsi="仿宋_GB2312" w:cs="仿宋_GB2312" w:eastAsia="仿宋_GB2312"/>
                <w:sz w:val="21"/>
                <w:shd w:fill="FFFFFF" w:val="clear"/>
              </w:rPr>
              <w:t>29</w:t>
            </w:r>
            <w:r>
              <w:rPr>
                <w:rFonts w:ascii="仿宋_GB2312" w:hAnsi="仿宋_GB2312" w:cs="仿宋_GB2312" w:eastAsia="仿宋_GB2312"/>
                <w:sz w:val="21"/>
                <w:shd w:fill="FFFFFF" w:val="clear"/>
              </w:rPr>
              <w:t>.能实现结构多种边界约束条件，持续加载装置；</w:t>
            </w:r>
          </w:p>
          <w:p>
            <w:pPr>
              <w:pStyle w:val="null3"/>
            </w:pPr>
            <w:r>
              <w:rPr>
                <w:rFonts w:ascii="仿宋_GB2312" w:hAnsi="仿宋_GB2312" w:cs="仿宋_GB2312" w:eastAsia="仿宋_GB2312"/>
                <w:sz w:val="21"/>
                <w:shd w:fill="FFFFFF" w:val="clear"/>
              </w:rPr>
              <w:t>可满足梁的动态水平预应力持续追加装置，最大预应力</w:t>
            </w:r>
            <w:r>
              <w:rPr>
                <w:rFonts w:ascii="仿宋_GB2312" w:hAnsi="仿宋_GB2312" w:cs="仿宋_GB2312" w:eastAsia="仿宋_GB2312"/>
                <w:sz w:val="21"/>
                <w:shd w:fill="FFFFFF" w:val="clear"/>
              </w:rPr>
              <w:t>200吨，预应力有效追加行程≥10mm。</w:t>
            </w:r>
          </w:p>
          <w:p>
            <w:pPr>
              <w:pStyle w:val="null3"/>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0</w:t>
            </w:r>
            <w:r>
              <w:rPr>
                <w:rFonts w:ascii="仿宋_GB2312" w:hAnsi="仿宋_GB2312" w:cs="仿宋_GB2312" w:eastAsia="仿宋_GB2312"/>
                <w:sz w:val="21"/>
                <w:shd w:fill="FFFFFF" w:val="clear"/>
              </w:rPr>
              <w:t>.试样尺寸：≥6000mm×3000mm×2000mm；</w:t>
            </w:r>
          </w:p>
          <w:p>
            <w:pPr>
              <w:pStyle w:val="null3"/>
            </w:pPr>
            <w:r>
              <w:rPr>
                <w:rFonts w:ascii="仿宋_GB2312" w:hAnsi="仿宋_GB2312" w:cs="仿宋_GB2312" w:eastAsia="仿宋_GB2312"/>
                <w:sz w:val="21"/>
                <w:b/>
              </w:rPr>
              <w:t>▲</w:t>
            </w: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.根据设备安装场地基础的具体情况，设置钢筋混凝土地基基础；地基基础的长宽尺寸≥ 5m×4m；地基基础的深度必须满足承载冲击力和基础变形的要求；地基基础周围设置主动隔震装置，隔绝冲击震动波向外传播；设置锚孔或丝孔安装固定装置；</w:t>
            </w:r>
          </w:p>
          <w:p>
            <w:pPr>
              <w:pStyle w:val="null3"/>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.配置量程为2000kN、5000kN动态力传感器各2只；量程为1000g加速度传感器2只；量程为300mm的位移传感器5只；</w:t>
            </w:r>
          </w:p>
          <w:p>
            <w:pPr>
              <w:pStyle w:val="null3"/>
              <w:jc w:val="both"/>
            </w:pPr>
            <w:r>
              <w:rPr>
                <w:rFonts w:ascii="仿宋_GB2312" w:hAnsi="仿宋_GB2312" w:cs="仿宋_GB2312" w:eastAsia="仿宋_GB2312"/>
                <w:b/>
              </w:rPr>
              <w:t>▲</w:t>
            </w: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.配置测控系统自动采集记录曲线、自动分析主要冲击参数；</w:t>
            </w:r>
          </w:p>
          <w:p>
            <w:pPr>
              <w:pStyle w:val="null3"/>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4</w:t>
            </w:r>
            <w:r>
              <w:rPr>
                <w:rFonts w:ascii="仿宋_GB2312" w:hAnsi="仿宋_GB2312" w:cs="仿宋_GB2312" w:eastAsia="仿宋_GB2312"/>
                <w:sz w:val="21"/>
                <w:shd w:fill="FFFFFF" w:val="clear"/>
              </w:rPr>
              <w:t>.配置测速装置用于测量冲击锤头接触试样时的瞬态落锤速度；</w:t>
            </w:r>
          </w:p>
          <w:p>
            <w:pPr>
              <w:pStyle w:val="null3"/>
            </w:pPr>
            <w:r>
              <w:rPr>
                <w:rFonts w:ascii="仿宋_GB2312" w:hAnsi="仿宋_GB2312" w:cs="仿宋_GB2312" w:eastAsia="仿宋_GB2312"/>
                <w:sz w:val="21"/>
                <w:b/>
                <w:color w:val="000000"/>
                <w:shd w:fill="FFFFFF" w:val="clear"/>
              </w:rPr>
              <w:t>▲</w:t>
            </w:r>
            <w:r>
              <w:rPr>
                <w:rFonts w:ascii="仿宋_GB2312" w:hAnsi="仿宋_GB2312" w:cs="仿宋_GB2312" w:eastAsia="仿宋_GB2312"/>
                <w:sz w:val="21"/>
                <w:color w:val="000000"/>
                <w:shd w:fill="FFFFFF" w:val="clear"/>
              </w:rPr>
              <w:t>3</w:t>
            </w:r>
            <w:r>
              <w:rPr>
                <w:rFonts w:ascii="仿宋_GB2312" w:hAnsi="仿宋_GB2312" w:cs="仿宋_GB2312" w:eastAsia="仿宋_GB2312"/>
                <w:sz w:val="21"/>
                <w:color w:val="000000"/>
                <w:shd w:fill="FFFFFF" w:val="clear"/>
              </w:rPr>
              <w:t>5</w:t>
            </w:r>
            <w:r>
              <w:rPr>
                <w:rFonts w:ascii="仿宋_GB2312" w:hAnsi="仿宋_GB2312" w:cs="仿宋_GB2312" w:eastAsia="仿宋_GB2312"/>
                <w:sz w:val="21"/>
                <w:color w:val="000000"/>
                <w:shd w:fill="FFFFFF" w:val="clear"/>
              </w:rPr>
              <w:t>.配置外置</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24通道10MHz瞬态数据采集仪。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合同签订后3个月内交货安装验收完毕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西安工业大学未央校区教4楼结构大厅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其他，设备安装调试经采购人验收合格后，达到付款条件起10个工作日内，支付合同总金额的100.0%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设备的验收流程包括:到货验收、安装调试、试运行、最终验收。到货验收:设备到达指定地点后，由采购人技术人员进行初步检查，确认设备的外观、型号等信息是否与合同一致。同时，需要开箱验货，检查设备及配件的外观、数量、包装是否完好无损。如果发现外包装损坏或规格、型号、数量与合同不符等问题，则视为初验不合格，设备应返回给中标人，并记录处理意见。安装调试:在确认设备符合要求后，由中标人进行设备的安装和调试，确保设备能够正常运行。试运行:设备安装调试完成后，通常会进入试运行期。本项目运行期为1周，试运行期间，如果出现质量问题，中标人需负责修复或更换货物。试运行结束后，由采购人组织正式验收。最终验收:在试运行无问题后，由采购人和中标人共同完成最终验收。验收小组对设备的性能、稳定性进行全面测试和评估，根据测试结果决定是否接受该设备，并签署验收报告。最终验收合格后，办理移交手续，并依据合同条款进行付款申报。2.培训要求:到货后一个月内，至少包含一名原厂技术工程师现场指导，培训时长不低于4小时。中标人须负责开展培训服务，明确各阶段详实培训计划，包括但不限于对教师、实验室设备管理人员等进行培训服务。培训内容包括各种设备的初始化及故障诊断、定位和排除技能等。培训次数不限，达到熟练使用的效果。提供相关主要设备的操作流程及使用手册，维修手册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本项目整体质保期：验收合格后5 年；质保期满后，中标（成交）供应商仍需提供专业维修服务。质保期内免费提供正常使用的易损件和备件；软件系统提供终身免费升级服务。设备经过双方检验认可后，签署验收报告，产品保修期自验收合格之日起计算，由中标（成交）供应商提供产品保修文件。质保期内所有维修服务均由中标（成交）供应商免费上门取、送、修。安装调试1个月内，如有质量问题，设备整机无条件退换货并提供备件以保证教学正常开展。在保修期内，任何质量问题，中标（成交）供应商负责免费维修。质保期过后需换件时，原则上应提供原装器件，并按成本价收费。服务响应时间：中标（成交）供应商接到维修电话后2小时内给予明确答复，24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1、本项目需要落实的政府采购政策: （1）《政府采购促进中小企业发展管理办法》的通知--财库〔2020〕46号（2）财政部司法部关于政府采购支持监狱企业发展有关问题的通知--财库[2014]68号 （3）《财政部 发展改革委 生态环境部 市场监管总局关于调整优化节能产品 环境标志产品政府采购执行机制的通知》（财库〔2019〕9号）（4）《关于促进残疾人就业政府采购政策的通知》（财库[2017]141号）（5）《陕西省财政厅关于加快推进我省中小企业政府采购信用融资工作的通知》（陕财办采〔2020〕15 号）（6）《陕西省中小企业政府采购信用融资办法》陕财办采〔2018〕23号（7）《关于运用政府采购政策支持乡村产业振兴的通知》（财库〔2021〕19 号）（8）《关于进一步加大政府采购支持中小企业力度的通知》（财库〔2022〕19号）（9）《陕西省财政厅关于进一步落实政府采购支持中小企业相关政策的通知》（陕财办采〔2023〕3号）（10）《国务院办公厅关于在政府采购中实施本国产品标准及相关政策的通知》（国办发〔2025〕34号）（11）《关于推动解决政府采购异常低价问题的通知》（财库〔2026〕2号）（12）若享受以上政策优惠的企业，提供相应声明函或品目范围内产品有效认证证书。如有最新颁布的政府采购政策，按最新的文件执行。（13）本项目为非专门面向中、小、微型企业采购项目。 2、保证金的退还：保证金的退还：自中标通知书发出之日起5个工作日内退还未中标人的投标保证金,自采购合同签订之日起5个工作日内退还中标人的投标保证金。合同签订后，中标人需将合同扫描件发送至指定联系人邮箱，邮箱地址为1347072385@qq.com，并以邮件接收时间为退付的基准时间。3、因文件关于合同签订时间无法修改，特在此处说明，中标中标人应当在中标通知书发出之日起25日内与采购人签订政府采购合同。4、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5、中标人需要提交与电子化交易系统中一致的纸质版投标文件正本壹份打印并胶装（可顺丰邮寄），邮寄地址：西安市雁展路1111号莱安中心T6-15层，联系人：贾彤菲，联系电话：029-81206622/81206633-833。6、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投标人资格条件证明文件.docx 分项报价表.docx 标的清单 投标文件封面 其他说明.docx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分项报价表.docx 产品技术参数表 投标函 商务应答表 标的清单 投标文件封面 其他说明.docx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中标“▲”号参数为重要参数，负偏离一项扣1分；非“▲”号参数，负偏离一项扣0.5分，扣完为止。注：提供“▲”号参数的相应的证明材料（不限于产品彩页、测试报告、官网和功能截图等技术支持性文件资料），经评审专家审定得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1详细评审--技术参数.docx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①项目总体生产实施方案、②供货组织安排、③进度安排、④质量保证及实施重点难点分析。评审标准：方案各部分内容全面详细、阐述条例清晰详尽、符合本项目采购需求，能保障本项目实施得16分；评审内容每缺一项扣4分，评审内容每有一处缺陷未完全响应评审标准的扣2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投标人提供针对本项目的①安装调试、②验收方案，评审标准：方案各部分内容全面详细、阐述条例清晰详尽、符合本项目采购需求，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3详细评审--验收方案.docx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提供所投产品合法来源渠道证明文件（不限于销售协议、代理协议、原厂授权等），确保生产供应的产品为全新产品,无假货、水货、翻新货且无产权纠纷。提供齐全计2分，未提供不计分。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4详细评审--供货渠道证明.docx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提供投标人2023年1月1日至今同类项目合同（以合同签订日期为准），每提供1个得1分，最高得5分。备注：响应文件中提供合同复印件（包含关键页，双方盖章页）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5详细评审--业绩.docx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根据采购人实际情况提供相适应售后服务方案包括但不限于：①售后服务内容及承诺；②故障处理方案及响应时间；③应急方案；④定期巡检维护方案等; 满分12分。每有一项缺项扣3分；每有一处内容存在缺陷，扣1.5分，扣完为止。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提供的培训方案及培训效果保证措施等进行综合评分，培训教员具有丰富的经验和应用经验，制定培训课程计划表，列出每种培训的内容、方式等（次数不限），培训内容应包括：①提供产品的原理和技术性能、②操作维护方法、安装调试③排除故障等各个方面。各部分内容全面详细、阐述条例清晰详尽、符合本项目采购需求，得6分，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7详细评审--培训方案.docx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注：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详见附件：3详细评审--验收方案.docx</w:t>
      </w:r>
    </w:p>
    <w:p>
      <w:pPr>
        <w:pStyle w:val="null3"/>
        <w:ind w:firstLine="960"/>
      </w:pPr>
      <w:r>
        <w:rPr>
          <w:rFonts w:ascii="仿宋_GB2312" w:hAnsi="仿宋_GB2312" w:cs="仿宋_GB2312" w:eastAsia="仿宋_GB2312"/>
        </w:rPr>
        <w:t>详见附件：4详细评审--供货渠道证明.docx</w:t>
      </w:r>
    </w:p>
    <w:p>
      <w:pPr>
        <w:pStyle w:val="null3"/>
        <w:ind w:firstLine="960"/>
      </w:pPr>
      <w:r>
        <w:rPr>
          <w:rFonts w:ascii="仿宋_GB2312" w:hAnsi="仿宋_GB2312" w:cs="仿宋_GB2312" w:eastAsia="仿宋_GB2312"/>
        </w:rPr>
        <w:t>详见附件：5详细评审--业绩.docx</w:t>
      </w:r>
    </w:p>
    <w:p>
      <w:pPr>
        <w:pStyle w:val="null3"/>
        <w:ind w:firstLine="960"/>
      </w:pPr>
      <w:r>
        <w:rPr>
          <w:rFonts w:ascii="仿宋_GB2312" w:hAnsi="仿宋_GB2312" w:cs="仿宋_GB2312" w:eastAsia="仿宋_GB2312"/>
        </w:rPr>
        <w:t>详见附件：6详细评审--售后服务方案.docx</w:t>
      </w:r>
    </w:p>
    <w:p>
      <w:pPr>
        <w:pStyle w:val="null3"/>
        <w:ind w:firstLine="960"/>
      </w:pPr>
      <w:r>
        <w:rPr>
          <w:rFonts w:ascii="仿宋_GB2312" w:hAnsi="仿宋_GB2312" w:cs="仿宋_GB2312" w:eastAsia="仿宋_GB2312"/>
        </w:rPr>
        <w:t>详见附件：7详细评审--培训方案.docx</w:t>
      </w:r>
    </w:p>
    <w:p>
      <w:pPr>
        <w:pStyle w:val="null3"/>
        <w:ind w:firstLine="960"/>
      </w:pPr>
      <w:r>
        <w:rPr>
          <w:rFonts w:ascii="仿宋_GB2312" w:hAnsi="仿宋_GB2312" w:cs="仿宋_GB2312" w:eastAsia="仿宋_GB2312"/>
        </w:rPr>
        <w:t>详见附件：8详细评审--节能环保.docx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详见附件：1详细评审--技术参数.docx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