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版本号：HTCG-SL-202601920260722001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永乐街道办栗园村2026年道路扩宽改造项目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HTCG-SL-2026019</w:t>
      </w:r>
      <w:r>
        <w:br/>
      </w:r>
      <w:r>
        <w:br/>
      </w:r>
      <w:r>
        <w:br/>
      </w:r>
    </w:p>
    <w:p>
      <w:pPr>
        <w:pStyle w:val="null3"/>
        <w:jc w:val="center"/>
        <w:outlineLvl w:val="2"/>
      </w:pPr>
      <w:r>
        <w:rPr>
          <w:rFonts w:ascii="仿宋_GB2312" w:hAnsi="仿宋_GB2312" w:cs="仿宋_GB2312" w:eastAsia="仿宋_GB2312"/>
          <w:sz w:val="28"/>
          <w:b/>
        </w:rPr>
        <w:t>镇安县永乐镇财政所</w:t>
      </w:r>
    </w:p>
    <w:p>
      <w:pPr>
        <w:pStyle w:val="null3"/>
        <w:jc w:val="center"/>
        <w:outlineLvl w:val="2"/>
      </w:pPr>
      <w:r>
        <w:rPr>
          <w:rFonts w:ascii="仿宋_GB2312" w:hAnsi="仿宋_GB2312" w:cs="仿宋_GB2312" w:eastAsia="仿宋_GB2312"/>
          <w:sz w:val="28"/>
          <w:b/>
        </w:rPr>
        <w:t>鸿图造价咨询有限责任公司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鸿图造价咨询有限责任公司</w:t>
      </w:r>
      <w:r>
        <w:rPr>
          <w:rFonts w:ascii="仿宋_GB2312" w:hAnsi="仿宋_GB2312" w:cs="仿宋_GB2312" w:eastAsia="仿宋_GB2312"/>
        </w:rPr>
        <w:t>（以下简称“代理机构”）受</w:t>
      </w:r>
      <w:r>
        <w:rPr>
          <w:rFonts w:ascii="仿宋_GB2312" w:hAnsi="仿宋_GB2312" w:cs="仿宋_GB2312" w:eastAsia="仿宋_GB2312"/>
        </w:rPr>
        <w:t>镇安县永乐镇财政所</w:t>
      </w:r>
      <w:r>
        <w:rPr>
          <w:rFonts w:ascii="仿宋_GB2312" w:hAnsi="仿宋_GB2312" w:cs="仿宋_GB2312" w:eastAsia="仿宋_GB2312"/>
        </w:rPr>
        <w:t>委托，拟对</w:t>
      </w:r>
      <w:r>
        <w:rPr>
          <w:rFonts w:ascii="仿宋_GB2312" w:hAnsi="仿宋_GB2312" w:cs="仿宋_GB2312" w:eastAsia="仿宋_GB2312"/>
        </w:rPr>
        <w:t>永乐街道办栗园村2026年道路扩宽改造项目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HTCG-SL-2026019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永乐街道办栗园村2026年道路扩宽改造项目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镇安县永乐街道办栗园村，路线全长3.794公里，路线起点位于镇安西站综合交通枢纽工程项目终点，途径高铁拌合站、镇安县华兴特色农产品示范基地门前、栗园村委会，终于二号弃渣场路口，铺设宽度2.5m，厚度16cm无结合料粒料基层，包括路基、防护挡墙和涵洞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采购包1（永乐街道办栗园村2026年道路扩宽改造项目）：属于专门面向中小企业采购。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合法有效：具有独⽴承担⺠事责任能⼒的法⼈、其他组织或⾃然⼈，并出具合法有效的统⼀社会信⽤代码的营业执照或事业单位法⼈证书等国家规定的相关证明，⾃然⼈参与的提供其⾝份证明；供应商须在项⽬电⼦化交易系统中按要求提供证明资料并进⾏电⼦签章。</w:t>
      </w:r>
    </w:p>
    <w:p>
      <w:pPr>
        <w:pStyle w:val="null3"/>
      </w:pPr>
      <w:r>
        <w:rPr>
          <w:rFonts w:ascii="仿宋_GB2312" w:hAnsi="仿宋_GB2312" w:cs="仿宋_GB2312" w:eastAsia="仿宋_GB2312"/>
        </w:rPr>
        <w:t>2、资质要求：供应商须具备公路⼯程施⼯总承包三级及以上资质，且具备有效的安全⽣产许可证；供应商须在项⽬电⼦化交易系统中按要求提供证明资料并进⾏电⼦签章</w:t>
      </w:r>
    </w:p>
    <w:p>
      <w:pPr>
        <w:pStyle w:val="null3"/>
      </w:pPr>
      <w:r>
        <w:rPr>
          <w:rFonts w:ascii="仿宋_GB2312" w:hAnsi="仿宋_GB2312" w:cs="仿宋_GB2312" w:eastAsia="仿宋_GB2312"/>
        </w:rPr>
        <w:t>3、项⽬负责⼈资质要求：拟派项目经理须具备公路工程专业二级及以上注册建造师证书，具备有效的安全生产考核合格证书，且不得担任其他在建施工项目的项目经理；供应商须在项⽬电⼦化交易系统中按要求提供证明资料并进⾏电⼦签章</w:t>
      </w:r>
    </w:p>
    <w:p>
      <w:pPr>
        <w:pStyle w:val="null3"/>
      </w:pPr>
      <w:r>
        <w:rPr>
          <w:rFonts w:ascii="仿宋_GB2312" w:hAnsi="仿宋_GB2312" w:cs="仿宋_GB2312" w:eastAsia="仿宋_GB2312"/>
        </w:rPr>
        <w:t>4、基本信息要求：投标⼈资质及项⽬经理的基本信息应在“陕西建设⽹ （http://js.shaanxi.gov.cn/）陕西省建筑市场监管与诚信信息发布平台”可查询或在 “陕西省住房和城乡建设厅（http：//js.shaanxi.gov.cn/）”可查询（提供相关⽹站截图）；供应商须在项⽬电⼦化交易系统中按要求提供证明资料并进⾏电⼦签章</w:t>
      </w:r>
    </w:p>
    <w:p>
      <w:pPr>
        <w:pStyle w:val="null3"/>
      </w:pPr>
      <w:r>
        <w:rPr>
          <w:rFonts w:ascii="仿宋_GB2312" w:hAnsi="仿宋_GB2312" w:cs="仿宋_GB2312" w:eastAsia="仿宋_GB2312"/>
        </w:rPr>
        <w:t>5、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pPr>
        <w:pStyle w:val="null3"/>
      </w:pPr>
      <w:r>
        <w:rPr>
          <w:rFonts w:ascii="仿宋_GB2312" w:hAnsi="仿宋_GB2312" w:cs="仿宋_GB2312" w:eastAsia="仿宋_GB2312"/>
        </w:rPr>
        <w:t>6、财务状况证明：提供2025年度经审计的财务报告，包括 “四表⼀注”即资产负债表、利润表、现⾦流量表、所有者权益变动表及其附注(成立时间至投标文件截止时间不足一年的可提供成立后任意时段的资产负债表)，或提交响应⽂件截⽌时间前3个⽉内其基本账⼾开⼾银⾏出具的资信证明（附基本存款账⼾信息）。供应商须在项⽬电⼦化交易系统中按要求提供证明资料并进⾏电⼦签章</w:t>
      </w:r>
    </w:p>
    <w:p>
      <w:pPr>
        <w:pStyle w:val="null3"/>
      </w:pPr>
      <w:r>
        <w:rPr>
          <w:rFonts w:ascii="仿宋_GB2312" w:hAnsi="仿宋_GB2312" w:cs="仿宋_GB2312" w:eastAsia="仿宋_GB2312"/>
        </w:rPr>
        <w:t>7、税收缴纳记录：提供投标截⽌⽇前近⼀年内已缴纳任意⼀个⽉的纳税证明或完税证明（任意税种），依法免税的单位应提供相关证明材料；供应商须在项⽬电⼦化交易系统中按要求提供证明资料并进⾏电⼦签章</w:t>
      </w:r>
    </w:p>
    <w:p>
      <w:pPr>
        <w:pStyle w:val="null3"/>
      </w:pPr>
      <w:r>
        <w:rPr>
          <w:rFonts w:ascii="仿宋_GB2312" w:hAnsi="仿宋_GB2312" w:cs="仿宋_GB2312" w:eastAsia="仿宋_GB2312"/>
        </w:rPr>
        <w:t>8、社会保障资⾦缴纳证明：提供投标截⽌⽇前⼀年内任意⼀个⽉已缴纳的社会保障资⾦缴存单据或社保机构开具的社会保险参保缴费情况证明，依法不需要缴纳社会保障资⾦的应提供相关⽂件证明；供应商须在项⽬电⼦化交易系统中按要求提供证明资料并进⾏电⼦签章</w:t>
      </w:r>
    </w:p>
    <w:p>
      <w:pPr>
        <w:pStyle w:val="null3"/>
      </w:pPr>
      <w:r>
        <w:rPr>
          <w:rFonts w:ascii="仿宋_GB2312" w:hAnsi="仿宋_GB2312" w:cs="仿宋_GB2312" w:eastAsia="仿宋_GB2312"/>
        </w:rPr>
        <w:t>9、⽆重⼤违法记录：提供参加政府采购活动前3年内，在经营活动中没有重⼤违法记录的书⾯声明；供应商须在项⽬电⼦化交易系统中按要求提供证明资料并进⾏电⼦签章</w:t>
      </w:r>
    </w:p>
    <w:p>
      <w:pPr>
        <w:pStyle w:val="null3"/>
      </w:pPr>
      <w:r>
        <w:rPr>
          <w:rFonts w:ascii="仿宋_GB2312" w:hAnsi="仿宋_GB2312" w:cs="仿宋_GB2312" w:eastAsia="仿宋_GB2312"/>
        </w:rPr>
        <w:t>10、履约能力：提供具有履⾏本合同所必需的设备和专业技术能⼒的声明；供应商须在项⽬电⼦化交易系统中按要求提供证明资料并进⾏电⼦签章</w:t>
      </w:r>
    </w:p>
    <w:p>
      <w:pPr>
        <w:pStyle w:val="null3"/>
      </w:pPr>
      <w:r>
        <w:rPr>
          <w:rFonts w:ascii="仿宋_GB2312" w:hAnsi="仿宋_GB2312" w:cs="仿宋_GB2312" w:eastAsia="仿宋_GB2312"/>
        </w:rPr>
        <w:t>11、控股关系：单位负责⼈为同⼀⼈或者存在直接控股、管理关系的不同供应商，不得同时参加本项⽬同⼀合同项下的政府采购活动，提供承诺函；供应商须在项⽬电⼦化交易系统中按要求提供证明资料并进⾏电⼦签章</w:t>
      </w:r>
    </w:p>
    <w:p>
      <w:pPr>
        <w:pStyle w:val="null3"/>
      </w:pPr>
      <w:r>
        <w:rPr>
          <w:rFonts w:ascii="仿宋_GB2312" w:hAnsi="仿宋_GB2312" w:cs="仿宋_GB2312" w:eastAsia="仿宋_GB2312"/>
        </w:rPr>
        <w:t>12、非联合体投标：本项⽬不接受联合体投标，提供⾮联合体声明；供应商须在项⽬电⼦化交易系统中按要求提供证明资料并进⾏电⼦签章</w:t>
      </w:r>
    </w:p>
    <w:p>
      <w:pPr>
        <w:pStyle w:val="null3"/>
      </w:pPr>
      <w:r>
        <w:rPr>
          <w:rFonts w:ascii="仿宋_GB2312" w:hAnsi="仿宋_GB2312" w:cs="仿宋_GB2312" w:eastAsia="仿宋_GB2312"/>
        </w:rPr>
        <w:t>13、法⼈⾝份证明或法⼈授权委托书：提供法定代表⼈⾝份证明或授权委托书，法⼈直接参加的，须出具法定代表⼈⾝份证明；被授权⼈参加的，须出具法定代表⼈授权委托书；供应商需在项⽬电⼦化交易系统中按要求提供证明资料并进⾏电⼦签章；</w:t>
      </w:r>
    </w:p>
    <w:p>
      <w:pPr>
        <w:pStyle w:val="null3"/>
      </w:pPr>
      <w:r>
        <w:rPr>
          <w:rFonts w:ascii="仿宋_GB2312" w:hAnsi="仿宋_GB2312" w:cs="仿宋_GB2312" w:eastAsia="仿宋_GB2312"/>
        </w:rPr>
        <w:t>14、中⼩企业声明函：本项⽬专⻔⾯向中⼩企业采购，需提供中⼩企业声明；供应商须在项⽬电⼦化交易系统中按要求提供证明资料并进⾏电⼦签章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镇安县永乐镇财政所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陕西省商洛市镇安县永乐街道办事处坪中路金水园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15129902110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鸿图造价咨询有限责任公司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陕西省西安市碑林区南二环西段21号华融国际11703室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15686374077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采购包1：3,133,439.00元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改委办公厅颁发的《关于招标代理服务收费有关问题的通知》（发改办价格【2003】857号）文件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镇安县永乐镇财政所</w:t>
      </w:r>
      <w:r>
        <w:rPr>
          <w:rFonts w:ascii="仿宋_GB2312" w:hAnsi="仿宋_GB2312" w:cs="仿宋_GB2312" w:eastAsia="仿宋_GB2312"/>
        </w:rPr>
        <w:t>和</w:t>
      </w:r>
      <w:r>
        <w:rPr>
          <w:rFonts w:ascii="仿宋_GB2312" w:hAnsi="仿宋_GB2312" w:cs="仿宋_GB2312" w:eastAsia="仿宋_GB2312"/>
        </w:rPr>
        <w:t>鸿图造价咨询有限责任公司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镇安县永乐镇财政所</w:t>
      </w:r>
      <w:r>
        <w:rPr>
          <w:rFonts w:ascii="仿宋_GB2312" w:hAnsi="仿宋_GB2312" w:cs="仿宋_GB2312" w:eastAsia="仿宋_GB2312"/>
        </w:rPr>
        <w:t>负责解释。除上述磋商文件内容，其他内容由</w:t>
      </w:r>
      <w:r>
        <w:rPr>
          <w:rFonts w:ascii="仿宋_GB2312" w:hAnsi="仿宋_GB2312" w:cs="仿宋_GB2312" w:eastAsia="仿宋_GB2312"/>
        </w:rPr>
        <w:t>鸿图造价咨询有限责任公司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镇安县永乐镇财政所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鸿图造价咨询有限责任公司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严格按照图纸、工程量清单施工，工程质量达到验收合格标准，满足正常通行使用要求，资料齐全完整，无质量缺陷。</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鸿图造价咨询有限责任公司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鸿图造价咨询有限责任公司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鸿图造价咨询有限责任公司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联系电话：15686374077</w:t>
      </w:r>
    </w:p>
    <w:p>
      <w:pPr>
        <w:pStyle w:val="null3"/>
      </w:pPr>
      <w:r>
        <w:rPr>
          <w:rFonts w:ascii="仿宋_GB2312" w:hAnsi="仿宋_GB2312" w:cs="仿宋_GB2312" w:eastAsia="仿宋_GB2312"/>
        </w:rPr>
        <w:t>地址：镇安县永乐街道办新城社区迎宾路近水楼酒店10楼</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3,133,439.00</w:t>
      </w:r>
    </w:p>
    <w:p>
      <w:pPr>
        <w:pStyle w:val="null3"/>
      </w:pPr>
      <w:r>
        <w:rPr>
          <w:rFonts w:ascii="仿宋_GB2312" w:hAnsi="仿宋_GB2312" w:cs="仿宋_GB2312" w:eastAsia="仿宋_GB2312"/>
        </w:rPr>
        <w:t>采购包最高限价（元）: 3,133,439.00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永乐街道办栗园村2026年道路扩宽改造项目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3,133,439.00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标的名称：永乐街道办栗园村2026年道路扩宽改造项目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1.项目名称：永乐街道办栗园村2026年道路扩宽改造项目</w:t>
            </w:r>
          </w:p>
          <w:p>
            <w:pPr>
              <w:pStyle w:val="null3"/>
            </w:pPr>
            <w:r>
              <w:rPr>
                <w:rFonts w:ascii="仿宋_GB2312" w:hAnsi="仿宋_GB2312" w:cs="仿宋_GB2312" w:eastAsia="仿宋_GB2312"/>
                <w:sz w:val="21"/>
              </w:rPr>
              <w:t>2.项目地点</w:t>
            </w:r>
            <w:r>
              <w:rPr>
                <w:rFonts w:ascii="仿宋_GB2312" w:hAnsi="仿宋_GB2312" w:cs="仿宋_GB2312" w:eastAsia="仿宋_GB2312"/>
                <w:sz w:val="21"/>
              </w:rPr>
              <w:t>：</w:t>
            </w:r>
            <w:r>
              <w:rPr>
                <w:rFonts w:ascii="仿宋_GB2312" w:hAnsi="仿宋_GB2312" w:cs="仿宋_GB2312" w:eastAsia="仿宋_GB2312"/>
                <w:sz w:val="21"/>
              </w:rPr>
              <w:t>镇安县永乐街道办栗园村</w:t>
            </w:r>
          </w:p>
          <w:p>
            <w:pPr>
              <w:pStyle w:val="null3"/>
            </w:pPr>
            <w:r>
              <w:rPr>
                <w:rFonts w:ascii="仿宋_GB2312" w:hAnsi="仿宋_GB2312" w:cs="仿宋_GB2312" w:eastAsia="仿宋_GB2312"/>
                <w:sz w:val="21"/>
              </w:rPr>
              <w:t>3.项目内容：路线全长3.794公里，路线起点位于镇安西站综合交通枢纽工程项目终点，途径高铁拌合站、镇安县华兴特色农产品示范基地门前、栗园村委会，终于二号弃渣场路口，铺设宽度2.5m，厚度16cm无结合料粒料基层，包括路基、防护挡墙和涵洞工程等，详见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⼯期：</w:t>
            </w:r>
            <w:r>
              <w:rPr>
                <w:rFonts w:ascii="仿宋_GB2312" w:hAnsi="仿宋_GB2312" w:cs="仿宋_GB2312" w:eastAsia="仿宋_GB2312"/>
                <w:sz w:val="21"/>
                <w:color w:val="000000"/>
              </w:rPr>
              <w:t>90</w:t>
            </w:r>
            <w:r>
              <w:rPr>
                <w:rFonts w:ascii="仿宋_GB2312" w:hAnsi="仿宋_GB2312" w:cs="仿宋_GB2312" w:eastAsia="仿宋_GB2312"/>
                <w:sz w:val="21"/>
                <w:color w:val="000000"/>
              </w:rPr>
              <w:t>⽇历天</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质量要求：符合国家质量验收合格标准</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缺陷责任期：⾃竣⼯验收合格之⽇起</w:t>
            </w:r>
            <w:r>
              <w:rPr>
                <w:rFonts w:ascii="仿宋_GB2312" w:hAnsi="仿宋_GB2312" w:cs="仿宋_GB2312" w:eastAsia="仿宋_GB2312"/>
                <w:sz w:val="21"/>
                <w:color w:val="000000"/>
              </w:rPr>
              <w:t>12</w:t>
            </w:r>
            <w:r>
              <w:rPr>
                <w:rFonts w:ascii="仿宋_GB2312" w:hAnsi="仿宋_GB2312" w:cs="仿宋_GB2312" w:eastAsia="仿宋_GB2312"/>
                <w:sz w:val="21"/>
                <w:color w:val="000000"/>
              </w:rPr>
              <w:t>个⽉</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供应商针对本项目的其他技术服务要求，必须达到国家及行业现行技术规范标准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领取成交通知书时，向采购代理机构提供一正两副纸质投标文件及电子版1份（签字盖章扫描PDF格式，U盘），需与陕西省政府采购电子化系统中响应文件内容一致。地址：镇安县永乐街道办新城社区迎宾路近水楼酒店10楼； 二、供应商的磋商报价是供应商响应磋商项目要求的全部工作内容的价格体现，包括供应商完成本项目所需的直接费、间接费、利润、税金及其他相关的一切费用。包括但不限于：施工设备费、人工费、管理费、材料与设备费、安装费、维护费、保险费、税金、利润、政策性规费、风险、责任等与本项目有关的一切费用。在提供服务的过程中的任何遗漏，均由成交供应商免费提供，采购人将不再支付任何费用。 三、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四、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五、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 六、最终报价如出现异常低价，执行财库〔2026〕2号《关于推动解决政府采购异常低价问题的通知》，磋商小组可在最后报价审查表中审核是否通过审查。 七、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5）其他需要落实的政府采购政策，如有最新颁布的政府采购政策，按最新的文件执行。八、本项目采购人为镇安县人民政府永乐街道办事处，因陕西省政府采购网系统内名称为镇安县永乐镇财政所，故采购公告/采购文件中采购人为镇安县永乐镇财政所，实际采购人为镇安县人民政府永乐街道办事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承担⺠事责任能⼒的法⼈、其他组织或⾃然⼈，并出具合法有效的统⼀社会信⽤代码的营业执照或事业单位法⼈证书等国家规定的相关证明，⾃然⼈参与的提供其⾝份证明；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供应商须具备公路⼯程施⼯总承包三级及以上资质，且具备有效的安全⽣产许可证；供应商须在项⽬电⼦化交易系统中按要求提供证明资料并进⾏电⼦签章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项⽬负责⼈资质要求</w:t>
            </w:r>
          </w:p>
        </w:tc>
        <w:tc>
          <w:tcPr>
            <w:tcW w:type="dxa" w:w="3322"/>
          </w:tcPr>
          <w:p>
            <w:pPr>
              <w:pStyle w:val="null3"/>
            </w:pPr>
            <w:r>
              <w:rPr>
                <w:rFonts w:ascii="仿宋_GB2312" w:hAnsi="仿宋_GB2312" w:cs="仿宋_GB2312" w:eastAsia="仿宋_GB2312"/>
              </w:rPr>
              <w:t>拟派项目经理须具备公路工程专业二级及以上注册建造师证书，具备有效的安全生产考核合格证书，且不得担任其他在建施工项目的项目经理；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投标⼈资质及项⽬经理的基本信息应在“陕西建设⽹ （http://js.shaanxi.gov.cn/）陕西省建筑市场监管与诚信信息发布平台”可查询或在 “陕西省住房和城乡建设厅（http：//js.shaanxi.gov.cn/）”可查询（提供相关⽹站截图）；供应商须在项⽬电⼦化交易系统中按要求提供证明资料并进⾏电⼦签章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提供2025年度经审计的财务报告，包括 “四表⼀注”即资产负债表、利润表、现⾦流量表、所有者权益变动表及其附注(成立时间至投标文件截止时间不足一年的可提供成立后任意时段的资产负债表)，或提交响应⽂件截⽌时间前3个⽉内其基本账⼾开⼾银⾏出具的资信证明（附基本存款账⼾信息）。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提供投标截⽌⽇前近⼀年内已缴纳任意⼀个⽉的纳税证明或完税证明（任意税种），依法免税的单位应提供相关证明材料；供应商须在项⽬电⼦化交易系统中按要求提供证明资料并进⾏电⼦签章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前⼀年内任意⼀个⽉已缴纳的社会保障资⾦缴存单据或社保机构开具的社会保险参保缴费情况证明，依法不需要缴纳社会保障资⾦的应提供相关⽂件证明；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提供参加政府采购活动前3年内，在经营活动中没有重⼤违法记录的书⾯声明；供应商须在项⽬电⼦化交易系统中按要求提供证明资料并进⾏电⼦签章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提供具有履⾏本合同所必需的设备和专业技术能⼒的声明；供应商须在项⽬电⼦化交易系统中按要求提供证明资料并进⾏电⼦签章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单位负责⼈为同⼀⼈或者存在直接控股、管理关系的不同供应商，不得同时参加本项⽬同⼀合同项下的政府采购活动，提供承诺函；供应商须在项⽬电⼦化交易系统中按要求提供证明资料并进⾏电⼦签章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本项⽬不接受联合体投标，提供⾮联合体声明；供应商须在项⽬电⼦化交易系统中按要求提供证明资料并进⾏电⼦签章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法⼈⾝份证明或法⼈授权委托书</w:t>
            </w:r>
          </w:p>
        </w:tc>
        <w:tc>
          <w:tcPr>
            <w:tcW w:type="dxa" w:w="3322"/>
          </w:tcPr>
          <w:p>
            <w:pPr>
              <w:pStyle w:val="null3"/>
            </w:pPr>
            <w:r>
              <w:rPr>
                <w:rFonts w:ascii="仿宋_GB2312" w:hAnsi="仿宋_GB2312" w:cs="仿宋_GB2312" w:eastAsia="仿宋_GB2312"/>
              </w:rPr>
              <w:t>提供法定代表⼈⾝份证明或授权委托书，法⼈直接参加的，须出具法定代表⼈⾝份证明；被授权⼈参加的，须出具法定代表⼈授权委托书；供应商需在项⽬电⼦化交易系统中按要求提供证明资料并进⾏电⼦签章；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本项⽬专⻔⾯向中⼩企业采购，需提供中⼩企业声明；供应商须在项⽬电⼦化交易系统中按要求提供证明资料并进⾏电⼦签章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技术方案.docx 已标价工程量清单 中小企业声明函 资格证明文件.docx 其他.docx 强制优先采购产品承诺函 响应文件封面 项目管理机构组成表 残疾人福利性单位声明函 报价函 技术和商务偏离表.docx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技术方案.docx 已标价工程量清单 中小企业声明函 资格证明文件.docx 其他.docx 强制优先采购产品承诺函 响应文件封面 项目管理机构组成表 残疾人福利性单位声明函 报价函 技术和商务偏离表.docx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供应商针对本项⽬编制完善的施⼯⽅案，内容包含但不限于：具体施⼯内容、施⼯准备、施⼯次序、施⼯⽅法（⼯艺）、重难点分析等。 评审标准： ①内容科学全⾯，详细、具体的计7.1-10分； ②内容完整，但仅对部分内容进⾏详细描述的计4.1-7分； ③仅有框架或内容条理不清晰、混乱的计或内容缺⼀项、内容与项⽬⽆关的计1-4分。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⼯程质量技术组织措施</w:t>
            </w:r>
          </w:p>
        </w:tc>
        <w:tc>
          <w:tcPr>
            <w:tcW w:type="dxa" w:w="2492"/>
          </w:tcPr>
          <w:p>
            <w:pPr>
              <w:pStyle w:val="null3"/>
            </w:pPr>
            <w:r>
              <w:rPr>
                <w:rFonts w:ascii="仿宋_GB2312" w:hAnsi="仿宋_GB2312" w:cs="仿宋_GB2312" w:eastAsia="仿宋_GB2312"/>
              </w:rPr>
              <w:t>供应商针对本项⽬编制完善的⼯程质量技术组织措施，内容包含但不限于：质量⽬标管理体系、施⼯质量的检验制度、确保质量的技术组织措施、材料储存⽅案。 评审标准：①内容完整全⾯详细，且各项制度、措施等合理具体，内容能够紧扣项⽬实际情况，条理清晰的计7.1-10分； ②内容完整，但条理不清晰、措施不具体或⽆紧扣项⽬实际情况的计4.1-7分； ③内容粗略、逻辑混乱、出现常识性错误、存在不可能实现的夸⼤情形的计1-4分。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施⼯进度计划及工期保证措施</w:t>
            </w:r>
          </w:p>
        </w:tc>
        <w:tc>
          <w:tcPr>
            <w:tcW w:type="dxa" w:w="2492"/>
          </w:tcPr>
          <w:p>
            <w:pPr>
              <w:pStyle w:val="null3"/>
            </w:pPr>
            <w:r>
              <w:rPr>
                <w:rFonts w:ascii="仿宋_GB2312" w:hAnsi="仿宋_GB2312" w:cs="仿宋_GB2312" w:eastAsia="仿宋_GB2312"/>
              </w:rPr>
              <w:t>供应商针对本项⽬编制完善的施⼯进度⽹络图或施⼯进度表，内容包含但不限于：施⼯总进度、施⼯进度⽬标和施⼯总进度计划表/图、施⼯进度保障措施等。 评审标准： ①内容完整全⾯详细、合理具体，内容能够紧扣项⽬实际情况，条理清晰的计7.1-10分；②内容完整，但条理不清晰、措施不具体或⽆紧扣项⽬实际情况的计4.1-7分； ③仅有框架，⽆实质性实施内容的或内容宽泛、内容粗略、逻辑混乱、出现常识性错误、存在不可能实现的夸⼤情形的计1-4分。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⽂明施⼯及环境保护措施</w:t>
            </w:r>
          </w:p>
        </w:tc>
        <w:tc>
          <w:tcPr>
            <w:tcW w:type="dxa" w:w="2492"/>
          </w:tcPr>
          <w:p>
            <w:pPr>
              <w:pStyle w:val="null3"/>
            </w:pPr>
            <w:r>
              <w:rPr>
                <w:rFonts w:ascii="仿宋_GB2312" w:hAnsi="仿宋_GB2312" w:cs="仿宋_GB2312" w:eastAsia="仿宋_GB2312"/>
              </w:rPr>
              <w:t>供应商针对本项⽬编制完善的⽂明施⼯及环境保护措施，内容包含但不限于：安全⽂明施⼯⽬标及施⼯现场的管理措施、⽂明施⼯保障措施、环境保护管理体系、环保控制措施。 评审标准： ①内容完整全⾯详细、合理具体，内容能够紧扣项⽬实际情况，条理清晰的计7.1-10分； ②内容完整，但条理不清晰、措施不具体或⽆紧扣项⽬实际情况的计4.1-7分； ③内容粗略、逻辑混乱、出现常识性错误、存在不可能实现的夸⼤情形的计1-4分。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安全施⼯技术组织措施</w:t>
            </w:r>
          </w:p>
        </w:tc>
        <w:tc>
          <w:tcPr>
            <w:tcW w:type="dxa" w:w="2492"/>
          </w:tcPr>
          <w:p>
            <w:pPr>
              <w:pStyle w:val="null3"/>
            </w:pPr>
            <w:r>
              <w:rPr>
                <w:rFonts w:ascii="仿宋_GB2312" w:hAnsi="仿宋_GB2312" w:cs="仿宋_GB2312" w:eastAsia="仿宋_GB2312"/>
              </w:rPr>
              <w:t>供应商针对本项⽬编制完善的安全施⼯技术组织措施，内容包含但不限于：安全管理体系、安全管理制度、安全施⼯保障措施、安全责任归属划分、安全标识、安全教育培训等。 评审标准： ①内容完整全⾯详细、合理具体，内容能够紧扣项⽬实际情况，条理清晰的计6分； ②内容完整，但条理不清晰、措施不具体或⽆紧扣项⽬实际情况的计4分；③内容缺1项的计2分； ④内容缺2项及以上缺项或内容粗略、逻辑混乱、出现常识性错误、存在不可能实现的夸⼤情形的计1分。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项⽬管理机构及劳动⼒安排计划</w:t>
            </w:r>
          </w:p>
        </w:tc>
        <w:tc>
          <w:tcPr>
            <w:tcW w:type="dxa" w:w="2492"/>
          </w:tcPr>
          <w:p>
            <w:pPr>
              <w:pStyle w:val="null3"/>
            </w:pPr>
            <w:r>
              <w:rPr>
                <w:rFonts w:ascii="仿宋_GB2312" w:hAnsi="仿宋_GB2312" w:cs="仿宋_GB2312" w:eastAsia="仿宋_GB2312"/>
              </w:rPr>
              <w:t>供应商针对本项⽬编制科学的项⽬管理机构及劳动⼒安排计划，内容包含但不限于:项⽬管理组织机构设置、组织机构的岗位职责、主要管理⼈员配备（附⼈员⾝份证及相应岗位证书）、劳动⼒安排计划等； 评审标准 ①内容完整全⾯详细、⼈员数量满⾜⼯作需要，专业配备合理且证书⻬全的计7.1-10分； ②内容完整、⼈员数量基本满⾜⼯作需要、专业配备基本合理、证书基本⻬全的计4.1-7分； ③内容粗略缺项、⼈员数量不满⾜⼯作需要、专业配备不合理、证书不⻬全的计1-4分。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供应商针对本项⽬编制完善的服务承诺，内容包含但不限于：针对本项⽬实际需求提供实质性服务承诺及保障措施、针对本项⽬的施⼯验收后期的质保承诺、保修⽅案等。 评审标准： ①内容完整全⾯详细、合理具体，内容能够紧扣项⽬实际情况，条理清晰的计6分； ②内容完整，但条理不清晰、措施不具体或⽆紧扣项⽬实际情况的计4分； ③内容缺1项的计2分； ④内容缺2项及以上缺项或内容粗略、逻辑混乱、出现常识性错误、存在不可能实现的夸⼤情形的计1分。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具有2023年1⽉1⽇⾄今的类似业绩(以合同签订⽇期为准)，业绩以合同复印件为依据。每个业绩计2分，4个以上(含4个)计8分。证明材料不全不予赋分。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式管理暂⾏办法》（财库[2014]214号）的有关规定：价格分采⽤低价优先法计算，即满⾜竞争性磋商⽂件要求且最后报价最低的供应商的价格为磋商基准价，其价格分为满分。其他供应商的价格分统⼀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