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A7DD31">
      <w:pPr>
        <w:pStyle w:val="6"/>
        <w:jc w:val="center"/>
        <w:outlineLvl w:val="1"/>
        <w:rPr>
          <w:rFonts w:ascii="仿宋_GB2312" w:hAnsi="仿宋_GB2312" w:eastAsia="仿宋_GB2312" w:cs="仿宋_GB2312"/>
          <w:b/>
          <w:color w:val="auto"/>
          <w:sz w:val="36"/>
          <w:highlight w:val="none"/>
        </w:rPr>
      </w:pPr>
      <w:r>
        <w:rPr>
          <w:rFonts w:ascii="仿宋_GB2312" w:hAnsi="仿宋_GB2312" w:eastAsia="仿宋_GB2312" w:cs="仿宋_GB2312"/>
          <w:b/>
          <w:color w:val="auto"/>
          <w:sz w:val="36"/>
          <w:highlight w:val="none"/>
        </w:rPr>
        <w:t>拟签订采购合同文本</w:t>
      </w:r>
    </w:p>
    <w:p w14:paraId="619B8F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color w:val="auto"/>
          <w:sz w:val="40"/>
          <w:szCs w:val="40"/>
          <w:highlight w:val="none"/>
        </w:rPr>
      </w:pPr>
    </w:p>
    <w:p w14:paraId="0A457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color w:val="auto"/>
          <w:sz w:val="40"/>
          <w:szCs w:val="40"/>
        </w:rPr>
      </w:pPr>
    </w:p>
    <w:p w14:paraId="38AAA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lang w:eastAsia="zh-CN"/>
        </w:rPr>
        <w:t>修订陕西省人民防空工程建设地方标准</w:t>
      </w:r>
    </w:p>
    <w:p w14:paraId="51E0D1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color w:val="auto"/>
          <w:sz w:val="40"/>
          <w:szCs w:val="40"/>
        </w:rPr>
      </w:pPr>
    </w:p>
    <w:p w14:paraId="2122A4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color w:val="auto"/>
          <w:sz w:val="40"/>
          <w:szCs w:val="40"/>
        </w:rPr>
      </w:pPr>
    </w:p>
    <w:p w14:paraId="6E64F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44"/>
        </w:rPr>
        <w:t>技术服务合同</w:t>
      </w:r>
    </w:p>
    <w:p w14:paraId="48D86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33424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748688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ind w:left="0" w:leftChars="0" w:firstLine="2100" w:firstLineChars="750"/>
        <w:textAlignment w:val="auto"/>
        <w:rPr>
          <w:rFonts w:hint="default" w:ascii="仿宋" w:hAnsi="仿宋" w:eastAsia="仿宋" w:cs="仿宋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甲方：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ab/>
      </w:r>
    </w:p>
    <w:p w14:paraId="7DB84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ind w:left="0" w:leftChars="0" w:firstLine="2100" w:firstLineChars="750"/>
        <w:textAlignment w:val="auto"/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乙方：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ab/>
      </w:r>
    </w:p>
    <w:p w14:paraId="2B7B4DC3">
      <w:pPr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br w:type="page"/>
      </w:r>
    </w:p>
    <w:p w14:paraId="0625A2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甲方（采购人）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：</w:t>
      </w:r>
    </w:p>
    <w:p w14:paraId="4C651D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地址：</w:t>
      </w:r>
    </w:p>
    <w:p w14:paraId="33DAF6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联系人及联系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方式：</w:t>
      </w:r>
    </w:p>
    <w:p w14:paraId="01D3A3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乙方（成交供应商）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：</w:t>
      </w:r>
    </w:p>
    <w:p w14:paraId="47FFA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地址：</w:t>
      </w:r>
    </w:p>
    <w:p w14:paraId="5CA89F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项目负责人及联系方式：</w:t>
      </w:r>
    </w:p>
    <w:p w14:paraId="232149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根据《中华人民共和国政府采购法》及实施条例、《中华人民共和国民法典》及其他有关法律、法规，遵循平等、自愿、公平和诚信的原则，双方就下述项目与相关服务事项协商一致，订立本合同。</w:t>
      </w:r>
    </w:p>
    <w:p w14:paraId="21FE9D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第一条 项目概况</w:t>
      </w:r>
    </w:p>
    <w:p w14:paraId="0FFAF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1.1 项目名称：修订陕西省人民防空工程建设地方标准；</w:t>
      </w:r>
    </w:p>
    <w:p w14:paraId="03C669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1.2 服务范围：《人民防空防护设备安装技术规程第一部分：人防门》（DB 61/T 1230-2019）、《早期人民防空工程分类鉴定规程》（DB 61/T 1019-2016）两项技术规程的修编。主要工作包括技术规程的技术服务、起草、公开征求意见、组织研讨、组织评审，并配合相关部门对技术规程的审批、核准、备案及发布。</w:t>
      </w:r>
    </w:p>
    <w:p w14:paraId="77749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1.3 服务期限：自合同签订之日起160日历天（不包含审批、发布时间）；</w:t>
      </w:r>
    </w:p>
    <w:p w14:paraId="5AE4F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1.4 服务地点：甲方指定地点；</w:t>
      </w:r>
    </w:p>
    <w:p w14:paraId="3F2A7F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第二条 工作内容</w:t>
      </w:r>
    </w:p>
    <w:p w14:paraId="592442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2.1 开展陕西省人防防护设备行业现状调研，形成调研纪要；</w:t>
      </w:r>
    </w:p>
    <w:p w14:paraId="504D87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2.2 修订《人民防空防护设备安装技术规程第一部分：人防门》（DB 61/T 1230-2019）、《早期人民防空工程分类鉴定规程》（DB 61/T 1019-2016）（含初稿、征求意见稿、送审稿、报批稿、正式发布稿）；</w:t>
      </w:r>
    </w:p>
    <w:p w14:paraId="03C046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2.3 组织征求意见、汇总修改，组织专家研讨、评审会并根据意见修改完善；</w:t>
      </w:r>
    </w:p>
    <w:p w14:paraId="5BBE02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2.4 配合甲方完成报批、审核、发布相关工作；</w:t>
      </w:r>
    </w:p>
    <w:p w14:paraId="784AE4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2.5 提供全省宣贯培训，提供培训课件、讲义；</w:t>
      </w:r>
    </w:p>
    <w:p w14:paraId="6EF35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2.6 验收合格后提供12个月免费技术咨询服务。</w:t>
      </w:r>
    </w:p>
    <w:p w14:paraId="1F7EB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第三条 成果要求</w:t>
      </w:r>
    </w:p>
    <w:p w14:paraId="6234C0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3.1 成果必须符合国家现行法律、法规、规范及甲方要求，内容准确、格式规范、可操作性强，通过专家评审并完成报批。</w:t>
      </w:r>
    </w:p>
    <w:p w14:paraId="6C36B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3.2 乙方须向甲方交付：</w:t>
      </w:r>
    </w:p>
    <w:p w14:paraId="4FC70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（1）纸质文件：《人民防空防护设备安装技术规程第一部分：人防门》及《早期人民防空工程分类鉴定规程》正式文本（精装，10 份）、调研纪要（2 份）、征求意见汇总表（2 份）、专家评审意见及修改说明（2 份）、报批文件（2 份）；</w:t>
      </w:r>
    </w:p>
    <w:p w14:paraId="246940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（2）电子文件：全部成果电子版（含可编辑文档、PDF 版、图表源文件），存储于 U 盘（2 套），确保内容完整、无病毒、可正常读取；</w:t>
      </w:r>
    </w:p>
    <w:p w14:paraId="474E2B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（3）宣贯资料：宣贯培训 PPT 课件、培训讲义（电子版+纸质版，按需提供）。</w:t>
      </w:r>
    </w:p>
    <w:p w14:paraId="3679D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第四条 合同价款与支付方式</w:t>
      </w:r>
    </w:p>
    <w:p w14:paraId="2A12B9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4.1 合同总价款（含税总价）：人民币（大写）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元（¥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none"/>
          <w:lang w:val="en-US" w:eastAsia="zh-CN"/>
        </w:rPr>
        <w:t>）</w:t>
      </w:r>
    </w:p>
    <w:p w14:paraId="3D0AA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4.2 该价款包含调研、编制、评审、会务、专家、印刷、培训、差旅、税费等全部费用，甲方不再支付任何其他费用。</w:t>
      </w:r>
    </w:p>
    <w:p w14:paraId="7A1105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4.3 支付方式：银行转账。</w:t>
      </w:r>
    </w:p>
    <w:p w14:paraId="038AF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（1）合同签订后支付合同总金额的 60.00%。</w:t>
      </w:r>
    </w:p>
    <w:p w14:paraId="55B822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（2）完成全部服务并经甲方验收合格支付合同总金额的 40.00%。</w:t>
      </w:r>
    </w:p>
    <w:p w14:paraId="46D05F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（3）付款前乙方及时向甲方开具等额增值税发票。</w:t>
      </w:r>
    </w:p>
    <w:p w14:paraId="036A82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第五条 甲方权利与义务</w:t>
      </w:r>
    </w:p>
    <w:p w14:paraId="7552F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5.1 对乙方编制工作进行指导、监督、审核，提出合理修改意见；</w:t>
      </w:r>
    </w:p>
    <w:p w14:paraId="630189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5.2 协调相关单位提供调研、征求意见等必要支持；</w:t>
      </w:r>
    </w:p>
    <w:p w14:paraId="552B4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5.3 按合同约定及时支付合同款项；</w:t>
      </w:r>
    </w:p>
    <w:p w14:paraId="058843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5.4 对乙方提交的成果及时组织验收。</w:t>
      </w:r>
    </w:p>
    <w:p w14:paraId="69170C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第六条 乙方权利与义务</w:t>
      </w:r>
    </w:p>
    <w:p w14:paraId="6758E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6.1 严格按照国家及陕西省相关标准、本合同及甲方确认的大纲开展工作；</w:t>
      </w:r>
    </w:p>
    <w:p w14:paraId="106F5C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6.2 保证项目负责人及核心团队人员稳定，未经甲方书面同意不得更换；</w:t>
      </w:r>
    </w:p>
    <w:p w14:paraId="415CF4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6.3 保证成果原创、真实、准确、合法，不侵犯任何第三方知识产权；</w:t>
      </w:r>
    </w:p>
    <w:p w14:paraId="3D9619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6.4 自行承担编制过程中的安全、质量、保密责任及一切费用；</w:t>
      </w:r>
    </w:p>
    <w:p w14:paraId="721A31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6.5 按约定时间、标准交付成果，并配合评审、报批、培训等工作；</w:t>
      </w:r>
    </w:p>
    <w:p w14:paraId="160E92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6.6 对项目所有资料、成果严格保密，不得擅自复制、传播、用于其他项目。</w:t>
      </w:r>
    </w:p>
    <w:p w14:paraId="21FC3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第七条 验收标准与方式</w:t>
      </w:r>
    </w:p>
    <w:p w14:paraId="188E7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1、验收依据：①合同文本；②磋商文件及澄清函、磋商响应文件；③国家和行业制定的相应的标准和规范。</w:t>
      </w:r>
    </w:p>
    <w:p w14:paraId="6F905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2、验收合格条件：</w:t>
      </w:r>
    </w:p>
    <w:p w14:paraId="44942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（1）成果内容完整、符合规范、满足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使用要求；</w:t>
      </w:r>
    </w:p>
    <w:p w14:paraId="14A06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（2）通过专家评审；</w:t>
      </w:r>
    </w:p>
    <w:p w14:paraId="21F269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（3）完成报批流程；</w:t>
      </w:r>
    </w:p>
    <w:p w14:paraId="326513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（4）全部成果提交齐全并经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确认。</w:t>
      </w:r>
    </w:p>
    <w:p w14:paraId="0EF004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3、验收不合格的，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须在 30 日内免费修改至合格。</w:t>
      </w:r>
    </w:p>
    <w:p w14:paraId="18338C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第八条 知识产权与保密</w:t>
      </w:r>
    </w:p>
    <w:p w14:paraId="40720A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8.1 本项目成果著作权、使用权、发布权、修改权均归甲方所有。</w:t>
      </w:r>
    </w:p>
    <w:p w14:paraId="06F8B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8.2 乙方不得以任何形式擅自使用、转让、泄露、出版、传播或用于其他项目。</w:t>
      </w:r>
    </w:p>
    <w:p w14:paraId="6EEAE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8.3 乙方应对合同内容、项目资料、内部信息永久保密，保密义务不因合同终止而失效。</w:t>
      </w:r>
    </w:p>
    <w:p w14:paraId="57DC7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第九条 违约责任</w:t>
      </w:r>
    </w:p>
    <w:p w14:paraId="4885A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9.1 乙方逾期交付成果的，每逾期一日按合同总额   向甲方支付违约金；逾期超过    日，甲方有权解除合同并追索损失。</w:t>
      </w:r>
    </w:p>
    <w:p w14:paraId="5EB49B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9.2 成果验收不合格且拒不整改或整改后仍不合格的，甲方有权拒付或扣减费用，直至解除合同。</w:t>
      </w:r>
    </w:p>
    <w:p w14:paraId="0CD5E8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9.3 乙方擅自转包、分包、更换项目负责人的，甲方有权解除合同并要求支付合同额    的违约金。</w:t>
      </w:r>
    </w:p>
    <w:p w14:paraId="28E26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9.4 乙方泄露成果或保密信息的，应承担全部法律责任及甲方损失。</w:t>
      </w:r>
    </w:p>
    <w:p w14:paraId="346CD9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第十条 不可抗力</w:t>
      </w:r>
    </w:p>
    <w:p w14:paraId="1E4510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因地震、战争、政策重大调整等不可抗力导致无法履行合同的，双方互不承担违约责任，应协商延期或终止合同。</w:t>
      </w:r>
    </w:p>
    <w:p w14:paraId="452BB9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第十一条 合同变更、解除与终止</w:t>
      </w:r>
    </w:p>
    <w:p w14:paraId="7D6012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11.1 任何修改、补充须经双方书面确认，作为本合同组成部分。</w:t>
      </w:r>
    </w:p>
    <w:p w14:paraId="71A45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11.2 一方严重违约且拒不纠正的，另一方有权书面通知解除合同。</w:t>
      </w:r>
    </w:p>
    <w:p w14:paraId="1C448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11.3 成果交付、验收合格、款项付清后，合同除保密、知识产权条款外终止。</w:t>
      </w:r>
    </w:p>
    <w:p w14:paraId="0A182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第十二条 争议解决</w:t>
      </w:r>
    </w:p>
    <w:p w14:paraId="3CA6E4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本合同履行中发生争议，双方协商解决；协商不成的，依法向甲方所在地人民法院提起诉讼。</w:t>
      </w:r>
    </w:p>
    <w:p w14:paraId="2E421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第十三条 其他</w:t>
      </w:r>
    </w:p>
    <w:p w14:paraId="467BC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13.1 磋商文件、乙方响应文件、成交通知书均为本合同有效组成部分；</w:t>
      </w:r>
    </w:p>
    <w:p w14:paraId="7491FF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13.2 本合同一式   份，甲方执   份，乙方执   份，具有同等法律效力；</w:t>
      </w:r>
    </w:p>
    <w:p w14:paraId="0A1C6A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13.3 本合同自双方签字盖章之日起生效。</w:t>
      </w:r>
    </w:p>
    <w:p w14:paraId="650BB0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5A36F811">
      <w:pPr>
        <w:pageBreakBefore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>（以下无正文）</w:t>
      </w:r>
    </w:p>
    <w:p w14:paraId="0A1C3388">
      <w:pPr>
        <w:pageBreakBefore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"/>
        </w:rPr>
        <w:t>甲  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（盖章）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"/>
        </w:rPr>
        <w:t xml:space="preserve"> 乙  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（盖章）          </w:t>
      </w:r>
    </w:p>
    <w:p w14:paraId="7706F4D6">
      <w:pPr>
        <w:pageBreakBefore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>地  址：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 xml:space="preserve">       地  址：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    </w:t>
      </w:r>
    </w:p>
    <w:p w14:paraId="350964DC">
      <w:pPr>
        <w:pageBreakBefore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>邮政编码：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 xml:space="preserve">        邮政编码：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  </w:t>
      </w:r>
    </w:p>
    <w:p w14:paraId="2BC96B0B">
      <w:pPr>
        <w:pageBreakBefore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>法定代表人或其授权                 法定代表人或其授权</w:t>
      </w:r>
    </w:p>
    <w:p w14:paraId="50A3ACC8">
      <w:pPr>
        <w:pageBreakBefore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>的代理人：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（签字）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 xml:space="preserve">  的代理人：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（签字）           </w:t>
      </w:r>
    </w:p>
    <w:p w14:paraId="3E18858F">
      <w:pPr>
        <w:pageBreakBefore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>开户银行：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 xml:space="preserve">        开户银行：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  </w:t>
      </w:r>
    </w:p>
    <w:p w14:paraId="7958A8F3">
      <w:pPr>
        <w:pageBreakBefore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>账号：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 xml:space="preserve">       账号：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      </w:t>
      </w:r>
    </w:p>
    <w:p w14:paraId="4C8977EB">
      <w:pPr>
        <w:pageBreakBefore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>电话：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 xml:space="preserve">       电话：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      </w:t>
      </w:r>
    </w:p>
    <w:p w14:paraId="66E27BD0">
      <w:pPr>
        <w:pageBreakBefore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>传真：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 xml:space="preserve">       传真：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      </w:t>
      </w:r>
    </w:p>
    <w:p w14:paraId="69D9E402">
      <w:pPr>
        <w:pageBreakBefore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bidi="ar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>电子邮箱：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 xml:space="preserve">      电子邮箱：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  </w:t>
      </w:r>
    </w:p>
    <w:p w14:paraId="093BD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签订日期：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"/>
        </w:rPr>
        <w:t>签订日期：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 xml:space="preserve"> </w:t>
      </w:r>
    </w:p>
    <w:p w14:paraId="41BD2CB3">
      <w:pPr>
        <w:pStyle w:val="6"/>
        <w:jc w:val="both"/>
        <w:outlineLvl w:val="9"/>
        <w:rPr>
          <w:rFonts w:hint="eastAsia" w:ascii="仿宋_GB2312" w:hAnsi="仿宋_GB2312" w:eastAsia="仿宋_GB2312" w:cs="仿宋_GB2312"/>
          <w:b/>
          <w:color w:val="auto"/>
          <w:sz w:val="36"/>
          <w:lang w:val="en-US" w:eastAsia="zh-Hans"/>
        </w:rPr>
      </w:pPr>
    </w:p>
    <w:p w14:paraId="6D68F3EC">
      <w:pPr>
        <w:rPr>
          <w:color w:val="auto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20E54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06CDCC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06CDCC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710AC2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F47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2026-05-19T05:40:51Z</dcterms:created>
  <dc:creator>Lenovo</dc:creator>
  <cp:lastModifiedBy>CG</cp:lastModifiedBy>
  <dcterms:modified xsi:type="dcterms:W3CDTF">2026-05-19T05:41:51Z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eyJoZGlkIjoiMjdkYmRiMTFmNTM1YTk4MmY0MWU2M2I2YmY4Y2I0MDUiLCJ1c2VySWQiOiI0MzY2NjA3NTUifQ==</vt:lpwstr>
  </property>
  <property fmtid="{D5CDD505-2E9C-101B-9397-08002B2CF9AE}" pid="4" name="ICV">
    <vt:lpwstr>AE7B4C21CF5548369C5F2F928DE7167F_12</vt:lpwstr>
  </property>
</Properties>
</file>