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版本号：DRZB2026-ZC-15020260709001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实验及监测仪器检定服务项目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DRZB2026-ZC-150</w:t>
      </w:r>
      <w:r>
        <w:br/>
      </w:r>
      <w:r>
        <w:br/>
      </w:r>
      <w:r>
        <w:br/>
      </w:r>
    </w:p>
    <w:p>
      <w:pPr>
        <w:pStyle w:val="null3"/>
        <w:jc w:val="center"/>
        <w:outlineLvl w:val="2"/>
      </w:pPr>
      <w:r>
        <w:rPr>
          <w:rFonts w:ascii="仿宋_GB2312" w:hAnsi="仿宋_GB2312" w:cs="仿宋_GB2312" w:eastAsia="仿宋_GB2312"/>
          <w:sz w:val="28"/>
          <w:b/>
        </w:rPr>
        <w:t>陕西省核与辐射安全监督站</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陕西省核与辐射安全监督站</w:t>
      </w:r>
      <w:r>
        <w:rPr>
          <w:rFonts w:ascii="仿宋_GB2312" w:hAnsi="仿宋_GB2312" w:cs="仿宋_GB2312" w:eastAsia="仿宋_GB2312"/>
        </w:rPr>
        <w:t>委托，拟对</w:t>
      </w:r>
      <w:r>
        <w:rPr>
          <w:rFonts w:ascii="仿宋_GB2312" w:hAnsi="仿宋_GB2312" w:cs="仿宋_GB2312" w:eastAsia="仿宋_GB2312"/>
        </w:rPr>
        <w:t>实验及监测仪器检定服务项目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实验及监测仪器检定服务项目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实验及监测仪器检定服务项目，具体内容详见磋商文件及采购需求。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4、社会保障资金缴纳证明：提供递交响应文件截止之日前六个月内任意一个月的社会保障资金缴存单据或社保机构开具的社会保险参保缴费情况证明。依法不需要缴纳社会保障资金 的供应商应提供相关证明文件；</w:t>
      </w:r>
    </w:p>
    <w:p>
      <w:pPr>
        <w:pStyle w:val="null3"/>
      </w:pPr>
      <w:r>
        <w:rPr>
          <w:rFonts w:ascii="仿宋_GB2312" w:hAnsi="仿宋_GB2312" w:cs="仿宋_GB2312" w:eastAsia="仿宋_GB2312"/>
        </w:rPr>
        <w:t>5、书面声明：提供具有履行本合同所必需的专业技术能力的书面声明；</w:t>
      </w:r>
    </w:p>
    <w:p>
      <w:pPr>
        <w:pStyle w:val="null3"/>
      </w:pPr>
      <w:r>
        <w:rPr>
          <w:rFonts w:ascii="仿宋_GB2312" w:hAnsi="仿宋_GB2312" w:cs="仿宋_GB2312" w:eastAsia="仿宋_GB2312"/>
        </w:rPr>
        <w:t>6、无重大违法记录声明：参加本次政府采购活动前 3 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10、非联合体声明：本项目不接受联合体磋商。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陕西省核与辐射安全监督站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西安市西影路106号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029-85429327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贺培文、张海燕、赵璐、苏庆春、曹静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采购包1：660,500.00元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采购包1保证金金额：13,150.00元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开户名称：陕西德仁招标有限公司</w:t>
            </w:r>
          </w:p>
          <w:p>
            <w:pPr>
              <w:pStyle w:val="null3"/>
            </w:pPr>
            <w:r>
              <w:rPr>
                <w:rFonts w:ascii="仿宋_GB2312" w:hAnsi="仿宋_GB2312" w:cs="仿宋_GB2312" w:eastAsia="仿宋_GB2312"/>
              </w:rPr>
              <w:t>开户银行：中国建设银行股份有限公司西安吉祥路支行</w:t>
            </w:r>
          </w:p>
          <w:p>
            <w:pPr>
              <w:pStyle w:val="null3"/>
            </w:pPr>
            <w:r>
              <w:rPr>
                <w:rFonts w:ascii="仿宋_GB2312" w:hAnsi="仿宋_GB2312" w:cs="仿宋_GB2312" w:eastAsia="仿宋_GB2312"/>
              </w:rPr>
              <w:t>银行账号：6105 0172 6500 0000 0081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以中标金额为计费基数，由成交供应商在领取成交通知书前一次性支付。按照“服务类”项目的取费标准，具体费率：100万元以下，按照1.5%计取。 银行户名：陕西德仁招标有限公司 开户银行：招商银行股份有限公司西安城南支行 账 号：1299 0904 6810 901 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陕西省核与辐射安全监督站</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陕西省核与辐射安全监督站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陕西省核与辐射安全监督站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以采购文件、响应文件及签订合同要求为准。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（一）项目完工后，乙方向甲方提交验收申请。 （二）甲方收到验收申请后组织验收，验收时乙方应无条件予以配合并提供验收所需的全部资料，若乙方不配合或者未按合同要求提供服务的，甲方将拒绝验收。 （三）验收依据 1、磋商文件、响应文件、澄清表（函）； 2、本合同及附件文件；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联系人：贺培文、张海燕、赵璐</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实验及监测仪器检定服务项目，具体内容详见磋商文件及采购需求。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660,500.00</w:t>
      </w:r>
    </w:p>
    <w:p>
      <w:pPr>
        <w:pStyle w:val="null3"/>
      </w:pPr>
      <w:r>
        <w:rPr>
          <w:rFonts w:ascii="仿宋_GB2312" w:hAnsi="仿宋_GB2312" w:cs="仿宋_GB2312" w:eastAsia="仿宋_GB2312"/>
        </w:rPr>
        <w:t>采购包最高限价（元）: 660,500.00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实验及监测仪器检定服务项目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标的名称：实验及监测仪器检定服务项目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1. 总体服务要求</w:t>
            </w:r>
          </w:p>
          <w:p>
            <w:pPr>
              <w:pStyle w:val="null3"/>
              <w:jc w:val="both"/>
            </w:pPr>
            <w:r>
              <w:rPr>
                <w:rFonts w:ascii="仿宋_GB2312" w:hAnsi="仿宋_GB2312" w:cs="仿宋_GB2312" w:eastAsia="仿宋_GB2312"/>
                <w:sz w:val="21"/>
              </w:rPr>
              <w:t>1.1 服务内</w:t>
            </w:r>
            <w:r>
              <w:rPr>
                <w:rFonts w:ascii="仿宋_GB2312" w:hAnsi="仿宋_GB2312" w:cs="仿宋_GB2312" w:eastAsia="仿宋_GB2312"/>
                <w:sz w:val="21"/>
              </w:rPr>
              <w:t>容：实验及监测仪器检定委托服务，</w:t>
            </w:r>
            <w:r>
              <w:rPr>
                <w:rFonts w:ascii="仿宋_GB2312" w:hAnsi="仿宋_GB2312" w:cs="仿宋_GB2312" w:eastAsia="仿宋_GB2312"/>
                <w:sz w:val="21"/>
              </w:rPr>
              <w:t>供应商不自行开展检定/校准实操，仅提供上门取送、委托送检、进度跟踪、证书领取、档案管理、售后答疑等全流程统筹服务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 服务期限：自合同生效之日起至2026年12月15日；</w:t>
            </w:r>
          </w:p>
          <w:p>
            <w:pPr>
              <w:pStyle w:val="null3"/>
              <w:jc w:val="both"/>
            </w:pPr>
            <w:r>
              <w:rPr>
                <w:rFonts w:ascii="仿宋_GB2312" w:hAnsi="仿宋_GB2312" w:cs="仿宋_GB2312" w:eastAsia="仿宋_GB2312"/>
                <w:sz w:val="21"/>
              </w:rPr>
              <w:t>1.3 服务地点：采购人指定工作场所，</w:t>
            </w:r>
            <w:r>
              <w:rPr>
                <w:rFonts w:ascii="仿宋_GB2312" w:hAnsi="仿宋_GB2312" w:cs="仿宋_GB2312" w:eastAsia="仿宋_GB2312"/>
                <w:sz w:val="21"/>
              </w:rPr>
              <w:t>供应商提供上门取送及全流程委托服务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 服务目标：满足</w:t>
            </w:r>
            <w:r>
              <w:rPr>
                <w:rFonts w:ascii="仿宋_GB2312" w:hAnsi="仿宋_GB2312" w:cs="仿宋_GB2312" w:eastAsia="仿宋_GB2312"/>
                <w:sz w:val="21"/>
              </w:rPr>
              <w:t>采购人仪器检定要求，符合国家及行业检定规范标准，保障仪器设备量值溯源准确、合规有效。</w:t>
            </w:r>
          </w:p>
          <w:p>
            <w:pPr>
              <w:pStyle w:val="null3"/>
              <w:jc w:val="both"/>
            </w:pPr>
            <w:r>
              <w:rPr>
                <w:rFonts w:ascii="仿宋_GB2312" w:hAnsi="仿宋_GB2312" w:cs="仿宋_GB2312" w:eastAsia="仿宋_GB2312"/>
                <w:sz w:val="21"/>
                <w:b/>
              </w:rPr>
              <w:t>2. 执行标准及技术规范</w:t>
            </w:r>
          </w:p>
          <w:p>
            <w:pPr>
              <w:pStyle w:val="null3"/>
              <w:jc w:val="both"/>
            </w:pPr>
            <w:r>
              <w:rPr>
                <w:rFonts w:ascii="仿宋_GB2312" w:hAnsi="仿宋_GB2312" w:cs="仿宋_GB2312" w:eastAsia="仿宋_GB2312"/>
                <w:sz w:val="21"/>
              </w:rPr>
              <w:t>所有检定/校准服务严格遵循国家、行业现行有效标准规范，完全匹配采购人仪器检定合规要求，包括但不限于：</w:t>
            </w:r>
          </w:p>
          <w:p>
            <w:pPr>
              <w:pStyle w:val="null3"/>
              <w:jc w:val="both"/>
            </w:pPr>
            <w:r>
              <w:rPr>
                <w:rFonts w:ascii="仿宋_GB2312" w:hAnsi="仿宋_GB2312" w:cs="仿宋_GB2312" w:eastAsia="仿宋_GB2312"/>
                <w:sz w:val="21"/>
              </w:rPr>
              <w:t>《辐射防护用X、γ辐射剂量当量（率）仪和监测仪》（JJG 393-2018）</w:t>
            </w:r>
          </w:p>
          <w:p>
            <w:pPr>
              <w:pStyle w:val="null3"/>
              <w:jc w:val="both"/>
            </w:pPr>
            <w:r>
              <w:rPr>
                <w:rFonts w:ascii="仿宋_GB2312" w:hAnsi="仿宋_GB2312" w:cs="仿宋_GB2312" w:eastAsia="仿宋_GB2312"/>
                <w:sz w:val="21"/>
              </w:rPr>
              <w:t>《便携式γ辐射空气比释动能率仪》（JJG 1056-2020）</w:t>
            </w:r>
          </w:p>
          <w:p>
            <w:pPr>
              <w:pStyle w:val="null3"/>
              <w:jc w:val="both"/>
            </w:pPr>
            <w:r>
              <w:rPr>
                <w:rFonts w:ascii="仿宋_GB2312" w:hAnsi="仿宋_GB2312" w:cs="仿宋_GB2312" w:eastAsia="仿宋_GB2312"/>
                <w:sz w:val="21"/>
              </w:rPr>
              <w:t>《辐射环境监测技术规范》（HJ 61-2021）</w:t>
            </w:r>
          </w:p>
          <w:p>
            <w:pPr>
              <w:pStyle w:val="null3"/>
              <w:jc w:val="both"/>
            </w:pPr>
            <w:r>
              <w:rPr>
                <w:rFonts w:ascii="仿宋_GB2312" w:hAnsi="仿宋_GB2312" w:cs="仿宋_GB2312" w:eastAsia="仿宋_GB2312"/>
                <w:sz w:val="21"/>
              </w:rPr>
              <w:t>《计量器具检定规程通用规则》（JJF 1002-2018）</w:t>
            </w:r>
          </w:p>
          <w:p>
            <w:pPr>
              <w:pStyle w:val="null3"/>
              <w:jc w:val="both"/>
            </w:pPr>
            <w:r>
              <w:rPr>
                <w:rFonts w:ascii="仿宋_GB2312" w:hAnsi="仿宋_GB2312" w:cs="仿宋_GB2312" w:eastAsia="仿宋_GB2312"/>
                <w:sz w:val="21"/>
              </w:rPr>
              <w:t>《实验室资质认定评审准则》及其他相关现行国家、行业检定标准。</w:t>
            </w:r>
          </w:p>
          <w:p>
            <w:pPr>
              <w:pStyle w:val="null3"/>
              <w:jc w:val="both"/>
            </w:pPr>
            <w:r>
              <w:rPr>
                <w:rFonts w:ascii="仿宋_GB2312" w:hAnsi="仿宋_GB2312" w:cs="仿宋_GB2312" w:eastAsia="仿宋_GB2312"/>
                <w:sz w:val="21"/>
                <w:b/>
              </w:rPr>
              <w:t>3. 服务核心内容</w:t>
            </w:r>
          </w:p>
          <w:p>
            <w:pPr>
              <w:pStyle w:val="null3"/>
              <w:jc w:val="both"/>
            </w:pPr>
            <w:r>
              <w:rPr>
                <w:rFonts w:ascii="仿宋_GB2312" w:hAnsi="仿宋_GB2312" w:cs="仿宋_GB2312" w:eastAsia="仿宋_GB2312"/>
                <w:sz w:val="21"/>
              </w:rPr>
              <w:t>3.1 服务范围：本项目服务品类为采购人现有实验及辐射监测仪器，主要涵盖：γ剂量率仪、α/β表面污染仪、个人剂量报警仪、中子剂量当量仪、超大流量采样器、碘采样器、高气压电离室等，不单独公布具体设备清单、单台数量，采用年度品类包干服务模式，要求服务数量不低于150台，并按采购人要求出具检定证书/校准证书。</w:t>
            </w:r>
          </w:p>
          <w:p>
            <w:pPr>
              <w:pStyle w:val="null3"/>
              <w:jc w:val="both"/>
            </w:pPr>
            <w:r>
              <w:rPr>
                <w:rFonts w:ascii="仿宋_GB2312" w:hAnsi="仿宋_GB2312" w:cs="仿宋_GB2312" w:eastAsia="仿宋_GB2312"/>
                <w:sz w:val="21"/>
              </w:rPr>
              <w:t>3.2 服务方式：采购人发出服务通知后，供应商按需上门服务，</w:t>
            </w:r>
            <w:r>
              <w:rPr>
                <w:rFonts w:ascii="仿宋_GB2312" w:hAnsi="仿宋_GB2312" w:cs="仿宋_GB2312" w:eastAsia="仿宋_GB2312"/>
                <w:sz w:val="21"/>
              </w:rPr>
              <w:t>完成仪器清点交接、取送、委托送检、进度跟踪、数据核验、证书交付、档案归档全流程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3.3 服务频次：全年无固定服务频次，保障采购人日常实验、监测工作不间断。</w:t>
            </w:r>
          </w:p>
          <w:p>
            <w:pPr>
              <w:pStyle w:val="null3"/>
              <w:jc w:val="both"/>
            </w:pPr>
            <w:r>
              <w:rPr>
                <w:rFonts w:ascii="仿宋_GB2312" w:hAnsi="仿宋_GB2312" w:cs="仿宋_GB2312" w:eastAsia="仿宋_GB2312"/>
                <w:sz w:val="21"/>
                <w:b/>
              </w:rPr>
              <w:t>4.服务统筹与质控能力要求</w:t>
            </w:r>
          </w:p>
          <w:p>
            <w:pPr>
              <w:pStyle w:val="null3"/>
              <w:jc w:val="both"/>
            </w:pPr>
            <w:r>
              <w:rPr>
                <w:rFonts w:ascii="仿宋_GB2312" w:hAnsi="仿宋_GB2312" w:cs="仿宋_GB2312" w:eastAsia="仿宋_GB2312"/>
                <w:sz w:val="21"/>
              </w:rPr>
              <w:t>4.1 本项目为仪器检定校准委托服务模式，供应商负责项目整体统筹管理、现场对接、仪器收发、过程质控、成果汇总、售后保障等全流程工作，检定工作</w:t>
            </w:r>
            <w:r>
              <w:rPr>
                <w:rFonts w:ascii="仿宋_GB2312" w:hAnsi="仿宋_GB2312" w:cs="仿宋_GB2312" w:eastAsia="仿宋_GB2312"/>
                <w:sz w:val="21"/>
              </w:rPr>
              <w:t>须</w:t>
            </w:r>
            <w:r>
              <w:rPr>
                <w:rFonts w:ascii="仿宋_GB2312" w:hAnsi="仿宋_GB2312" w:cs="仿宋_GB2312" w:eastAsia="仿宋_GB2312"/>
                <w:sz w:val="21"/>
              </w:rPr>
              <w:t>委托给</w:t>
            </w:r>
            <w:r>
              <w:rPr>
                <w:rFonts w:ascii="仿宋_GB2312" w:hAnsi="仿宋_GB2312" w:cs="仿宋_GB2312" w:eastAsia="仿宋_GB2312"/>
                <w:sz w:val="21"/>
              </w:rPr>
              <w:t>采购人</w:t>
            </w:r>
            <w:r>
              <w:rPr>
                <w:rFonts w:ascii="仿宋_GB2312" w:hAnsi="仿宋_GB2312" w:cs="仿宋_GB2312" w:eastAsia="仿宋_GB2312"/>
                <w:sz w:val="21"/>
              </w:rPr>
              <w:t>认可的机构进行，并出具的设备检定/校准证书，且送检计划及单位需通过</w:t>
            </w:r>
            <w:r>
              <w:rPr>
                <w:rFonts w:ascii="仿宋_GB2312" w:hAnsi="仿宋_GB2312" w:cs="仿宋_GB2312" w:eastAsia="仿宋_GB2312"/>
                <w:sz w:val="21"/>
              </w:rPr>
              <w:t>采购人</w:t>
            </w:r>
            <w:r>
              <w:rPr>
                <w:rFonts w:ascii="仿宋_GB2312" w:hAnsi="仿宋_GB2312" w:cs="仿宋_GB2312" w:eastAsia="仿宋_GB2312"/>
                <w:sz w:val="21"/>
              </w:rPr>
              <w:t>审核。</w:t>
            </w:r>
          </w:p>
          <w:p>
            <w:pPr>
              <w:pStyle w:val="null3"/>
              <w:jc w:val="both"/>
            </w:pPr>
            <w:r>
              <w:rPr>
                <w:rFonts w:ascii="仿宋_GB2312" w:hAnsi="仿宋_GB2312" w:cs="仿宋_GB2312" w:eastAsia="仿宋_GB2312"/>
                <w:sz w:val="21"/>
              </w:rPr>
              <w:t xml:space="preserve">4.2 </w:t>
            </w:r>
            <w:r>
              <w:rPr>
                <w:rFonts w:ascii="仿宋_GB2312" w:hAnsi="仿宋_GB2312" w:cs="仿宋_GB2312" w:eastAsia="仿宋_GB2312"/>
                <w:sz w:val="21"/>
              </w:rPr>
              <w:t>供应商须具备成熟管理、质控体系，确保检测成果合法合规、可溯源</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供应商具备完善履约管控能力，全权对接采购人、把控进度、核验质量、处理售后，对整体服务质量与成果合规性全权负责</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4.4 最终检定/校准结果须满足采购人仪器检定要求，符合国家及行业现行有效的检定规程（JJG）或校准规范（JJF）。</w:t>
            </w:r>
          </w:p>
          <w:p>
            <w:pPr>
              <w:pStyle w:val="null3"/>
              <w:jc w:val="both"/>
            </w:pPr>
            <w:r>
              <w:rPr>
                <w:rFonts w:ascii="仿宋_GB2312" w:hAnsi="仿宋_GB2312" w:cs="仿宋_GB2312" w:eastAsia="仿宋_GB2312"/>
                <w:sz w:val="21"/>
                <w:b/>
              </w:rPr>
              <w:t>5. 服务响应与流程</w:t>
            </w:r>
          </w:p>
          <w:p>
            <w:pPr>
              <w:pStyle w:val="null3"/>
              <w:jc w:val="both"/>
            </w:pPr>
            <w:r>
              <w:rPr>
                <w:rFonts w:ascii="仿宋_GB2312" w:hAnsi="仿宋_GB2312" w:cs="仿宋_GB2312" w:eastAsia="仿宋_GB2312"/>
                <w:sz w:val="21"/>
              </w:rPr>
              <w:t>5.1 响应时间：</w:t>
            </w:r>
            <w:r>
              <w:rPr>
                <w:rFonts w:ascii="仿宋_GB2312" w:hAnsi="仿宋_GB2312" w:cs="仿宋_GB2312" w:eastAsia="仿宋_GB2312"/>
                <w:sz w:val="21"/>
              </w:rPr>
              <w:t>采购人</w:t>
            </w:r>
            <w:r>
              <w:rPr>
                <w:rFonts w:ascii="仿宋_GB2312" w:hAnsi="仿宋_GB2312" w:cs="仿宋_GB2312" w:eastAsia="仿宋_GB2312"/>
                <w:sz w:val="21"/>
              </w:rPr>
              <w:t>发出服务通知后，2小时内完成对接响应沟通，24小时内确认上门服务时间，紧急需求优先加急处置；</w:t>
            </w:r>
          </w:p>
          <w:p>
            <w:pPr>
              <w:pStyle w:val="null3"/>
              <w:jc w:val="both"/>
            </w:pPr>
            <w:r>
              <w:rPr>
                <w:rFonts w:ascii="仿宋_GB2312" w:hAnsi="仿宋_GB2312" w:cs="仿宋_GB2312" w:eastAsia="仿宋_GB2312"/>
                <w:sz w:val="21"/>
              </w:rPr>
              <w:t>5.2 服务流程：预约上门→现场核查→仪器检定/校准→数据核验→证书出具→售后答疑，实现闭环服务流程，全程规范合规；</w:t>
            </w:r>
          </w:p>
          <w:p>
            <w:pPr>
              <w:pStyle w:val="null3"/>
              <w:jc w:val="both"/>
            </w:pPr>
            <w:r>
              <w:rPr>
                <w:rFonts w:ascii="仿宋_GB2312" w:hAnsi="仿宋_GB2312" w:cs="仿宋_GB2312" w:eastAsia="仿宋_GB2312"/>
                <w:sz w:val="21"/>
              </w:rPr>
              <w:t>5.3 资料留存：</w:t>
            </w:r>
            <w:r>
              <w:rPr>
                <w:rFonts w:ascii="仿宋_GB2312" w:hAnsi="仿宋_GB2312" w:cs="仿宋_GB2312" w:eastAsia="仿宋_GB2312"/>
                <w:sz w:val="21"/>
              </w:rPr>
              <w:t>为采购人建立专属电子 + 纸质档案，服务记录、委托凭证、检定数据、证书完整留存、可查询、可追溯</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6. 人员配置要求</w:t>
            </w:r>
          </w:p>
          <w:p>
            <w:pPr>
              <w:pStyle w:val="null3"/>
              <w:jc w:val="both"/>
            </w:pPr>
            <w:r>
              <w:rPr>
                <w:rFonts w:ascii="仿宋_GB2312" w:hAnsi="仿宋_GB2312" w:cs="仿宋_GB2312" w:eastAsia="仿宋_GB2312"/>
                <w:sz w:val="21"/>
              </w:rPr>
              <w:t>6.1 项目负责人须为供应商在职人员，具备辐射防护/环境监测类专业高级及以上职称，熟悉辐射仪器检定校准国家及行业规范，具备辐射仪器计量总包服务项目管理经验；</w:t>
            </w:r>
          </w:p>
          <w:p>
            <w:pPr>
              <w:pStyle w:val="null3"/>
              <w:jc w:val="both"/>
            </w:pPr>
            <w:r>
              <w:rPr>
                <w:rFonts w:ascii="仿宋_GB2312" w:hAnsi="仿宋_GB2312" w:cs="仿宋_GB2312" w:eastAsia="仿宋_GB2312"/>
                <w:sz w:val="21"/>
              </w:rPr>
              <w:t>6.2 供应商须为</w:t>
            </w:r>
            <w:r>
              <w:rPr>
                <w:rFonts w:ascii="仿宋_GB2312" w:hAnsi="仿宋_GB2312" w:cs="仿宋_GB2312" w:eastAsia="仿宋_GB2312"/>
                <w:sz w:val="21"/>
              </w:rPr>
              <w:t>本项目指派不少于8人的专职服务团队，均具备3年以上辐射仪器收发、现场对接、计量质控、项目统筹实操经验，负责现场仪器</w:t>
            </w:r>
            <w:r>
              <w:rPr>
                <w:rFonts w:ascii="仿宋_GB2312" w:hAnsi="仿宋_GB2312" w:cs="仿宋_GB2312" w:eastAsia="仿宋_GB2312"/>
                <w:sz w:val="21"/>
              </w:rPr>
              <w:t>清点、交接、送检、成果核验、档案整理等全流程工作。</w:t>
            </w:r>
          </w:p>
          <w:p>
            <w:pPr>
              <w:pStyle w:val="null3"/>
              <w:jc w:val="both"/>
            </w:pPr>
            <w:r>
              <w:rPr>
                <w:rFonts w:ascii="仿宋_GB2312" w:hAnsi="仿宋_GB2312" w:cs="仿宋_GB2312" w:eastAsia="仿宋_GB2312"/>
                <w:sz w:val="21"/>
                <w:b/>
              </w:rPr>
              <w:t>7. 物流与应急保障</w:t>
            </w:r>
          </w:p>
          <w:p>
            <w:pPr>
              <w:pStyle w:val="null3"/>
              <w:jc w:val="both"/>
            </w:pPr>
            <w:r>
              <w:rPr>
                <w:rFonts w:ascii="仿宋_GB2312" w:hAnsi="仿宋_GB2312" w:cs="仿宋_GB2312" w:eastAsia="仿宋_GB2312"/>
                <w:sz w:val="21"/>
              </w:rPr>
              <w:t>7.1 本地化服务保障：</w:t>
            </w:r>
            <w:r>
              <w:rPr>
                <w:rFonts w:ascii="仿宋_GB2312" w:hAnsi="仿宋_GB2312" w:cs="仿宋_GB2312" w:eastAsia="仿宋_GB2312"/>
                <w:sz w:val="21"/>
              </w:rPr>
              <w:t>供应商</w:t>
            </w:r>
            <w:r>
              <w:rPr>
                <w:rFonts w:ascii="仿宋_GB2312" w:hAnsi="仿宋_GB2312" w:cs="仿宋_GB2312" w:eastAsia="仿宋_GB2312"/>
                <w:sz w:val="21"/>
              </w:rPr>
              <w:t>提供</w:t>
            </w:r>
            <w:r>
              <w:rPr>
                <w:rFonts w:ascii="仿宋_GB2312" w:hAnsi="仿宋_GB2312" w:cs="仿宋_GB2312" w:eastAsia="仿宋_GB2312"/>
                <w:sz w:val="21"/>
              </w:rPr>
              <w:t>本地化服务能力</w:t>
            </w:r>
            <w:r>
              <w:rPr>
                <w:rFonts w:ascii="仿宋_GB2312" w:hAnsi="仿宋_GB2312" w:cs="仿宋_GB2312" w:eastAsia="仿宋_GB2312"/>
                <w:sz w:val="21"/>
              </w:rPr>
              <w:t>，具备就近服务、快速驻场对接能力，可保障项目全程高效对接、仪器临时存放、资料归档及常态化售后服务。</w:t>
            </w:r>
          </w:p>
          <w:p>
            <w:pPr>
              <w:pStyle w:val="null3"/>
              <w:jc w:val="both"/>
            </w:pPr>
            <w:r>
              <w:rPr>
                <w:rFonts w:ascii="仿宋_GB2312" w:hAnsi="仿宋_GB2312" w:cs="仿宋_GB2312" w:eastAsia="仿宋_GB2312"/>
                <w:sz w:val="21"/>
              </w:rPr>
              <w:t>7.2 供应商须具备专业的仪器运输防护方案，提供防震、防潮包装材料。对于高价值或精密仪器，须采用定制防护箱并提供运输保险。</w:t>
            </w:r>
          </w:p>
          <w:p>
            <w:pPr>
              <w:pStyle w:val="null3"/>
            </w:pPr>
            <w:r>
              <w:rPr>
                <w:rFonts w:ascii="仿宋_GB2312" w:hAnsi="仿宋_GB2312" w:cs="仿宋_GB2312" w:eastAsia="仿宋_GB2312"/>
                <w:sz w:val="21"/>
              </w:rPr>
              <w:t>7.3 供应商应提供7×24小时服务热线，遇到应急任务时，2小时内安排专车上门取件，并优先送检。</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自合同生效之日起至2026年12月15日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采购人指定工作场所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进度款，项目验收合格无质量问题后，达到付款条件起10个工作日内，支付合同总金额的30.0%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响应文件递交截止时间同开标截止时间，递交地点为西安市唐延路37号class公馆B栋1103室。 2、磋商保证金注意事项：磋商保证金须从供应商账户转账；以保函形式交纳磋商保证金的，供应商应在响应截止时间前将保函扫描成清晰的PDF文件，发送至邮箱1172109359@qq.com（邮件命名：项目名称+项目编号），供应商应在响应文件中附保函复印件。保函必须由具有开具投标保函资格的单位开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 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 3 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供应商提交的相关说明和证明材料，应当加盖供应商（法定名称）电子印章，在磋商小组要求的时间内通过项目电子化交易系统进行提交，否则提交的相关证明材料无效。供应商不能证明其磋商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分项报价表.docx 标的清单 报价表 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专项服务方案.docx 增值服务及合理化建议.docx 供应商认为有必要说明的其他资料.docx 中小企业声明函 报价表 资格证明文件.docx 服务偏离表.docx 项目团队人员配置、应急及项目保障措施、售后服务方案.docx 响应文件封面 分项报价表.docx 项目团队技术力量.docx 残疾人福利性单位声明函 业绩统计表.docx 标的清单 保证金缴纳凭证.docx 响应函 报价表.docx 商务偏离表.docx 投标人承诺书.docx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无不符合法律法规或磋商文件规定的响应无效条款</w:t>
            </w:r>
          </w:p>
        </w:tc>
        <w:tc>
          <w:tcPr>
            <w:tcW w:type="dxa" w:w="1661"/>
          </w:tcPr>
          <w:p>
            <w:pPr>
              <w:pStyle w:val="null3"/>
            </w:pPr>
            <w:r>
              <w:rPr>
                <w:rFonts w:ascii="仿宋_GB2312" w:hAnsi="仿宋_GB2312" w:cs="仿宋_GB2312" w:eastAsia="仿宋_GB2312"/>
              </w:rPr>
              <w:t>专项服务方案.docx 增值服务及合理化建议.docx 供应商认为有必要说明的其他资料.docx 中小企业声明函 报价表 资格证明文件.docx 服务偏离表.docx 项目团队人员配置、应急及项目保障措施、售后服务方案.docx 响应文件封面 分项报价表.docx 项目团队技术力量.docx 残疾人福利性单位声明函 业绩统计表.docx 标的清单 保证金缴纳凭证.docx 响应函 报价表.docx 商务偏离表.docx 投标人承诺书.docx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服务内容响应</w:t>
            </w:r>
          </w:p>
        </w:tc>
        <w:tc>
          <w:tcPr>
            <w:tcW w:type="dxa" w:w="2492"/>
          </w:tcPr>
          <w:p>
            <w:pPr>
              <w:pStyle w:val="null3"/>
            </w:pPr>
            <w:r>
              <w:rPr>
                <w:rFonts w:ascii="仿宋_GB2312" w:hAnsi="仿宋_GB2312" w:cs="仿宋_GB2312" w:eastAsia="仿宋_GB2312"/>
              </w:rPr>
              <w:t>供应商完全响应磋商文件中采购需求及内容，没有负偏离的得10分，负偏离不得分。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专项服务方案</w:t>
            </w:r>
          </w:p>
        </w:tc>
        <w:tc>
          <w:tcPr>
            <w:tcW w:type="dxa" w:w="2492"/>
          </w:tcPr>
          <w:p>
            <w:pPr>
              <w:pStyle w:val="null3"/>
            </w:pPr>
            <w:r>
              <w:rPr>
                <w:rFonts w:ascii="仿宋_GB2312" w:hAnsi="仿宋_GB2312" w:cs="仿宋_GB2312" w:eastAsia="仿宋_GB2312"/>
              </w:rPr>
              <w:t>针对本项目提供完善的专项服务方案，包括但不限于：①项目实施步骤及管理方案；②项目整体统筹规划及供应商内部管控制度；③仪器收发及现场交接；④仪器运输防护方案；⑤全过程质量质控；⑥数据核验与证书管理、资料归档管理；⑦合规溯源保障；⑧项目各环节重点难点分析及专项解决方案；⑨全年按需服务进度安排及计划；⑩项目人员与采购人、检定机构间组织协调措施； 评审标准：方案各部分内容全面详细、阐述条理清晰详尽、符合本项目采购需求，能保障本项目实施得20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专项服务方案.docx</w:t>
            </w:r>
          </w:p>
        </w:tc>
      </w:tr>
      <w:tr>
        <w:tc>
          <w:tcPr>
            <w:tcW w:type="dxa" w:w="831"/>
            <w:vMerge/>
          </w:tcPr>
          <w:p/>
        </w:tc>
        <w:tc>
          <w:tcPr>
            <w:tcW w:type="dxa" w:w="1661"/>
          </w:tcPr>
          <w:p>
            <w:pPr>
              <w:pStyle w:val="null3"/>
            </w:pPr>
            <w:r>
              <w:rPr>
                <w:rFonts w:ascii="仿宋_GB2312" w:hAnsi="仿宋_GB2312" w:cs="仿宋_GB2312" w:eastAsia="仿宋_GB2312"/>
              </w:rPr>
              <w:t>项目团队人员配置、应急及项目保障措施、售后服务方案</w:t>
            </w:r>
          </w:p>
        </w:tc>
        <w:tc>
          <w:tcPr>
            <w:tcW w:type="dxa" w:w="2492"/>
          </w:tcPr>
          <w:p>
            <w:pPr>
              <w:pStyle w:val="null3"/>
            </w:pPr>
            <w:r>
              <w:rPr>
                <w:rFonts w:ascii="仿宋_GB2312" w:hAnsi="仿宋_GB2312" w:cs="仿宋_GB2312" w:eastAsia="仿宋_GB2312"/>
              </w:rPr>
              <w:t>针对本项目采购需求提供项目团队人员配置、应急及项目保障措施、售后服务方案，包括但不限于：①实施组织机构划分、人员经验（人员简介及相关工作经验）、项目人员管理制度；②人员安排方案、岗位分工及职责任务；③突发检定应急方案及补救措施；④服务全流程质量保障措施；⑤项目资料及数据保密措施；⑥成果验收方案及配合保障措施；⑦供应商服务响应时间、故障问题解决时限及机制等；⑧根据项目需求结合自身能力提供售后服务方案；⑨完善的售后服务体系、售后维保人员配置安排计划；⑩检定成果售后复核、答疑、纠错服务方案。 评审标准：方案各部分内容全面详细、阐述条理清晰详尽、符合本项目采购需求，能保障本项目实施得20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项目团队人员配置、应急及项目保障措施、售后服务方案.docx</w:t>
            </w:r>
          </w:p>
        </w:tc>
      </w:tr>
      <w:tr>
        <w:tc>
          <w:tcPr>
            <w:tcW w:type="dxa" w:w="831"/>
            <w:vMerge/>
          </w:tcPr>
          <w:p/>
        </w:tc>
        <w:tc>
          <w:tcPr>
            <w:tcW w:type="dxa" w:w="1661"/>
          </w:tcPr>
          <w:p>
            <w:pPr>
              <w:pStyle w:val="null3"/>
            </w:pPr>
            <w:r>
              <w:rPr>
                <w:rFonts w:ascii="仿宋_GB2312" w:hAnsi="仿宋_GB2312" w:cs="仿宋_GB2312" w:eastAsia="仿宋_GB2312"/>
              </w:rPr>
              <w:t>项目团队技术力量</w:t>
            </w:r>
          </w:p>
        </w:tc>
        <w:tc>
          <w:tcPr>
            <w:tcW w:type="dxa" w:w="2492"/>
          </w:tcPr>
          <w:p>
            <w:pPr>
              <w:pStyle w:val="null3"/>
            </w:pPr>
            <w:r>
              <w:rPr>
                <w:rFonts w:ascii="仿宋_GB2312" w:hAnsi="仿宋_GB2312" w:cs="仿宋_GB2312" w:eastAsia="仿宋_GB2312"/>
              </w:rPr>
              <w:t>根据采购需求中规定的人员配置要求提供以下证明材料： 1、项目负责人具备核技术类或辐射防护类或环境监测类或计量管理类高级及以上职称，计4分；具备核技术类或辐射防护类或环境监测类或计量管理类中级职称，计2分；未提供有效证明不计分。 2、除项目负责人外，团队人员每有1人具备核技术类或辐射防护类或环境监测类或计量管理类中级及以上职称，计2分，最高计10分。 备注：1、项目负责人及团队人员须为投标单位在职人员，提供本单位为其缴纳的近3个月社保、职称证书等证明材料，否则不计分。 2、团队人员中同一人持有多个证书不重复计分。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项目团队技术力量.docx</w:t>
            </w:r>
          </w:p>
        </w:tc>
      </w:tr>
      <w:tr>
        <w:tc>
          <w:tcPr>
            <w:tcW w:type="dxa" w:w="831"/>
            <w:vMerge/>
          </w:tcPr>
          <w:p/>
        </w:tc>
        <w:tc>
          <w:tcPr>
            <w:tcW w:type="dxa" w:w="1661"/>
          </w:tcPr>
          <w:p>
            <w:pPr>
              <w:pStyle w:val="null3"/>
            </w:pPr>
            <w:r>
              <w:rPr>
                <w:rFonts w:ascii="仿宋_GB2312" w:hAnsi="仿宋_GB2312" w:cs="仿宋_GB2312" w:eastAsia="仿宋_GB2312"/>
              </w:rPr>
              <w:t>增值服务及合理化建议</w:t>
            </w:r>
          </w:p>
        </w:tc>
        <w:tc>
          <w:tcPr>
            <w:tcW w:type="dxa" w:w="2492"/>
          </w:tcPr>
          <w:p>
            <w:pPr>
              <w:pStyle w:val="null3"/>
            </w:pPr>
            <w:r>
              <w:rPr>
                <w:rFonts w:ascii="仿宋_GB2312" w:hAnsi="仿宋_GB2312" w:cs="仿宋_GB2312" w:eastAsia="仿宋_GB2312"/>
              </w:rPr>
              <w:t>1、增值服务：投标人须提供针对本项目具备落地可行性且对项目实施存在实质性利好的增值服务书面承诺；经评审小组全体评委一致认定该增值服务针对性强、可落地实施且显著有利于本项目推进的，得 3分；未提供增值服务承诺，或所提供承诺针对性不足、可实施性较差，评审小组无法达成一致认可的，本项不得分。 2、合理化建议：投标人须提供针对本项目具备实操价值且能显著优化项目实施的合理化建议；经评审小组全体专家一致认定该建议可行、对项目实施具备实质性利好的得3分；未提供合理化建议，或建议脱离项目实际、不具备落地可行性，评审小组无法达成一致认定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增值服务及合理化建议.docx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自2023年1月1日以来（以合同签订时间为准），供应商承担过类似服务业绩，每提供一个项目业绩得2分，最高得10分。 注：业绩证明材料以合同的复印件或扫描件加盖公章为准，复印件或扫描件必须清晰体现签约主体和日期、项目名称及内容、合同金额等核心要素，否则不计为有效业绩。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业绩统计表.docx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总报价最低的磋商总报价为评标基准价，其价格为20分。（因落实政府采购政策进行价格调整的，以调整后的价格计算评标基准价）其他供应商的价格分按照下列公式计算：磋商总报价得分＝（评标基准价/磋商总报价）×20。价格得分四舍五入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详见附件：专项服务方案.docx</w:t>
      </w:r>
    </w:p>
    <w:p>
      <w:pPr>
        <w:pStyle w:val="null3"/>
        <w:ind w:firstLine="960"/>
      </w:pPr>
      <w:r>
        <w:rPr>
          <w:rFonts w:ascii="仿宋_GB2312" w:hAnsi="仿宋_GB2312" w:cs="仿宋_GB2312" w:eastAsia="仿宋_GB2312"/>
        </w:rPr>
        <w:t>详见附件：项目团队人员配置、应急及项目保障措施、售后服务方案.docx</w:t>
      </w:r>
    </w:p>
    <w:p>
      <w:pPr>
        <w:pStyle w:val="null3"/>
        <w:ind w:firstLine="960"/>
      </w:pPr>
      <w:r>
        <w:rPr>
          <w:rFonts w:ascii="仿宋_GB2312" w:hAnsi="仿宋_GB2312" w:cs="仿宋_GB2312" w:eastAsia="仿宋_GB2312"/>
        </w:rPr>
        <w:t>详见附件：项目团队技术力量.docx</w:t>
      </w:r>
    </w:p>
    <w:p>
      <w:pPr>
        <w:pStyle w:val="null3"/>
        <w:ind w:firstLine="960"/>
      </w:pPr>
      <w:r>
        <w:rPr>
          <w:rFonts w:ascii="仿宋_GB2312" w:hAnsi="仿宋_GB2312" w:cs="仿宋_GB2312" w:eastAsia="仿宋_GB2312"/>
        </w:rPr>
        <w:t>详见附件：增值服务及合理化建议.docx</w:t>
      </w:r>
    </w:p>
    <w:p>
      <w:pPr>
        <w:pStyle w:val="null3"/>
        <w:ind w:firstLine="960"/>
      </w:pPr>
      <w:r>
        <w:rPr>
          <w:rFonts w:ascii="仿宋_GB2312" w:hAnsi="仿宋_GB2312" w:cs="仿宋_GB2312" w:eastAsia="仿宋_GB2312"/>
        </w:rPr>
        <w:t>详见附件：业绩统计表.docx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